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2D3D"/>
          <w:sz w:val="56"/>
          <w:szCs w:val="56"/>
        </w:rPr>
        <w:t xml:space="preserve">AMAVIO LIVING</w:t>
      </w:r>
    </w:p>
    <w:p>
      <w:pPr>
        <w:spacing w:before="200"/>
        <w:jc w:val="center"/>
      </w:pPr>
      <w:r>
        <w:rPr>
          <w:color w:val="8A6D3A"/>
          <w:sz w:val="32"/>
          <w:szCs w:val="32"/>
        </w:rPr>
        <w:t xml:space="preserve">Investoren-Businessplan, Pre-Seed 2026</w:t>
      </w:r>
    </w:p>
    <w:p>
      <w:pPr>
        <w:spacing w:before="400"/>
        <w:jc w:val="center"/>
      </w:pPr>
      <w:r>
        <w:rPr>
          <w:i/>
          <w:iCs/>
          <w:sz w:val="24"/>
          <w:szCs w:val="24"/>
        </w:rPr>
        <w:t xml:space="preserve">Koordination und Plattform für die Ankunft internationaler Fachkräfte in Deutschland</w:t>
      </w:r>
    </w:p>
    <w:p>
      <w:pPr>
        <w:spacing w:before="900"/>
        <w:jc w:val="center"/>
      </w:pPr>
      <w:r>
        <w:rPr>
          <w:b/>
          <w:bCs/>
          <w:sz w:val="24"/>
          <w:szCs w:val="24"/>
        </w:rPr>
        <w:t xml:space="preserve">AMAVIO Living GmbH (in Gründung)</w:t>
      </w:r>
    </w:p>
    <w:p>
      <w:pPr>
        <w:spacing w:before="80"/>
        <w:jc w:val="center"/>
      </w:pPr>
      <w:r>
        <w:rPr>
          <w:sz w:val="22"/>
          <w:szCs w:val="22"/>
        </w:rPr>
        <w:t xml:space="preserve">Kruppstraße 108, 40227 Düsseldorf</w:t>
      </w:r>
    </w:p>
    <w:p>
      <w:pPr>
        <w:spacing w:before="80"/>
        <w:jc w:val="center"/>
      </w:pPr>
      <w:r>
        <w:rPr>
          <w:sz w:val="22"/>
          <w:szCs w:val="22"/>
        </w:rPr>
        <w:t xml:space="preserve">Gründer und Geschäftsführer: Zaki Amawi</w:t>
      </w:r>
    </w:p>
    <w:p>
      <w:pPr>
        <w:spacing w:before="400"/>
        <w:jc w:val="center"/>
      </w:pPr>
      <w:r>
        <w:rPr>
          <w:color w:val="888888"/>
          <w:sz w:val="18"/>
          <w:szCs w:val="18"/>
        </w:rPr>
        <w:t xml:space="preserve">Stand: August 2026. Vertraulich, nur für ausgewählte Investoren.</w:t>
      </w:r>
    </w:p>
    <w:p>
      <w:pPr>
        <w:spacing w:before="1200"/>
        <w:jc w:val="center"/>
      </w:pPr>
      <w:r>
        <w:rPr>
          <w:b/>
          <w:bCs/>
          <w:color w:val="1F2D3D"/>
          <w:sz w:val="22"/>
          <w:szCs w:val="22"/>
        </w:rPr>
        <w:t xml:space="preserve">Finanzierungsrunde: Pre-Seed, 150.000 bis 300.000 EUR, Wandeldarlehen</w:t>
      </w:r>
    </w:p>
    <w:p>
      <w:r>
        <w:br w:type="page"/>
      </w:r>
    </w:p>
    <w:p>
      <w:pPr>
        <w:pStyle w:val="Heading1"/>
        <w:spacing w:after="150" w:before="300"/>
      </w:pPr>
      <w:r>
        <w:rPr>
          <w:b/>
          <w:bCs/>
          <w:color w:val="1F2D3D"/>
          <w:sz w:val="32"/>
          <w:szCs w:val="32"/>
        </w:rPr>
        <w:t xml:space="preserve">1. Executive Summary</w:t>
      </w:r>
    </w:p>
    <w:p>
      <w:pPr>
        <w:pStyle w:val="Heading2"/>
        <w:spacing w:after="120" w:before="240"/>
      </w:pPr>
      <w:r>
        <w:rPr>
          <w:b/>
          <w:bCs/>
          <w:color w:val="8A6D3A"/>
          <w:sz w:val="26"/>
          <w:szCs w:val="26"/>
        </w:rPr>
        <w:t xml:space="preserve">Worum es bei AMAVIO geht</w:t>
      </w:r>
    </w:p>
    <w:p>
      <w:pPr>
        <w:spacing w:after="160"/>
        <w:jc w:val="both"/>
      </w:pPr>
      <w:r>
        <w:t xml:space="preserve">AMAVIO Living übernimmt für Arbeitgeber die Koordination, die beginnt, wenn eine internationale Fachkraft ihren Arbeitsvertrag unterschrieben hat, aber noch nicht am Standort angekommen und dauerhaft eingearbeitet ist. In dieser Phase werden Wohnraum, Behördentermine, Familienfragen, der Spracheinstieg und die betriebliche Einarbeitung in den meisten Unternehmen bis heute manuell und ohne durchgängige Software bearbeitet, verteilt auf Personalabteilung, Fachbereich und die Fachkraft selbst. Genau in dieser Phase entscheidet sich, ob die Investition in Recruiting und Vermittlung sich für den Arbeitgeber am Ende auszahlt oder nicht.</w:t>
      </w:r>
    </w:p>
    <w:p>
      <w:pPr>
        <w:spacing w:after="160"/>
        <w:jc w:val="both"/>
      </w:pPr>
      <w:r>
        <w:t xml:space="preserve">Der Bedarf ist strukturell und wächst. Die Bundesagentur für Arbeit beziffert den jährlichen Zuwanderungsbedarf an Fachkräften auf rund 400.000 Personen; allein 2024 wurden nach Angaben des Statistischen Bundesamtes rund 32.500 ausländische Pflegequalifikationen anerkannt, 19 Prozent mehr als im Vorjahr. Arbeitgeber geben in der Pflege pro internationaler Fachkraft zwischen 10.000 und 30.000 EUR für Recruiting und Einstieg aus. Bricht die Fachkraft in den ersten Monaten wegen eines ungeordneten Ankunftsprozesses wieder ab, ist dieses Geld verloren, und die Vakanz beginnt von vorn. Modellhaft entsteht dabei ein Gesamtschaden je Fall in der Größenordnung von 90.000 bis über 100.000 EUR, wenn Vermittlungshonorar und Vakanzkosten zusammengerechnet werden.</w:t>
      </w:r>
    </w:p>
    <w:p>
      <w:pPr>
        <w:pStyle w:val="Heading2"/>
        <w:spacing w:after="120" w:before="240"/>
      </w:pPr>
      <w:r>
        <w:rPr>
          <w:b/>
          <w:bCs/>
          <w:color w:val="8A6D3A"/>
          <w:sz w:val="26"/>
          <w:szCs w:val="26"/>
        </w:rPr>
        <w:t xml:space="preserve">Warum jetzt und warum kapitalfähig</w:t>
      </w:r>
    </w:p>
    <w:p>
      <w:pPr>
        <w:spacing w:after="160"/>
        <w:jc w:val="both"/>
      </w:pPr>
      <w:r>
        <w:t xml:space="preserve">Die heute aktiven Anbieter in diesem Feld sind fast durchgehend kleine, personalintensive Agenturen ohne Venture-Finanzierung und ohne Software-Produkt. Dass das angrenzende Feld für Investoren dennoch attraktiv ist, zeigen mehrere Kapitalrunden der letzten Jahre. TERN Group sammelte im September 2025 24 Millionen US-Dollar für Pflege-Fachkräftemobilität ein und benennt Deutschland ausdrücklich als Zielmarkt. Localyze hat insgesamt 48 Millionen US-Dollar für Relocation-Software eingesammelt, Medwing 44 Millionen EUR für einen Healthcare-Recruiting-Marktplatz, Jobbatical rund 20 Millionen EUR für eine Immigrations-Plattform. Die deutschen Wettbewerber im engeren Sinn, unter anderem TalentOrange, TrueCare, compass international, CuraVita und DEKRA Expert Migration, sind demgegenüber eigenfinanziert und arbeiten ohne durchgängige Software-Ebene. Zwischen diesen beiden Gruppen liegt die Position, in der AMAVIO aufgebaut wird: mit deutscher Feldkompetenz und Wohnraum-Fokus, aber von Beginn an als Produktunternehmen gedacht.</w:t>
      </w:r>
    </w:p>
    <w:p>
      <w:pPr>
        <w:pStyle w:val="Heading2"/>
        <w:spacing w:after="120" w:before="240"/>
      </w:pPr>
      <w:r>
        <w:rPr>
          <w:b/>
          <w:bCs/>
          <w:color w:val="8A6D3A"/>
          <w:sz w:val="26"/>
          <w:szCs w:val="26"/>
        </w:rPr>
        <w:t xml:space="preserve">Wie das Modell aufgebaut ist</w:t>
      </w:r>
    </w:p>
    <w:p>
      <w:pPr>
        <w:spacing w:after="160"/>
        <w:jc w:val="both"/>
      </w:pPr>
      <w:r>
        <w:t xml:space="preserve">AMAVIO startet als Dienstleistung mit bereits nachgewiesener Zahlungsbereitschaft: drei Arbeitgeberpakete zwischen 18.000 und 29.500 EUR pro Mandat, dokumentiert im operativen Businessplan, der im Rahmen des Gründungszuschuss-Verfahrens unabhängig geprüft wurde. Aus der strukturierten Fallsteuerung, die für diese Pakete ohnehin geführt wird, entsteht schrittweise ein digitales Produkt. Die erste Stufe ist ein internes Fallsteuerungs-Werkzeug, mit dem AMAVIO die eigenen Abläufe skaliert und die Kosten pro Fall über die Zeit senkt. Die zweite Stufe ist ein zweiseitiger Marktplatz, der Arbeitgeber, Fachkräfte und geprüfte Servicepartner wie Wohnungsanbieter, Übersetzungsdienste und Umzugspartner verbindet. Die dritte Stufe nutzt die dabei entstehenden strukturierten Falldaten für eine KI-gestützte Unterstützung bei Dokumenten, Checklisten und der frühen Erkennung von Abbruchrisiken. Die künstliche Intelligenz wird nicht als eigenes Grundlagenmodell trainiert, sondern setzt auf leistungsfähige externe Modelle auf; die Wertschöpfung liegt in den Arbeitsabläufen, in der Kombination aus Fachlogik und Daten und im Zugang zu Fällen.</w:t>
      </w:r>
    </w:p>
    <w:p>
      <w:pPr>
        <w:pStyle w:val="Heading2"/>
        <w:spacing w:after="120" w:before="240"/>
      </w:pPr>
      <w:r>
        <w:rPr>
          <w:b/>
          <w:bCs/>
          <w:color w:val="8A6D3A"/>
          <w:sz w:val="26"/>
          <w:szCs w:val="26"/>
        </w:rPr>
        <w:t xml:space="preserve">Wer AMAVIO baut</w:t>
      </w:r>
    </w:p>
    <w:p>
      <w:pPr>
        <w:spacing w:after="160"/>
        <w:jc w:val="both"/>
      </w:pPr>
      <w:r>
        <w:t xml:space="preserve">Der Gründer Zaki Amawi bringt für dieses Feld eine Kombination aus Erfahrungen mit, die sich in Deutschland nicht häufig findet. Aus mehreren Jahren bei der Tern Group, einem internationalen Recruiting-Unternehmen, stammen konkrete Einsätze vor Ort in Indien, Marokko und Tunesien mit direkten Gesprächen mit Fachkräften vor deren Ausreise nach Deutschland. Aus einer parallelen beruflichen Zeit im Immobilien- und B2B-Vertrieb stammen die Erfahrungen in Wohnraumakquisition und in mittelständischer Vertriebsarbeit. Aus der eigenen Familie kommt die persönliche Erfahrung mit einer Migration in den frühen 1980er-Jahren, bei der Hochschulabschlüsse in Deutschland nicht anerkannt wurden. Diese drei Perspektiven zusammen erklären, warum das Modell nicht auf einer Schreibtisch-Analyse, sondern auf einer gelebten Beobachtung des Problems beruht.</w:t>
      </w:r>
    </w:p>
    <w:p>
      <w:pPr>
        <w:pStyle w:val="Heading2"/>
        <w:spacing w:after="120" w:before="240"/>
      </w:pPr>
      <w:r>
        <w:rPr>
          <w:b/>
          <w:bCs/>
          <w:color w:val="8A6D3A"/>
          <w:sz w:val="26"/>
          <w:szCs w:val="26"/>
        </w:rPr>
        <w:t xml:space="preserve">Was mit dem Kapital passiert</w:t>
      </w:r>
    </w:p>
    <w:p>
      <w:pPr>
        <w:spacing w:after="160"/>
        <w:jc w:val="both"/>
      </w:pPr>
      <w:r>
        <w:t xml:space="preserve">Gesucht wird eine Pre-Seed-Finanzierung von 150.000 bis 300.000 EUR, strukturiert als Wandeldarlehen mit einem branchenüblichen Discount von 15 bis 25 Prozent und einem Bewertungsdeckel im Korridor von 2,5 bis 4 Millionen EUR. Ergänzt wird die private Runde durch zwei öffentliche Ko-Finanzierungsinstrumente, die für dieses Vorhaben in Nordrhein-Westfalen einschlägig sind: den INVEST-Zuschuss des Bundes, der Angel-Investoren einen Erwerbszuschuss in Höhe von 15 Prozent des investierten Betrags sowie einen Exit-Zuschuss von 25 Prozent auf den Veräußerungsgewinn erstattet, und NRW.SeedCap der NRW.BANK, die eine private Investition im Verhältnis eins zu eins in einem Rahmen von 100.000 bis 500.000 EUR matchen kann. Eine Angel-Zusage von 200.000 EUR kann dadurch faktisch bis zu 400.000 EUR verfügbares Kapital ergeben, ohne dass zusätzliche Anteile abgegeben werden müssen. Der High-Tech Gründerfonds ist die naheliegende institutionelle Anschlussrunde, sobald die ersten Pilotmandate produktiv laufen.</w:t>
      </w:r>
    </w:p>
    <w:p>
      <w:pPr>
        <w:pStyle w:val="Heading2"/>
        <w:spacing w:after="120" w:before="240"/>
      </w:pPr>
      <w:r>
        <w:rPr>
          <w:b/>
          <w:bCs/>
          <w:color w:val="8A6D3A"/>
          <w:sz w:val="26"/>
          <w:szCs w:val="26"/>
        </w:rPr>
        <w:t xml:space="preserve">Warum diese Runde diesem Investor passt</w:t>
      </w:r>
    </w:p>
    <w:p>
      <w:pPr>
        <w:spacing w:after="160"/>
        <w:jc w:val="both"/>
      </w:pPr>
      <w:r>
        <w:t xml:space="preserve">AMAVIO ist bewusst nicht als schnell wachsendes, verbrennungsstarkes Software-Startup positioniert, sondern als ein Unternehmen, das eine reale, zahlungsbereite Dienstleistung als Fundament nimmt und darauf ein digitales Produkt aufbaut. Der Ertragsanker in Stufe 1 verringert das für zweiseitige Marktplätze typische Henne-Ei-Problem: AMAVIO verkauft von Anfang an etwas, das Arbeitgeber tatsächlich kaufen, und digitalisiert die eigene Leistungserbringung erst danach. Das mittel- bis langfristige Zielbild ist ein cashflowstarkes Unternehmen mit einer Option auf einen strategischen Verkauf in einem Zeithorizont von fünf bis zehn Jahren, wenn ein Erwerber wie ein großer Pflege- oder Bildungsanbieter, ein internationaler Personaldienstleister oder ein Relocation-Software-Wettbewerber das aufgebaute Netzwerk und die Datenbasis nutzen möchte. Für einen Pre-Seed-Investor bedeutet das ein Profil mit begrenztem Kapitalrisiko in der Anfangsphase und einer realistischen Exit-Option ohne den Zwang, in kurzer Zeit ein Milliarden-Bewertungsziel zu erzwingen.</w:t>
      </w:r>
    </w:p>
    <w:p>
      <w:r>
        <w:br w:type="page"/>
      </w:r>
    </w:p>
    <w:p>
      <w:pPr>
        <w:pStyle w:val="Heading1"/>
        <w:spacing w:after="150" w:before="300"/>
      </w:pPr>
      <w:r>
        <w:rPr>
          <w:b/>
          <w:bCs/>
          <w:color w:val="1F2D3D"/>
          <w:sz w:val="32"/>
          <w:szCs w:val="32"/>
        </w:rPr>
        <w:t xml:space="preserve">2. Das Problem und die Marktdynamik</w:t>
      </w:r>
    </w:p>
    <w:p>
      <w:pPr>
        <w:pStyle w:val="Heading2"/>
        <w:spacing w:after="120" w:before="240"/>
      </w:pPr>
      <w:r>
        <w:rPr>
          <w:b/>
          <w:bCs/>
          <w:color w:val="8A6D3A"/>
          <w:sz w:val="26"/>
          <w:szCs w:val="26"/>
        </w:rPr>
        <w:t xml:space="preserve">Der operative Bruch nach dem Vertragsabschluss</w:t>
      </w:r>
    </w:p>
    <w:p>
      <w:pPr>
        <w:spacing w:after="160"/>
        <w:jc w:val="both"/>
      </w:pPr>
      <w:r>
        <w:t xml:space="preserve">Ein unterschriebener Arbeitsvertrag beantwortet noch nicht die Frage, ob eine internationale Fachkraft am vereinbarten Tag arbeitsfähig ankommt und dauerhaft bleibt. Zwischen Vertrag und stabiler Beschäftigung liegt ein operativer Zeitraum von in der Regel neunzig bis einhundertachtzig Tagen, in dem Wohnraum, Anreise, Behördenprozesse, die Familie, der Spracheinstieg und die betriebliche Einarbeitung gleichzeitig organisiert werden müssen. In den meisten Unternehmen geschieht dies ohne festen Ablauf, ohne durchgängige Datei- oder Datenlage und ohne klare Verantwortlichkeit über Abteilungsgrenzen hinweg. Personalabteilung, Fachbereich, Geschäftsführung und Fachkraft telefonieren und mailen parallel, jede Anfrage beginnt neu, und Wissen, das in einem Fall entstanden ist, wird beim nächsten Fall nicht wieder verwendet.</w:t>
      </w:r>
    </w:p>
    <w:p>
      <w:pPr>
        <w:spacing w:after="160"/>
        <w:jc w:val="both"/>
      </w:pPr>
      <w:r>
        <w:t xml:space="preserve">Der einzelne Arbeitgeber merkt diesen Bruch oft erst, wenn es zu spät ist. Das erste Signal ist meistens eine unerwartete Kündigung nach drei bis sechs Monaten, ein deutlicher Anstieg der Krankheitstage oder eine ungeplante Rückreise ins Herkunftsland. Rückwärts betrachtet lassen sich diese Fälle fast immer auf denselben Kern zurückführen: Die Ankunftsphase war nicht organisiert, die Fachkraft war auf sich gestellt, Wohnraum, Familie oder Verwaltungsfragen kamen ins Rutschen, und die betriebliche Einarbeitung startete zu spät oder auf zu unsicherem Fundament.</w:t>
      </w:r>
    </w:p>
    <w:p>
      <w:pPr>
        <w:pStyle w:val="Heading2"/>
        <w:spacing w:after="120" w:before="240"/>
      </w:pPr>
      <w:r>
        <w:rPr>
          <w:b/>
          <w:bCs/>
          <w:color w:val="8A6D3A"/>
          <w:sz w:val="26"/>
          <w:szCs w:val="26"/>
        </w:rPr>
        <w:t xml:space="preserve">Die wirtschaftliche Größenordnung des Problems</w:t>
      </w:r>
    </w:p>
    <w:p>
      <w:pPr>
        <w:spacing w:after="160"/>
        <w:jc w:val="both"/>
      </w:pPr>
      <w:r>
        <w:t xml:space="preserve">Die wirtschaftliche Dimension dieses Bruchs ist erheblich. Nach Angaben des Instituts der deutschen Wirtschaft kostet eine unbesetzte Fachkräftestelle das betroffene Unternehmen monatlich zwischen 5.000 und 25.000 EUR an entgangener Wertschöpfung, abhängig von Branche und Position. Die Bundesagentur für Arbeit weist für die Altenpflege eine durchschnittliche Vakanzzeit von 252 Tagen aus; für examinierte Kranken- und Gesundheitspflege liegen die Werte in einer ähnlichen Größenordnung. Zusätzlich fallen für die internationale Rekrutierung Vermittlungshonorare an, die je nach Weg zwischen 8.000 und 30.000 EUR pro Kopf liegen: rund 8.000 bis 10.000 EUR im staatlichen Triple-Win-Programm, 15.000 bis 30.000 EUR bei privaten Vollserviceanbietern.</w:t>
      </w:r>
    </w:p>
    <w:p>
      <w:pPr>
        <w:spacing w:after="160"/>
        <w:jc w:val="both"/>
      </w:pPr>
      <w:r>
        <w:t xml:space="preserve">Springt eine bereits gewonnene internationale Fachkraft in den ersten Monaten wegen eines ungeordneten Ankunftsprozesses wieder ab, verliert der Arbeitgeber Vermittlungshonorar und Vakanzkosten gleichzeitig. Rechnet man dies mit vorsichtigen Annahmen zusammen, ergibt sich ein Gesamtschaden je Fall in einer Größenordnung von 90.000 bis über 100.000 EUR. Dieser Betrag ist es, den AMAVIO adressiert, wenn Arbeitgeber für ein Ankunftspaket zwischen 18.000 und 29.500 EUR bezahlen: Der Preis der Dienstleistung ist ein Bruchteil des Risikos, das durch die Dienstleistung reduziert wird.</w:t>
      </w:r>
    </w:p>
    <w:p>
      <w:pPr>
        <w:pStyle w:val="Heading2"/>
        <w:spacing w:after="120" w:before="240"/>
      </w:pPr>
      <w:r>
        <w:rPr>
          <w:b/>
          <w:bCs/>
          <w:color w:val="8A6D3A"/>
          <w:sz w:val="26"/>
          <w:szCs w:val="26"/>
        </w:rPr>
        <w:t xml:space="preserve">Warum Wohnraum die kritische Frage bleibt</w:t>
      </w:r>
    </w:p>
    <w:p>
      <w:pPr>
        <w:spacing w:after="160"/>
        <w:jc w:val="both"/>
      </w:pPr>
      <w:r>
        <w:t xml:space="preserve">Über alle Branchen und Herkunftsländer hinweg ist die Wohnraumfrage die am häufigsten ungelöste, weil sie in einer Grauzone zwischen Arbeitgeberverantwortung und Privatleben liegt. Aus eigenen Bewerbungsgesprächen des Gründers vor Ort in Indien, gemeinsam mit deutschen Klinikkunden geführt, stand die Frage nach Wohnraum durchgängig im Mittelpunkt der Kandidatenfragen, noch vor Sprache, Familiennachzug, Kita- und Schulplätzen und Community. Arbeitgeber decken in der Praxis meist die ersten drei bis sechs Monate über eine Werkswohnung oder eine kurzfristige Unterkunft ab. Danach müssen die Fachkräfte in einer Sprache, in der sie noch nicht sicher sind, in einem Marktumfeld, das sie nicht kennen, und mit einer Bonitätshistorie, die es in Deutschland noch nicht gibt, allein eine Wohnung finden. Genau in dieser Phase, in der die betriebliche Einarbeitung ohnehin volle Aufmerksamkeit erfordert, wächst der private Druck. Der Zusammenhang zwischen einer nicht gelösten Wohnraumfrage und einem frühen Abbruch ist in Interviews wie in Praxisberichten regelmäßig belegt.</w:t>
      </w:r>
    </w:p>
    <w:p>
      <w:pPr>
        <w:pStyle w:val="Heading2"/>
        <w:spacing w:after="120" w:before="240"/>
      </w:pPr>
      <w:r>
        <w:rPr>
          <w:b/>
          <w:bCs/>
          <w:color w:val="8A6D3A"/>
          <w:sz w:val="26"/>
          <w:szCs w:val="26"/>
        </w:rPr>
        <w:t xml:space="preserve">Die heutige Anbieterlandschaft löst den Bruch nicht strukturell</w:t>
      </w:r>
    </w:p>
    <w:p>
      <w:pPr>
        <w:spacing w:after="160"/>
        <w:jc w:val="both"/>
      </w:pPr>
      <w:r>
        <w:t xml:space="preserve">Die deutsche Anbieterlandschaft für die Ankunfts- und Integrationskoordination internationaler Fachkräfte besteht heute überwiegend aus kleinen bis mittleren, personalintensiven Agenturen ohne Venture-Kapital und ohne durchgängiges Software-Produkt. TalentOrange, TrueCare, compass international und CuraVita arbeiten als eigenfinanzierte Recruiting- und Integrationsdienstleister mit klarem Fokus auf einzelne Branchen und Regionen. DEKRA Expert Migration ist als Teil des DEKRA-Konzerns finanziell breit aufgestellt, konzentriert sich aber auf die klassischen Anerkennungs- und Migrationsverfahren. Diese Anbieter haben Marktkenntnis, Erfahrung und in vielen Fällen langjährige Kundenbeziehungen. Was ihnen fehlt, ist eine Software-Ebene, die das Fallwissen strukturiert speichert, in Ablaufpläne übersetzt und für neue Fälle wiederverwendet.</w:t>
      </w:r>
    </w:p>
    <w:p>
      <w:pPr>
        <w:spacing w:after="160"/>
        <w:jc w:val="both"/>
      </w:pPr>
      <w:r>
        <w:t xml:space="preserve">Der bislang einzige mit externem Kapital ausgestattete deutsche App-Anbieter im engeren Sinn ist relocraft, mit einer ersten Finanzierung im Dezember 2024 durch ESB Invest Vorpommern; das Unternehmen adressiert die Relocation von Pflegekräften über eine standardisierte App. Der Ansatz ist bewusst standardisiert und bundesweit, was den Vorteil einer schnellen Skalierung, aber den Nachteil einer eingeschränkten regionalen Tiefe hat: Kommunale Netzwerke, lokal verankerte Wohnraumpartner und persönlich aufgebaute Beziehungen zu Arbeitgebern sind über eine App allein schwer abzubilden. Genau diese Lücke ist der Punkt, an dem AMAVIO ansetzt.</w:t>
      </w:r>
    </w:p>
    <w:p>
      <w:r>
        <w:br w:type="page"/>
      </w:r>
    </w:p>
    <w:p>
      <w:pPr>
        <w:pStyle w:val="Heading1"/>
        <w:spacing w:after="150" w:before="300"/>
      </w:pPr>
      <w:r>
        <w:rPr>
          <w:b/>
          <w:bCs/>
          <w:color w:val="1F2D3D"/>
          <w:sz w:val="32"/>
          <w:szCs w:val="32"/>
        </w:rPr>
        <w:t xml:space="preserve">3. Marktgröße und Marktstruktur</w:t>
      </w:r>
    </w:p>
    <w:p>
      <w:pPr>
        <w:pStyle w:val="Heading2"/>
        <w:spacing w:after="120" w:before="240"/>
      </w:pPr>
      <w:r>
        <w:rPr>
          <w:b/>
          <w:bCs/>
          <w:color w:val="8A6D3A"/>
          <w:sz w:val="26"/>
          <w:szCs w:val="26"/>
        </w:rPr>
        <w:t xml:space="preserve">Herleitung in drei Ebenen</w:t>
      </w:r>
    </w:p>
    <w:p>
      <w:pPr>
        <w:spacing w:after="160"/>
        <w:jc w:val="both"/>
      </w:pPr>
      <w:r>
        <w:t xml:space="preserve">Die Marktgröße für AMAVIO lässt sich in drei Ebenen herleiten, von der weitesten globalen Betrachtung bis zum konkreten deutschen Ausgangssegment. Alle Zahlen werden mit Quelle angegeben; die konkrete SOM-Rechnung für Deutschland wird als eigene, transparent hergeleitete Modellrechnung ausgewiesen und ist ausdrücklich kein veröffentlichter Marktwert.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00"/>
      </w:tblGrid>
      <w:tr>
        <w:tc>
          <w:tcPr>
            <w:tcW w:type="dxa" w:w="3200"/>
            <w:shd w:fill="1F2D3D" w:val="clear"/>
          </w:tcPr>
          <w:p>
            <w:r>
              <w:rPr>
                <w:b/>
                <w:bCs/>
                <w:color w:val="FFFFFF"/>
                <w:sz w:val="20"/>
                <w:szCs w:val="20"/>
              </w:rPr>
              <w:t xml:space="preserve">Ebene</w:t>
            </w:r>
          </w:p>
        </w:tc>
        <w:tc>
          <w:tcPr>
            <w:tcW w:type="dxa" w:w="3000"/>
            <w:shd w:fill="1F2D3D" w:val="clear"/>
          </w:tcPr>
          <w:p>
            <w:r>
              <w:rPr>
                <w:b/>
                <w:bCs/>
                <w:color w:val="FFFFFF"/>
                <w:sz w:val="20"/>
                <w:szCs w:val="20"/>
              </w:rPr>
              <w:t xml:space="preserve">Größenordnung</w:t>
            </w:r>
          </w:p>
        </w:tc>
        <w:tc>
          <w:tcPr>
            <w:tcW w:type="dxa" w:w="2800"/>
            <w:shd w:fill="1F2D3D" w:val="clear"/>
          </w:tcPr>
          <w:p>
            <w:r>
              <w:rPr>
                <w:b/>
                <w:bCs/>
                <w:color w:val="FFFFFF"/>
                <w:sz w:val="20"/>
                <w:szCs w:val="20"/>
              </w:rPr>
              <w:t xml:space="preserve">Quelle beziehungsweise Herleitung</w:t>
            </w:r>
          </w:p>
        </w:tc>
      </w:tr>
      <w:tr>
        <w:tc>
          <w:tcPr>
            <w:tcW w:type="dxa" w:w="3200"/>
          </w:tcPr>
          <w:p>
            <w:r>
              <w:rPr>
                <w:b w:val="false"/>
                <w:bCs w:val="false"/>
                <w:sz w:val="20"/>
                <w:szCs w:val="20"/>
              </w:rPr>
              <w:t xml:space="preserve">TAM: globaler Markt für Relocation-Management-Software</w:t>
            </w:r>
          </w:p>
        </w:tc>
        <w:tc>
          <w:tcPr>
            <w:tcW w:type="dxa" w:w="3000"/>
          </w:tcPr>
          <w:p>
            <w:r>
              <w:rPr>
                <w:b w:val="false"/>
                <w:bCs w:val="false"/>
                <w:sz w:val="20"/>
                <w:szCs w:val="20"/>
              </w:rPr>
              <w:t xml:space="preserve">1,58 Milliarden USD (2025), Wachstum auf 3,81 Milliarden USD (2035), rund 9,2 Prozent CAGR</w:t>
            </w:r>
          </w:p>
        </w:tc>
        <w:tc>
          <w:tcPr>
            <w:tcW w:type="dxa" w:w="2800"/>
          </w:tcPr>
          <w:p>
            <w:r>
              <w:rPr>
                <w:b w:val="false"/>
                <w:bCs w:val="false"/>
                <w:sz w:val="20"/>
                <w:szCs w:val="20"/>
              </w:rPr>
              <w:t xml:space="preserve">Spherical Insights, 2025</w:t>
            </w:r>
          </w:p>
        </w:tc>
      </w:tr>
      <w:tr>
        <w:tc>
          <w:tcPr>
            <w:tcW w:type="dxa" w:w="3200"/>
            <w:shd w:fill="F2F2F2" w:val="clear"/>
          </w:tcPr>
          <w:p>
            <w:r>
              <w:rPr>
                <w:b w:val="false"/>
                <w:bCs w:val="false"/>
                <w:sz w:val="20"/>
                <w:szCs w:val="20"/>
              </w:rPr>
              <w:t xml:space="preserve">SAM: deutscher Markt für Relocation- und Onboarding-Software</w:t>
            </w:r>
          </w:p>
        </w:tc>
        <w:tc>
          <w:tcPr>
            <w:tcW w:type="dxa" w:w="3000"/>
            <w:shd w:fill="F2F2F2" w:val="clear"/>
          </w:tcPr>
          <w:p>
            <w:r>
              <w:rPr>
                <w:b w:val="false"/>
                <w:bCs w:val="false"/>
                <w:sz w:val="20"/>
                <w:szCs w:val="20"/>
              </w:rPr>
              <w:t xml:space="preserve">0,7 Milliarden USD (2024), Wachstum auf 1,4 Milliarden USD (2033), rund 8,3 Prozent CAGR</w:t>
            </w:r>
          </w:p>
        </w:tc>
        <w:tc>
          <w:tcPr>
            <w:tcW w:type="dxa" w:w="2800"/>
            <w:shd w:fill="F2F2F2" w:val="clear"/>
          </w:tcPr>
          <w:p>
            <w:r>
              <w:rPr>
                <w:b w:val="false"/>
                <w:bCs w:val="false"/>
                <w:sz w:val="20"/>
                <w:szCs w:val="20"/>
              </w:rPr>
              <w:t xml:space="preserve">Verified Market Reports, 2024</w:t>
            </w:r>
          </w:p>
        </w:tc>
      </w:tr>
      <w:tr>
        <w:tc>
          <w:tcPr>
            <w:tcW w:type="dxa" w:w="3200"/>
          </w:tcPr>
          <w:p>
            <w:r>
              <w:rPr>
                <w:b w:val="false"/>
                <w:bCs w:val="false"/>
                <w:sz w:val="20"/>
                <w:szCs w:val="20"/>
              </w:rPr>
              <w:t xml:space="preserve">SOM: deutsches Ausgangssegment internationale Pflegekräfte, illustrative Modellrechnung</w:t>
            </w:r>
          </w:p>
        </w:tc>
        <w:tc>
          <w:tcPr>
            <w:tcW w:type="dxa" w:w="3000"/>
          </w:tcPr>
          <w:p>
            <w:r>
              <w:rPr>
                <w:b w:val="false"/>
                <w:bCs w:val="false"/>
                <w:sz w:val="20"/>
                <w:szCs w:val="20"/>
              </w:rPr>
              <w:t xml:space="preserve">rund 490 Millionen EUR jährliches Ausgabenvolumen der Arbeitgeber (ca. 32.500 Anerkennungen mal ca. 15.000 EUR durchschnittlicher Aufwand pro Fall)</w:t>
            </w:r>
          </w:p>
        </w:tc>
        <w:tc>
          <w:tcPr>
            <w:tcW w:type="dxa" w:w="2800"/>
          </w:tcPr>
          <w:p>
            <w:r>
              <w:rPr>
                <w:b w:val="false"/>
                <w:bCs w:val="false"/>
                <w:sz w:val="20"/>
                <w:szCs w:val="20"/>
              </w:rPr>
              <w:t xml:space="preserve">eigene Modellrechnung, Basis: Statistisches Bundesamt (Anerkennungen 2024) und TalentOrbit (Kostenspanne 2026)</w:t>
            </w:r>
          </w:p>
        </w:tc>
      </w:tr>
    </w:tbl>
    <w:p>
      <w:pPr>
        <w:spacing w:after="160"/>
        <w:jc w:val="both"/>
      </w:pPr>
      <w:r>
        <w:t xml:space="preserve"/>
      </w:r>
    </w:p>
    <w:p>
      <w:pPr>
        <w:spacing w:after="160"/>
        <w:jc w:val="both"/>
      </w:pPr>
      <w:r>
        <w:t xml:space="preserve">Zusätzlich zum Software-Markt existiert ein deutlich größerer, aber unschärfer abgegrenzter Markt für Relocation- und Umzugsdienstleistungen. Für Deutschland werden je nach Quelle Größenordnungen von rund zwei Milliarden USD bei rund sechs Prozent Wachstum genannt. Diese Zahlen mischen jedoch physische Umzugsdienstleistungen mit organisatorischen Relocation-Dienstleistungen und werden deshalb bewusst nicht als AMAVIOs Referenzmarkt verwendet.</w:t>
      </w:r>
    </w:p>
    <w:p>
      <w:pPr>
        <w:pStyle w:val="Heading2"/>
        <w:spacing w:after="120" w:before="240"/>
      </w:pPr>
      <w:r>
        <w:rPr>
          <w:b/>
          <w:bCs/>
          <w:color w:val="8A6D3A"/>
          <w:sz w:val="26"/>
          <w:szCs w:val="26"/>
        </w:rPr>
        <w:t xml:space="preserve">Der strukturelle Nachfragetreiber</w:t>
      </w:r>
    </w:p>
    <w:p>
      <w:pPr>
        <w:spacing w:after="160"/>
        <w:jc w:val="both"/>
      </w:pPr>
      <w:r>
        <w:t xml:space="preserve">Die Nachfrage ist nicht konjunkturell, sondern demografisch. Deutschland benötigt laut Bundesagentur für Arbeit rund 400.000 zugewanderte Fachkräfte pro Jahr, um die eigenen Erwerbsbevölkerungslücken zu schließen. Für die Pflege prognostiziert das Statistische Bundesamt einen Fachkräftemangel von bis zu 690.000 Personen bis 2049. Die tatsächlichen Anerkennungen wachsen bereits schneller, als die heutige Agenturlandschaft sie bedienen kann: 32.500 Anerkennungen ausländischer Pflegequalifikationen im Jahr 2024 entsprechen einem Anstieg von 19 Prozent gegenüber dem Vorjahr. Der Bestand an ausländischen Pflegekräften in Deutschland lag 2025 laut Mediendienst Integration bei rund 352.600 Personen; das entspricht 20 Prozent der gesamten Pflege-Erwerbstätigen und dem fünffachen Wert von 2013.</w:t>
      </w:r>
    </w:p>
    <w:p>
      <w:pPr>
        <w:spacing w:after="160"/>
        <w:jc w:val="both"/>
      </w:pPr>
      <w:r>
        <w:t xml:space="preserve">Diese Zahlen bedeuten für AMAVIO nicht, dass der gesamte Bestand ein direkter Zielmarkt ist. Sie zeigen aber, dass die jährliche Neu-Ankunftsrate hoch genug ist, um ein tragfähiges Geschäftsmodell zu tragen: Selbst ein Marktanteil im niedrigen einstelligen Prozentbereich der jährlichen Anerkennungen ergibt in Kombination mit den vorhandenen Paketpreisen ein siebenstelliges Umsatzpotenzial pro Jahr.</w:t>
      </w:r>
    </w:p>
    <w:p>
      <w:pPr>
        <w:pStyle w:val="Heading2"/>
        <w:spacing w:after="120" w:before="240"/>
      </w:pPr>
      <w:r>
        <w:rPr>
          <w:b/>
          <w:bCs/>
          <w:color w:val="8A6D3A"/>
          <w:sz w:val="26"/>
          <w:szCs w:val="26"/>
        </w:rPr>
        <w:t xml:space="preserve">Zwei benachbarte Segmente als spätere Ausbaufelder</w:t>
      </w:r>
    </w:p>
    <w:p>
      <w:pPr>
        <w:spacing w:after="160"/>
        <w:jc w:val="both"/>
      </w:pPr>
      <w:r>
        <w:t xml:space="preserve">Über die Pflege hinaus existieren zwei benachbarte Segmente mit vergleichbarem Ankunftsbruch: die IT- und Ingenieursberufe, in denen internationale Fachkräfte über Fachkräfteeinwanderungsverfahren, EU-Blue-Card und Anerkennungspartnerschaften zunehmend gezielt gewonnen werden, sowie das Handwerk, in dem der Bedarf an internationalen Auszubildenden und Meistern strukturell wächst. Beide Segmente werden im Investoren-Businessplan nicht als Bestandteil der ersten Zielphase modelliert, aber als spätere Skalierungsoption ausgewiesen. Sie erweitern das obengenannte SOM-Segment um ein Vielfaches, sobald das Modell im Pflegesegment produktseitig steht.</w:t>
      </w:r>
    </w:p>
    <w:p>
      <w:pPr>
        <w:pStyle w:val="Heading2"/>
        <w:spacing w:after="120" w:before="240"/>
      </w:pPr>
      <w:r>
        <w:rPr>
          <w:b/>
          <w:bCs/>
          <w:color w:val="8A6D3A"/>
          <w:sz w:val="26"/>
          <w:szCs w:val="26"/>
        </w:rPr>
        <w:t xml:space="preserve">Das Bewegungsmuster in benachbarten Kapitalmärkten</w:t>
      </w:r>
    </w:p>
    <w:p>
      <w:pPr>
        <w:spacing w:after="160"/>
        <w:jc w:val="both"/>
      </w:pPr>
      <w:r>
        <w:t xml:space="preserve">Ein zusätzliches Signal für die Investorenrelevanz des Marktes liefert das Bewegungsmuster in unmittelbar benachbarten Feldern. TERN Group hat im September 2025 24 Millionen US-Dollar für die Fachkräftemobilität in der Pflege eingesammelt und benennt Deutschland ausdrücklich als Zielmarkt; Notion Capital führte die Runde an, RTP Global, LocalGlobe, EQ2 Ventures und Leo Capital beteiligten sich. Localyze aus Hamburg hat insgesamt 48 Millionen US-Dollar über eine Series A durch Blossom Capital und eine Series B durch General Catalyst eingesammelt. Medwing aus Berlin schloss 2023 eine 44 Millionen EUR schwere Series C ab, mit Fokus auf einen Marktplatz für Gesundheitsberufe. Jobbatical hat insgesamt rund 20 Millionen EUR aufgenommen, darunter eine Series A von 11,6 Millionen EUR unter Führung von Inventure im September 2022. Als globaler Employer-of-Record-Vergleichspunkt hat Deel im Oktober 2025 eine Series E von 300 Millionen US-Dollar zu einer Bewertung von 17,3 Milliarden US-Dollar abgeschlossen. Diese Runden bilden nicht AMAVIOs eigene Kategorie ab, aber sie zeigen, dass der Gesamtbereich Ankunft, Mobilität und Personalinfrastruktur für internationale Fachkräfte von Kapitalgebern in der jüngsten Vergangenheit substanziell finanziert wurde.</w:t>
      </w:r>
    </w:p>
    <w:p>
      <w:r>
        <w:br w:type="page"/>
      </w:r>
    </w:p>
    <w:p>
      <w:pPr>
        <w:pStyle w:val="Heading1"/>
        <w:spacing w:after="150" w:before="300"/>
      </w:pPr>
      <w:r>
        <w:rPr>
          <w:b/>
          <w:bCs/>
          <w:color w:val="1F2D3D"/>
          <w:sz w:val="32"/>
          <w:szCs w:val="32"/>
        </w:rPr>
        <w:t xml:space="preserve">4. Produktvision und Ausbaustufen</w:t>
      </w:r>
    </w:p>
    <w:p>
      <w:pPr>
        <w:pStyle w:val="Heading2"/>
        <w:spacing w:after="120" w:before="240"/>
      </w:pPr>
      <w:r>
        <w:rPr>
          <w:b/>
          <w:bCs/>
          <w:color w:val="8A6D3A"/>
          <w:sz w:val="26"/>
          <w:szCs w:val="26"/>
        </w:rPr>
        <w:t xml:space="preserve">Das Grundprinzip</w:t>
      </w:r>
    </w:p>
    <w:p>
      <w:pPr>
        <w:spacing w:after="160"/>
        <w:jc w:val="both"/>
      </w:pPr>
      <w:r>
        <w:t xml:space="preserve">AMAVIO ist ein Produktunternehmen, das aus einer Dienstleistung heraus entsteht. Die Dienstleistung ist heute die eigentliche Wertschöpfung; das Produkt entsteht aus der strukturierten Ablage und Wiederverwendung dessen, was in der Dienstleistung ohnehin passiert. Dieser Weg wird bewusst gewählt statt eines rein produktgetriebenen Ansatzes, weil zweiseitige Marktplätze und KI-Werkzeuge in einem sensiblen Feld wie der Ankunftskoordination internationaler Fachkräfte nur dann funktionieren, wenn sie auf echten, dokumentierten Fällen aufsetzen. Ohne Fallwissen wird jede Software zur leeren Plattform; mit Fallwissen wird sie zu einem operativen Vorteil, den ein reiner Software-Wettbewerber ohne eigene Feldpräsenz nicht schnell aufholen kann.</w:t>
      </w:r>
    </w:p>
    <w:p>
      <w:pPr>
        <w:pStyle w:val="Heading2"/>
        <w:spacing w:after="120" w:before="240"/>
      </w:pPr>
      <w:r>
        <w:rPr>
          <w:b/>
          <w:bCs/>
          <w:color w:val="8A6D3A"/>
          <w:sz w:val="26"/>
          <w:szCs w:val="26"/>
        </w:rPr>
        <w:t xml:space="preserve">Stufe 1: Fallsteuerung als internes Werkzeug</w:t>
      </w:r>
    </w:p>
    <w:p>
      <w:pPr>
        <w:spacing w:after="160"/>
        <w:jc w:val="both"/>
      </w:pPr>
      <w:r>
        <w:t xml:space="preserve">Die erste Stufe wird bewusst als internes Werkzeug für AMAVIO selbst gebaut, nicht als extern verkaufte Software. Jeder Fall, also jede internationale Fachkraft, die AMAVIO für einen Arbeitgeber begleitet, wird in einer strukturierten digitalen Fallakte geführt. Diese Fallakte enthält Stammdaten der Fachkraft und der Familie, den Zeitplan der Ankunft, die zu erledigenden Aufgaben nach Kategorie (Wohnraum, Behörde, Familie, Sprache, Betrieb), die verantwortlichen Personen, die Termine, die Statuspunkte, die Freigaben durch den Arbeitgeber, die getroffenen Entscheidungen mit Begründung und die abgeschlossenen Dokumente. Aus dieser Fallakte entsteht automatisch der Statusbericht für den Arbeitgeber, der heute noch manuell erstellt wird.</w:t>
      </w:r>
    </w:p>
    <w:p>
      <w:pPr>
        <w:spacing w:after="160"/>
        <w:jc w:val="both"/>
      </w:pPr>
      <w:r>
        <w:t xml:space="preserve">Der technische Aufbau erfolgt zunächst als Low-Code-Umsetzung auf einer etablierten Plattform, um in kurzer Zeit ein produktiv nutzbares Werkzeug bereitzustellen, ohne bereits eine eigenständige Entwicklungskapazität aufbauen zu müssen. Sobald aus der Nutzung stabile Anforderungen abgeleitet sind und das Volumen die Belastungsgrenzen einer Low-Code-Lösung übersteigt, erfolgt der Übergang zu einer eigenen technischen Kapazität und einer für AMAVIO spezifischen Anwendung. Dieser zweistufige technische Aufbau ist Standard in datengetriebenen Dienstleistungsunternehmen; er reduziert das Anfangsrisiko und verhindert, dass Kapital in eine Plattform investiert wird, deren tatsächliche Nutzungsmuster noch nicht bekannt sind.</w:t>
      </w:r>
    </w:p>
    <w:p>
      <w:pPr>
        <w:spacing w:after="160"/>
        <w:jc w:val="both"/>
      </w:pPr>
      <w:r>
        <w:t xml:space="preserve">Bereits in Stufe 1 entsteht ein messbarer wirtschaftlicher Effekt. Jeder Fall, der in derselben Struktur bearbeitet wird, senkt den Zeitaufwand für den nächsten vergleichbaren Fall, weil Ablaufpläne, Formulare, Ansprechpartnerlisten und getroffene Entscheidungen wieder verwendet werden können. Dieser Effekt ist der Kern der These, dass sich die Marge im Zeitverlauf verbessert: Was heute noch als überwiegend personalbasierte Dienstleistung erbracht wird, wird schrittweise durch strukturierte Software unterstützt und dadurch pro Fall günstiger.</w:t>
      </w:r>
    </w:p>
    <w:p>
      <w:pPr>
        <w:pStyle w:val="Heading2"/>
        <w:spacing w:after="120" w:before="240"/>
      </w:pPr>
      <w:r>
        <w:rPr>
          <w:b/>
          <w:bCs/>
          <w:color w:val="8A6D3A"/>
          <w:sz w:val="26"/>
          <w:szCs w:val="26"/>
        </w:rPr>
        <w:t xml:space="preserve">Stufe 2: Zweiseitiger Marktplatz</w:t>
      </w:r>
    </w:p>
    <w:p>
      <w:pPr>
        <w:spacing w:after="160"/>
        <w:jc w:val="both"/>
      </w:pPr>
      <w:r>
        <w:t xml:space="preserve">Auf der Basis der internen Fallsteuerung wird in einer zweiten Stufe ein Marktplatz entwickelt, der drei Gruppen zusammenbringt: Arbeitgeber mit Ankunftsbedarf, Fachkräfte in der Ankunftsphase und geprüfte Servicepartner, die einzelne Bausteine liefern. Zu den Servicepartnern gehören Wohnungsanbieter und Untervermieter, Übersetzungs- und Beglaubigungsdienste, Umzugs- und Möbelanbieter, Sprachschulen, spezialisierte Steuerberatungen, Familien- und Erziehungsberatungen, Werkstätten für den Führerscheinerwerb und kommunale Anlaufstellen. Jeder Partner wird auf Zuverlässigkeit, Preisstellung und rechtliche Sauberkeit geprüft, bevor er auf dem Marktplatz freigeschaltet wird; diese Vorprüfung ist Teil der Wertschöpfung und der Grund, warum Arbeitgeber bereit sein werden, für den Marktplatzzugang zu bezahlen.</w:t>
      </w:r>
    </w:p>
    <w:p>
      <w:pPr>
        <w:spacing w:after="160"/>
        <w:jc w:val="both"/>
      </w:pPr>
      <w:r>
        <w:t xml:space="preserve">Der Marktplatz eröffnet zwei zusätzliche Erlösquellen neben dem heutigen Paketumsatz. Erstens eine wiederkehrende Zugangsgebühr für Arbeitgeber mit einer Arrival-Office-Lizenz: Statt jedes Mal ein neues Einzelprojekt zu buchen, zahlt der Arbeitgeber einen jährlichen Beitrag und kann seine eigene HR-Abteilung mit AMAVIOs Werkzeug arbeiten lassen. Zweitens eine Beteiligung an den Umsätzen, die über den Marktplatz an Servicepartner vermittelt werden. Die genaue Höhe wird pro Partnerkategorie festgelegt, orientiert an den branchenüblichen Vermittlungsgebühren; für die Modellrechnungen im Finanzteil wird konservativ mit einer durchschnittlichen Beteiligung im niedrigen bis mittleren einstelligen Prozentbereich gerechnet.</w:t>
      </w:r>
    </w:p>
    <w:p>
      <w:pPr>
        <w:pStyle w:val="Heading2"/>
        <w:spacing w:after="120" w:before="240"/>
      </w:pPr>
      <w:r>
        <w:rPr>
          <w:b/>
          <w:bCs/>
          <w:color w:val="8A6D3A"/>
          <w:sz w:val="26"/>
          <w:szCs w:val="26"/>
        </w:rPr>
        <w:t xml:space="preserve">Stufe 3: Unterstützung durch künstliche Intelligenz</w:t>
      </w:r>
    </w:p>
    <w:p>
      <w:pPr>
        <w:spacing w:after="160"/>
        <w:jc w:val="both"/>
      </w:pPr>
      <w:r>
        <w:t xml:space="preserve">Die dritte Stufe nutzt die strukturierten Fall- und Marktplatzdaten für eine gezielte Automatisierung. AMAVIO entwickelt bewusst keine eigenen Grundlagenmodelle, weil das in dieser Phase weder wirtschaftlich noch technisch sinnvoll wäre. Statt dessen wird auf bestehenden leistungsfähigen Sprach- und Multimodalmodellen aufgesetzt, die über Programmierschnittstellen angebunden werden. Die eigene Wertschöpfung liegt in vier Punkten: erstens in der Fachlogik, die in Prompts und Arbeitsabläufe übersetzt wird und die für einen sicheren Umgang mit Behördenverfahren, Aufenthaltsrecht und Anerkennungsfragen notwendig ist; zweitens in der strukturierten Datenbasis aus den bereits geführten Fällen, die als Kontext für die Modelle dient; drittens in den datenschutzkonformen Anschlüssen an die deutschen Systeme, die für einen produktiven Einsatz notwendig sind; viertens in den Rückkopplungsschleifen mit den Anwendern, die die Qualität der KI-Vorschläge im Zeitverlauf verbessern.</w:t>
      </w:r>
    </w:p>
    <w:p>
      <w:pPr>
        <w:spacing w:after="160"/>
        <w:jc w:val="both"/>
      </w:pPr>
      <w:r>
        <w:t xml:space="preserve">Konkrete Anwendungen der KI-Stufe sind die halbautomatische Prüfung und Vorbereitung von Behörden- und Anerkennungsdokumenten, mehrsprachige Kommunikationsunterstützung zwischen Arbeitgeber und Fachkraft mit klarem Hinweis auf maschinelle Übersetzung, ein Frühwarnsystem für Abbruchrisiken auf Basis von Ablaufmustern in vergleichbaren früheren Fällen, sowie ein Vorschlagsmodell für Wohnraum- und Servicepartner, das die Präferenzen der Fachkraft, die Vorgaben des Arbeitgebers und die Kapazitäten der Partner zusammenführt. Die KI trifft in keinem dieser Anwendungsfälle Entscheidungen über Personen, Aufenthaltsfragen oder Leistungsansprüche; sie bereitet Entscheidungen vor, die von Menschen mit klarer Verantwortlichkeit getroffen werden. Diese Abgrenzung ist bewusst konservativ und entspricht dem Umgang mit dem entstehenden europäischen KI-Rechtsrahmen sowie den Anforderungen der Datenschutz-Grundverordnung.</w:t>
      </w:r>
    </w:p>
    <w:p>
      <w:pPr>
        <w:pStyle w:val="Heading2"/>
        <w:spacing w:after="120" w:before="240"/>
      </w:pPr>
      <w:r>
        <w:rPr>
          <w:b/>
          <w:bCs/>
          <w:color w:val="8A6D3A"/>
          <w:sz w:val="26"/>
          <w:szCs w:val="26"/>
        </w:rPr>
        <w:t xml:space="preserve">Was AMAVIO ausdrücklich nicht ist</w:t>
      </w:r>
    </w:p>
    <w:p>
      <w:pPr>
        <w:spacing w:after="160"/>
        <w:jc w:val="both"/>
      </w:pPr>
      <w:r>
        <w:t xml:space="preserve">Um Fehlerwartungen bei Investoren wie bei künftigen Kunden zu vermeiden, ist die Abgrenzung genauso wichtig wie das Leistungsversprechen. AMAVIO ist keine Personalvermittlung im Sinne des Arbeitnehmerüberlassungsgesetzes und übernimmt keine Rechts-, Steuer- oder Visa-Beratung. Diese Fachleistungen bleiben bei qualifizierten Dritten; AMAVIO koordiniert diese Leistungen und dokumentiert sie transparent. Diese Abgrenzung ist bewusst gewählt, weil sie Haftungsrisiken begrenzt, die Zulassungspflicht in stark regulierten Feldern vermeidet und für Arbeitgeber in jeder Ausbaustufe klar erkennbar macht, was sie kaufen. Die Verknüpfung mit Fachpartnern ist Bestandteil des Marktplatzmodells und wird kaufmännisch sauber getrennt vom eigenen Leistungsversprechen abgebildet.</w:t>
      </w:r>
    </w:p>
    <w:p>
      <w:r>
        <w:br w:type="page"/>
      </w:r>
    </w:p>
    <w:p>
      <w:pPr>
        <w:pStyle w:val="Heading1"/>
        <w:spacing w:after="150" w:before="300"/>
      </w:pPr>
      <w:r>
        <w:rPr>
          <w:b/>
          <w:bCs/>
          <w:color w:val="1F2D3D"/>
          <w:sz w:val="32"/>
          <w:szCs w:val="32"/>
        </w:rPr>
        <w:t xml:space="preserve">5. Wettbewerb und Positionierung</w:t>
      </w:r>
    </w:p>
    <w:p>
      <w:pPr>
        <w:pStyle w:val="Heading2"/>
        <w:spacing w:after="120" w:before="240"/>
      </w:pPr>
      <w:r>
        <w:rPr>
          <w:b/>
          <w:bCs/>
          <w:color w:val="8A6D3A"/>
          <w:sz w:val="26"/>
          <w:szCs w:val="26"/>
        </w:rPr>
        <w:t xml:space="preserve">Zwei getrennte Vergleichsgruppen</w:t>
      </w:r>
    </w:p>
    <w:p>
      <w:pPr>
        <w:spacing w:after="160"/>
        <w:jc w:val="both"/>
      </w:pPr>
      <w:r>
        <w:t xml:space="preserve">Die Wettbewerbssituation von AMAVIO lässt sich nicht mit einer einzigen Vergleichsgruppe beschreiben, weil zwei Gruppen mit sehr unterschiedlichen Kapitalstrukturen parallel im Markt aktiv sind. Die erste Gruppe sind kapitalstarke, technologiegetriebene Unternehmen aus angrenzenden Feldern, die bislang keinen expliziten Fokus auf die deutsche Ankunfts- und Integrationskoordination im Mittelstand haben. Die zweite Gruppe sind etablierte deutsche Agenturen mit guter Marktkenntnis und langjährigen Kundenbeziehungen, aber ohne Venture-Kapital und ohne eine skalierende Software-Ebene. AMAVIO positioniert sich in der Lücke zwischen diesen beiden Gruppen und nutzt Elemente aus beiden.</w:t>
      </w:r>
    </w:p>
    <w:p>
      <w:pPr>
        <w:pStyle w:val="Heading2"/>
        <w:spacing w:after="120" w:before="240"/>
      </w:pPr>
      <w:r>
        <w:rPr>
          <w:b/>
          <w:bCs/>
          <w:color w:val="8A6D3A"/>
          <w:sz w:val="26"/>
          <w:szCs w:val="26"/>
        </w:rPr>
        <w:t xml:space="preserve">Die kapitalstarken, technologiegetriebenen Wettbewerber</w:t>
      </w:r>
    </w:p>
    <w:p>
      <w:pPr>
        <w:spacing w:after="160"/>
        <w:jc w:val="both"/>
      </w:pPr>
      <w:r>
        <w:t xml:space="preserve">TERN Group aus London ist der derzeit sichtbarste finanzierte Vergleichspunkt im Pflegesegment. Das Unternehmen wurde 2023 gegründet, bringt nach eigenen Angaben rund 2.500 Pflegekräfte pro Jahr nach Deutschland und arbeitet ohne Vermittlungsgebühr für die Fachkraft selbst. Die Series A im September 2025 in Höhe von 24 Millionen US-Dollar unter Führung von Notion Capital brachte das Gesamtvolumen auf 33 Millionen US-Dollar. TERN adressiert primär die Recruiting- und Vorbereitungsphase im Herkunftsland; die Ankunfts- und Integrationskoordination in Deutschland selbst gehört bislang nicht zum ausgewiesenen Kernprodukt. Für AMAVIO bedeutet das sowohl eine Wettbewerbsbeobachtung als auch eine mögliche Partnerschaftsoption entlang der Wertschöpfungskette.</w:t>
      </w:r>
    </w:p>
    <w:p>
      <w:pPr>
        <w:spacing w:after="160"/>
        <w:jc w:val="both"/>
      </w:pPr>
      <w:r>
        <w:t xml:space="preserve">Localyze aus Hamburg ist mit insgesamt 48,1 Millionen US-Dollar Finanzierung, unter anderem durch Accel und Sequoia, der finanzierte Vergleichspunkt für Relocation- und Immigrationssoftware in Deutschland. Die Zielkunden sind vor allem international aufgestellte Technologie- und Konzernkunden, die für eine große Zahl an Mitarbeitenden aus dem Ausland die aufenthaltsrechtlichen und administrativen Prozesse standardisieren. Der Ankunfts- und Wohnraumaspekt sowie der spezifische Kontext von Pflege- und Gesundheitseinrichtungen sind nicht der Fokus dieses Wettbewerbers.</w:t>
      </w:r>
    </w:p>
    <w:p>
      <w:pPr>
        <w:spacing w:after="160"/>
        <w:jc w:val="both"/>
      </w:pPr>
      <w:r>
        <w:t xml:space="preserve">Medwing aus Berlin hat 2023 eine Series C in Höhe von 44 Millionen EUR abgeschlossen und betreibt einen Marktplatz für Gesundheitsberufe mit rund 500.000 Fachkräften und rund 5.500 Arbeitgebern. Der Fokus liegt auf der Vermittlung selbst, nicht auf der Ankunfts- und Integrationskoordination nach dem Vertragsabschluss. Das Modell ist damit eher komplementär als konkurrierend.</w:t>
      </w:r>
    </w:p>
    <w:p>
      <w:pPr>
        <w:spacing w:after="160"/>
        <w:jc w:val="both"/>
      </w:pPr>
      <w:r>
        <w:t xml:space="preserve">Jobbatical mit Sitz in Estland hat insgesamt rund 20 Millionen EUR eingesammelt, darunter eine Series A von 11,6 Millionen EUR unter Führung von Inventure im September 2022; weitere Runden sind seither nicht öffentlich bekannt. Das Unternehmen ist eine Immigrations- und Relocation-Plattform mit internationalem Anspruch. In Deutschland ist Jobbatical bisher weniger sichtbar aktiv als Localyze.</w:t>
      </w:r>
    </w:p>
    <w:p>
      <w:pPr>
        <w:spacing w:after="160"/>
        <w:jc w:val="both"/>
      </w:pPr>
      <w:r>
        <w:t xml:space="preserve">Deel als globaler Employer-of-Record-Anbieter dient als Kategorie-Referenzpunkt, nicht als direkter Wettbewerber. Die im Oktober 2025 abgeschlossene Series E in Höhe von 300 Millionen US-Dollar zu einer Bewertung von 17,3 Milliarden US-Dollar zeigt, wie groß der übergeordnete Markt für Personalinfrastruktur mit internationalem Bezug geworden ist.</w:t>
      </w:r>
    </w:p>
    <w:p>
      <w:pPr>
        <w:pStyle w:val="Heading2"/>
        <w:spacing w:after="120" w:before="240"/>
      </w:pPr>
      <w:r>
        <w:rPr>
          <w:b/>
          <w:bCs/>
          <w:color w:val="8A6D3A"/>
          <w:sz w:val="26"/>
          <w:szCs w:val="26"/>
        </w:rPr>
        <w:t xml:space="preserve">Die deutschen Fachagenturen</w:t>
      </w:r>
    </w:p>
    <w:p>
      <w:pPr>
        <w:spacing w:after="160"/>
        <w:jc w:val="both"/>
      </w:pPr>
      <w:r>
        <w:t xml:space="preserve">TalentOrange mit Sitz in Frankfurt am Main ist seit 2012 auf die Vermittlung ausländischer Pflegekräfte und Erzieher spezialisiert. Nach eigenen Angaben hat das Unternehmen mehr als 3.000 Fachkräfte vermittelt, beschäftigt über 80 Mitarbeitende und weist eine Fünfjahresbindung von über 95 Prozent aus. Eine externe Kapitalzuführung ist öffentlich nicht bekannt; das Unternehmen ist gründergeführt und eigenfinanziert.</w:t>
      </w:r>
    </w:p>
    <w:p>
      <w:pPr>
        <w:spacing w:after="160"/>
        <w:jc w:val="both"/>
      </w:pPr>
      <w:r>
        <w:t xml:space="preserve">TrueCare, ebenfalls mit Sitz in Frankfurt, arbeitet als spezialisierter Fachpersonaldienstleister im Gesundheitswesen und hat nach eigenen Angaben über 2.000 Fachkräfte vermittelt. Die Gesellschaft ist mit 50.000 EUR Stammkapital ausgestattet, hat rund 50 deutsche und rund 40 internationale Mitarbeitende und ist ebenfalls eigenfinanziert.</w:t>
      </w:r>
    </w:p>
    <w:p>
      <w:pPr>
        <w:spacing w:after="160"/>
        <w:jc w:val="both"/>
      </w:pPr>
      <w:r>
        <w:t xml:space="preserve">compass international mit Sitz in Stuttgart ist ein kleines eigentümergeführtes Beratungs- und Relocation-Unternehmen mit 25.000 EUR Stammkapital und rund vier Beschäftigten. Der Fokus liegt auf Relocation, Trainings und Beratung, überwiegend für Konzernkunden. Externe Finanzierung ist nicht bekannt.</w:t>
      </w:r>
    </w:p>
    <w:p>
      <w:pPr>
        <w:spacing w:after="160"/>
        <w:jc w:val="both"/>
      </w:pPr>
      <w:r>
        <w:t xml:space="preserve">CuraVita medical + care ist eine kleine, eigentümergeführte Vermittlungsagentur im Gesundheitswesen ohne bekannte externe Finanzierung.</w:t>
      </w:r>
    </w:p>
    <w:p>
      <w:pPr>
        <w:spacing w:after="160"/>
        <w:jc w:val="both"/>
      </w:pPr>
      <w:r>
        <w:t xml:space="preserve">DEKRA Expert Migration ist Teil des DEKRA-Konzerns und keine eigenständig finanzierte Einheit. Der Konzern verfügt über erhebliche Ressourcen; die Einheit selbst konzentriert sich jedoch stark auf klassische Anerkennungs- und Migrationsverfahren und nicht auf die Ankunfts- und Integrationskoordination im engeren Sinne.</w:t>
      </w:r>
    </w:p>
    <w:p>
      <w:pPr>
        <w:spacing w:after="160"/>
        <w:jc w:val="both"/>
      </w:pPr>
      <w:r>
        <w:t xml:space="preserve">relocraft aus Hamburg beziehungsweise Greifswald ist der einzige deutsche App-Anbieter im engeren Sinne, der bereits eine erste externe Finanzierung erhalten hat, im Dezember 2024 durch ESB Invest Vorpommern; der Betrag wurde nicht öffentlich gemacht. Das Unternehmen bietet eine standardisierte App zur Pflege-Relocation und ist damit der nächste direkte Vergleichspunkt zu AMAVIOs späterer Marktplatzstufe. Der Unterschied liegt im Ansatz: relocraft ist bewusst bundesweit standardisiert; AMAVIO baut aus einer regional verankerten Dienstleistung heraus.</w:t>
      </w:r>
    </w:p>
    <w:p>
      <w:pPr>
        <w:pStyle w:val="Heading2"/>
        <w:spacing w:after="120" w:before="240"/>
      </w:pPr>
      <w:r>
        <w:rPr>
          <w:b/>
          <w:bCs/>
          <w:color w:val="8A6D3A"/>
          <w:sz w:val="26"/>
          <w:szCs w:val="26"/>
        </w:rPr>
        <w:t xml:space="preserve">Der Positionierungskern von AMAVIO</w:t>
      </w:r>
    </w:p>
    <w:p>
      <w:pPr>
        <w:spacing w:after="160"/>
        <w:jc w:val="both"/>
      </w:pPr>
      <w:r>
        <w:t xml:space="preserve">AMAVIOs Position ergibt sich aus vier Punkten, die einzeln nicht neu sind, deren Kombination aber im deutschen Markt bislang nicht besetzt ist. Erstens ein regional verankertes Fundament in Düsseldorf und Nordrhein-Westfalen, mit persönlichen Beziehungen zu Wohnungsunternehmen, Kammern, kommunalen Anlaufstellen und Arbeitgebern, das bundesweit standardisierte App-Anbieter naturgemäß nicht in dieser Tiefe abbilden können. Zweitens die direkte Feld- und Herkunftslandkompetenz des Gründers, die dem Modell von Beginn an einen glaubwürdigen Zugang zu Arbeitgebern wie zu Kandidaten verschafft, während kapitalstarke internationale Anbieter wie TERN Group Deutschland erst als neuen Zielmarkt erschließen. Drittens das Arrival-Office-Modell, das eine wiederholbare interne Struktur beim Arbeitgeber aufbaut und damit anders als eine reine Full-Service-Agentur nicht auf dauerhafte externe Abhängigkeit setzt. Viertens der bewusst gewählte Weg von der Dienstleistung zum Produkt, der die typische Marktplatz-Startphase überspringt, in der ohne Nachfrage kein Angebot und ohne Angebot keine Nachfrage entsteht.</w:t>
      </w:r>
    </w:p>
    <w:p>
      <w:r>
        <w:br w:type="page"/>
      </w:r>
    </w:p>
    <w:p>
      <w:pPr>
        <w:pStyle w:val="Heading1"/>
        <w:spacing w:after="150" w:before="300"/>
      </w:pPr>
      <w:r>
        <w:rPr>
          <w:b/>
          <w:bCs/>
          <w:color w:val="1F2D3D"/>
          <w:sz w:val="32"/>
          <w:szCs w:val="32"/>
        </w:rPr>
        <w:t xml:space="preserve">6. Geschäftsmodell und Unit Economics</w:t>
      </w:r>
    </w:p>
    <w:p>
      <w:pPr>
        <w:pStyle w:val="Heading2"/>
        <w:spacing w:after="120" w:before="240"/>
      </w:pPr>
      <w:r>
        <w:rPr>
          <w:b/>
          <w:bCs/>
          <w:color w:val="8A6D3A"/>
          <w:sz w:val="26"/>
          <w:szCs w:val="26"/>
        </w:rPr>
        <w:t xml:space="preserve">Die Erlösarchitektur im Überblick</w:t>
      </w:r>
    </w:p>
    <w:p>
      <w:pPr>
        <w:spacing w:after="160"/>
        <w:jc w:val="both"/>
      </w:pPr>
      <w:r>
        <w:t xml:space="preserve">Das Geschäftsmodell von AMAVIO ist bewusst mehrschichtig aufgebaut. In der ersten Phase trägt der Dienstleistungsumsatz aus den Arbeitgeberpaketen die Ertragsseite; er ist bereits am Markt validiert, wird in einem verhandelten Auftragsformat verkauft und ist unabhängig davon, ob die Plattformstufen bereits produktiv sind. In der zweiten Phase, ab der Marktplatzstufe, kommen zwei zusätzliche Erlösquellen hinzu: eine wiederkehrende Zugangsgebühr für Arbeitgeber, die AMAVIOs Werkzeug regelmäßig für die eigene Ankunftsorganisation nutzen wollen, und eine Beteiligung an vermittelten Servicepartnerleistungen. In der dritten Phase, ab der KI-gestützten Automatisierung, kommt eine über das Werkzeug abgerechnete Nutzungsgebühr für einzelne KI-basierte Funktionen hinzu, die Arbeitgeber und Fachpartner unabhängig vom Gesamtpaket nutzen können.</w:t>
      </w:r>
    </w:p>
    <w:p>
      <w:pPr>
        <w:pStyle w:val="Heading2"/>
        <w:spacing w:after="120" w:before="240"/>
      </w:pPr>
      <w:r>
        <w:rPr>
          <w:b/>
          <w:bCs/>
          <w:color w:val="8A6D3A"/>
          <w:sz w:val="26"/>
          <w:szCs w:val="26"/>
        </w:rPr>
        <w:t xml:space="preserve">Die Preisstruktur der Dienstleistungspakete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1400"/>
        <w:gridCol w:w="1300"/>
      </w:tblGrid>
      <w:tr>
        <w:tc>
          <w:tcPr>
            <w:tcW w:type="dxa" w:w="2500"/>
            <w:shd w:fill="1F2D3D" w:val="clear"/>
          </w:tcPr>
          <w:p>
            <w:r>
              <w:rPr>
                <w:b/>
                <w:bCs/>
                <w:color w:val="FFFFFF"/>
                <w:sz w:val="20"/>
                <w:szCs w:val="20"/>
              </w:rPr>
              <w:t xml:space="preserve">Baustein</w:t>
            </w:r>
          </w:p>
        </w:tc>
        <w:tc>
          <w:tcPr>
            <w:tcW w:type="dxa" w:w="3800"/>
            <w:shd w:fill="1F2D3D" w:val="clear"/>
          </w:tcPr>
          <w:p>
            <w:r>
              <w:rPr>
                <w:b/>
                <w:bCs/>
                <w:color w:val="FFFFFF"/>
                <w:sz w:val="20"/>
                <w:szCs w:val="20"/>
              </w:rPr>
              <w:t xml:space="preserve">Beschreibung</w:t>
            </w:r>
          </w:p>
        </w:tc>
        <w:tc>
          <w:tcPr>
            <w:tcW w:type="dxa" w:w="1400"/>
            <w:shd w:fill="1F2D3D" w:val="clear"/>
          </w:tcPr>
          <w:p>
            <w:r>
              <w:rPr>
                <w:b/>
                <w:bCs/>
                <w:color w:val="FFFFFF"/>
                <w:sz w:val="20"/>
                <w:szCs w:val="20"/>
              </w:rPr>
              <w:t xml:space="preserve">Preis, netto</w:t>
            </w:r>
          </w:p>
        </w:tc>
        <w:tc>
          <w:tcPr>
            <w:tcW w:type="dxa" w:w="1300"/>
            <w:shd w:fill="1F2D3D" w:val="clear"/>
          </w:tcPr>
          <w:p>
            <w:r>
              <w:rPr>
                <w:b/>
                <w:bCs/>
                <w:color w:val="FFFFFF"/>
                <w:sz w:val="20"/>
                <w:szCs w:val="20"/>
              </w:rPr>
              <w:t xml:space="preserve">Zahlungsmodell</w:t>
            </w:r>
          </w:p>
        </w:tc>
      </w:tr>
      <w:tr>
        <w:tc>
          <w:tcPr>
            <w:tcW w:type="dxa" w:w="2500"/>
          </w:tcPr>
          <w:p>
            <w:r>
              <w:rPr>
                <w:b w:val="false"/>
                <w:bCs w:val="false"/>
                <w:sz w:val="20"/>
                <w:szCs w:val="20"/>
              </w:rPr>
              <w:t xml:space="preserve">Start und Ankommen, 90 Tage</w:t>
            </w:r>
          </w:p>
        </w:tc>
        <w:tc>
          <w:tcPr>
            <w:tcW w:type="dxa" w:w="3800"/>
          </w:tcPr>
          <w:p>
            <w:r>
              <w:rPr>
                <w:b w:val="false"/>
                <w:bCs w:val="false"/>
                <w:sz w:val="20"/>
                <w:szCs w:val="20"/>
              </w:rPr>
              <w:t xml:space="preserve">Ankunftsfahrplan, Partnerkoordination, feste Statusberichte</w:t>
            </w:r>
          </w:p>
        </w:tc>
        <w:tc>
          <w:tcPr>
            <w:tcW w:type="dxa" w:w="1400"/>
          </w:tcPr>
          <w:p>
            <w:r>
              <w:rPr>
                <w:b w:val="false"/>
                <w:bCs w:val="false"/>
                <w:sz w:val="20"/>
                <w:szCs w:val="20"/>
              </w:rPr>
              <w:t xml:space="preserve">21.000 EUR</w:t>
            </w:r>
          </w:p>
        </w:tc>
        <w:tc>
          <w:tcPr>
            <w:tcW w:type="dxa" w:w="1300"/>
          </w:tcPr>
          <w:p>
            <w:r>
              <w:rPr>
                <w:b w:val="false"/>
                <w:bCs w:val="false"/>
                <w:sz w:val="20"/>
                <w:szCs w:val="20"/>
              </w:rPr>
              <w:t xml:space="preserve">40 Prozent bei Auftrag, 40 Prozent nach bestätigtem Ankunftsfahrplan, 20 Prozent bei geordneter Übergabe</w:t>
            </w:r>
          </w:p>
        </w:tc>
      </w:tr>
      <w:tr>
        <w:tc>
          <w:tcPr>
            <w:tcW w:type="dxa" w:w="2500"/>
            <w:shd w:fill="F2F2F2" w:val="clear"/>
          </w:tcPr>
          <w:p>
            <w:r>
              <w:rPr>
                <w:b w:val="false"/>
                <w:bCs w:val="false"/>
                <w:sz w:val="20"/>
                <w:szCs w:val="20"/>
              </w:rPr>
              <w:t xml:space="preserve">Ankommen und Stabilisieren, bis 180 Tage</w:t>
            </w:r>
          </w:p>
        </w:tc>
        <w:tc>
          <w:tcPr>
            <w:tcW w:type="dxa" w:w="3800"/>
            <w:shd w:fill="F2F2F2" w:val="clear"/>
          </w:tcPr>
          <w:p>
            <w:r>
              <w:rPr>
                <w:b w:val="false"/>
                <w:bCs w:val="false"/>
                <w:sz w:val="20"/>
                <w:szCs w:val="20"/>
              </w:rPr>
              <w:t xml:space="preserve">laufende Stabilisierung, frühe Erkennung von Abbruchrisiken</w:t>
            </w:r>
          </w:p>
        </w:tc>
        <w:tc>
          <w:tcPr>
            <w:tcW w:type="dxa" w:w="1400"/>
            <w:shd w:fill="F2F2F2" w:val="clear"/>
          </w:tcPr>
          <w:p>
            <w:r>
              <w:rPr>
                <w:b w:val="false"/>
                <w:bCs w:val="false"/>
                <w:sz w:val="20"/>
                <w:szCs w:val="20"/>
              </w:rPr>
              <w:t xml:space="preserve">29.500 EUR</w:t>
            </w:r>
          </w:p>
        </w:tc>
        <w:tc>
          <w:tcPr>
            <w:tcW w:type="dxa" w:w="1300"/>
            <w:shd w:fill="F2F2F2" w:val="clear"/>
          </w:tcPr>
          <w:p>
            <w:r>
              <w:rPr>
                <w:b w:val="false"/>
                <w:bCs w:val="false"/>
                <w:sz w:val="20"/>
                <w:szCs w:val="20"/>
              </w:rPr>
              <w:t xml:space="preserve">30 Prozent bei Auftrag, 40 Prozent nach bestätigtem Zwischenstand, 30 Prozent bei Übergabe</w:t>
            </w:r>
          </w:p>
        </w:tc>
      </w:tr>
      <w:tr>
        <w:tc>
          <w:tcPr>
            <w:tcW w:type="dxa" w:w="2500"/>
          </w:tcPr>
          <w:p>
            <w:r>
              <w:rPr>
                <w:b w:val="false"/>
                <w:bCs w:val="false"/>
                <w:sz w:val="20"/>
                <w:szCs w:val="20"/>
              </w:rPr>
              <w:t xml:space="preserve">Arrival Office</w:t>
            </w:r>
          </w:p>
        </w:tc>
        <w:tc>
          <w:tcPr>
            <w:tcW w:type="dxa" w:w="3800"/>
          </w:tcPr>
          <w:p>
            <w:r>
              <w:rPr>
                <w:b w:val="false"/>
                <w:bCs w:val="false"/>
                <w:sz w:val="20"/>
                <w:szCs w:val="20"/>
              </w:rPr>
              <w:t xml:space="preserve">Aufbau einer wiederholbaren internen Arbeitgeberstruktur</w:t>
            </w:r>
          </w:p>
        </w:tc>
        <w:tc>
          <w:tcPr>
            <w:tcW w:type="dxa" w:w="1400"/>
          </w:tcPr>
          <w:p>
            <w:r>
              <w:rPr>
                <w:b w:val="false"/>
                <w:bCs w:val="false"/>
                <w:sz w:val="20"/>
                <w:szCs w:val="20"/>
              </w:rPr>
              <w:t xml:space="preserve">18.000 EUR</w:t>
            </w:r>
          </w:p>
        </w:tc>
        <w:tc>
          <w:tcPr>
            <w:tcW w:type="dxa" w:w="1300"/>
          </w:tcPr>
          <w:p>
            <w:r>
              <w:rPr>
                <w:b w:val="false"/>
                <w:bCs w:val="false"/>
                <w:sz w:val="20"/>
                <w:szCs w:val="20"/>
              </w:rPr>
              <w:t xml:space="preserve">30 Prozent bei Auftrag, 40 Prozent nach eingerichteter Prozessstrecke, 30 Prozent bei Übergabe</w:t>
            </w:r>
          </w:p>
        </w:tc>
      </w:tr>
      <w:tr>
        <w:tc>
          <w:tcPr>
            <w:tcW w:type="dxa" w:w="2500"/>
            <w:shd w:fill="F2F2F2" w:val="clear"/>
          </w:tcPr>
          <w:p>
            <w:r>
              <w:rPr>
                <w:b w:val="false"/>
                <w:bCs w:val="false"/>
                <w:sz w:val="20"/>
                <w:szCs w:val="20"/>
              </w:rPr>
              <w:t xml:space="preserve">Care-Begleitung</w:t>
            </w:r>
          </w:p>
        </w:tc>
        <w:tc>
          <w:tcPr>
            <w:tcW w:type="dxa" w:w="3800"/>
            <w:shd w:fill="F2F2F2" w:val="clear"/>
          </w:tcPr>
          <w:p>
            <w:r>
              <w:rPr>
                <w:b w:val="false"/>
                <w:bCs w:val="false"/>
                <w:sz w:val="20"/>
                <w:szCs w:val="20"/>
              </w:rPr>
              <w:t xml:space="preserve">optionale monatliche Zusatzbetreuung</w:t>
            </w:r>
          </w:p>
        </w:tc>
        <w:tc>
          <w:tcPr>
            <w:tcW w:type="dxa" w:w="1400"/>
            <w:shd w:fill="F2F2F2" w:val="clear"/>
          </w:tcPr>
          <w:p>
            <w:r>
              <w:rPr>
                <w:b w:val="false"/>
                <w:bCs w:val="false"/>
                <w:sz w:val="20"/>
                <w:szCs w:val="20"/>
              </w:rPr>
              <w:t xml:space="preserve">4.500 EUR pro Monat</w:t>
            </w:r>
          </w:p>
        </w:tc>
        <w:tc>
          <w:tcPr>
            <w:tcW w:type="dxa" w:w="1300"/>
            <w:shd w:fill="F2F2F2" w:val="clear"/>
          </w:tcPr>
          <w:p>
            <w:r>
              <w:rPr>
                <w:b w:val="false"/>
                <w:bCs w:val="false"/>
                <w:sz w:val="20"/>
                <w:szCs w:val="20"/>
              </w:rPr>
              <w:t xml:space="preserve">monatliche Vorauszahlung, Kündigungsfrist ein Monat</w:t>
            </w:r>
          </w:p>
        </w:tc>
      </w:tr>
    </w:tbl>
    <w:p>
      <w:pPr>
        <w:spacing w:after="160"/>
        <w:jc w:val="both"/>
      </w:pPr>
      <w:r>
        <w:t xml:space="preserve"/>
      </w:r>
    </w:p>
    <w:p>
      <w:pPr>
        <w:spacing w:after="160"/>
        <w:jc w:val="both"/>
      </w:pPr>
      <w:r>
        <w:t xml:space="preserve">Die Zahlungsstaffelung ist keine bloße Konvention, sondern Bestandteil des Geschäftsmodells. Sie schützt AMAVIO vor Vorleistungen, die durch Kundenverzug entwertet werden können, und schützt den Arbeitgeber vor der Zahlung für eine Leistung, deren Fortschritt nicht dokumentiert ist. In der Modellrechnung sind die Zahlungsstaffeln als Grundlage für die Liquiditätsplanung angesetzt.</w:t>
      </w:r>
    </w:p>
    <w:p>
      <w:pPr>
        <w:pStyle w:val="Heading2"/>
        <w:spacing w:after="120" w:before="240"/>
      </w:pPr>
      <w:r>
        <w:rPr>
          <w:b/>
          <w:bCs/>
          <w:color w:val="8A6D3A"/>
          <w:sz w:val="26"/>
          <w:szCs w:val="26"/>
        </w:rPr>
        <w:t xml:space="preserve">Unit Economics je Baustein</w:t>
      </w:r>
    </w:p>
    <w:p>
      <w:pPr>
        <w:spacing w:after="160"/>
        <w:jc w:val="both"/>
      </w:pPr>
      <w:r>
        <w:t xml:space="preserve">Die folgende Rechnung stellt die Wirtschaftlichkeit auf Ebene eines einzelnen Auftrags dar. Die Werte sind konservativ auf Basis der aus der Praxis abgeleiteten Zeitaufwände in der Stufe 1 kalkuliert, in der die Fallsteuerung noch überwiegend durch persönliche Bearbeitung erfolgt. Ab Stufe 2 sinkt der Zeitaufwand pro Fall in Abhängigkeit vom Automatisierungsgrad; für Investorenzwecke wird die Verbesserung im Sensitivitätsteil separat ausgewiesen.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2200"/>
        <w:gridCol w:w="1900"/>
        <w:gridCol w:w="1600"/>
      </w:tblGrid>
      <w:tr>
        <w:tc>
          <w:tcPr>
            <w:tcW w:type="dxa" w:w="1900"/>
            <w:shd w:fill="1F2D3D" w:val="clear"/>
          </w:tcPr>
          <w:p>
            <w:r>
              <w:rPr>
                <w:b/>
                <w:bCs/>
                <w:color w:val="FFFFFF"/>
                <w:sz w:val="20"/>
                <w:szCs w:val="20"/>
              </w:rPr>
              <w:t xml:space="preserve">Baustein</w:t>
            </w:r>
          </w:p>
        </w:tc>
        <w:tc>
          <w:tcPr>
            <w:tcW w:type="dxa" w:w="1400"/>
            <w:shd w:fill="1F2D3D" w:val="clear"/>
          </w:tcPr>
          <w:p>
            <w:r>
              <w:rPr>
                <w:b/>
                <w:bCs/>
                <w:color w:val="FFFFFF"/>
                <w:sz w:val="20"/>
                <w:szCs w:val="20"/>
              </w:rPr>
              <w:t xml:space="preserve">Preis, netto</w:t>
            </w:r>
          </w:p>
        </w:tc>
        <w:tc>
          <w:tcPr>
            <w:tcW w:type="dxa" w:w="2200"/>
            <w:shd w:fill="1F2D3D" w:val="clear"/>
          </w:tcPr>
          <w:p>
            <w:r>
              <w:rPr>
                <w:b/>
                <w:bCs/>
                <w:color w:val="FFFFFF"/>
                <w:sz w:val="20"/>
                <w:szCs w:val="20"/>
              </w:rPr>
              <w:t xml:space="preserve">Direkte Personenkosten je Auftrag</w:t>
            </w:r>
          </w:p>
        </w:tc>
        <w:tc>
          <w:tcPr>
            <w:tcW w:type="dxa" w:w="1900"/>
            <w:shd w:fill="1F2D3D" w:val="clear"/>
          </w:tcPr>
          <w:p>
            <w:r>
              <w:rPr>
                <w:b/>
                <w:bCs/>
                <w:color w:val="FFFFFF"/>
                <w:sz w:val="20"/>
                <w:szCs w:val="20"/>
              </w:rPr>
              <w:t xml:space="preserve">Direkte Sachkosten je Auftrag</w:t>
            </w:r>
          </w:p>
        </w:tc>
        <w:tc>
          <w:tcPr>
            <w:tcW w:type="dxa" w:w="1600"/>
            <w:shd w:fill="1F2D3D" w:val="clear"/>
          </w:tcPr>
          <w:p>
            <w:r>
              <w:rPr>
                <w:b/>
                <w:bCs/>
                <w:color w:val="FFFFFF"/>
                <w:sz w:val="20"/>
                <w:szCs w:val="20"/>
              </w:rPr>
              <w:t xml:space="preserve">Deckungsbeitrag I</w:t>
            </w:r>
          </w:p>
        </w:tc>
      </w:tr>
      <w:tr>
        <w:tc>
          <w:tcPr>
            <w:tcW w:type="dxa" w:w="1900"/>
          </w:tcPr>
          <w:p>
            <w:r>
              <w:rPr>
                <w:b w:val="false"/>
                <w:bCs w:val="false"/>
                <w:sz w:val="20"/>
                <w:szCs w:val="20"/>
              </w:rPr>
              <w:t xml:space="preserve">Start und Ankommen, 90 Tage</w:t>
            </w:r>
          </w:p>
        </w:tc>
        <w:tc>
          <w:tcPr>
            <w:tcW w:type="dxa" w:w="1400"/>
          </w:tcPr>
          <w:p>
            <w:r>
              <w:rPr>
                <w:b w:val="false"/>
                <w:bCs w:val="false"/>
                <w:sz w:val="20"/>
                <w:szCs w:val="20"/>
              </w:rPr>
              <w:t xml:space="preserve">21.000 EUR</w:t>
            </w:r>
          </w:p>
        </w:tc>
        <w:tc>
          <w:tcPr>
            <w:tcW w:type="dxa" w:w="2200"/>
          </w:tcPr>
          <w:p>
            <w:r>
              <w:rPr>
                <w:b w:val="false"/>
                <w:bCs w:val="false"/>
                <w:sz w:val="20"/>
                <w:szCs w:val="20"/>
              </w:rPr>
              <w:t xml:space="preserve">rund 9.000 EUR (ca. 90 Stunden mal 100 EUR interne Kalkulationsrate)</w:t>
            </w:r>
          </w:p>
        </w:tc>
        <w:tc>
          <w:tcPr>
            <w:tcW w:type="dxa" w:w="1900"/>
          </w:tcPr>
          <w:p>
            <w:r>
              <w:rPr>
                <w:b w:val="false"/>
                <w:bCs w:val="false"/>
                <w:sz w:val="20"/>
                <w:szCs w:val="20"/>
              </w:rPr>
              <w:t xml:space="preserve">rund 500 EUR (Kommunikation, Vor-Ort-Fahrten, Sachaufwand)</w:t>
            </w:r>
          </w:p>
        </w:tc>
        <w:tc>
          <w:tcPr>
            <w:tcW w:type="dxa" w:w="1600"/>
          </w:tcPr>
          <w:p>
            <w:r>
              <w:rPr>
                <w:b w:val="false"/>
                <w:bCs w:val="false"/>
                <w:sz w:val="20"/>
                <w:szCs w:val="20"/>
              </w:rPr>
              <w:t xml:space="preserve">rund 11.500 EUR</w:t>
            </w:r>
          </w:p>
        </w:tc>
      </w:tr>
      <w:tr>
        <w:tc>
          <w:tcPr>
            <w:tcW w:type="dxa" w:w="1900"/>
            <w:shd w:fill="F2F2F2" w:val="clear"/>
          </w:tcPr>
          <w:p>
            <w:r>
              <w:rPr>
                <w:b w:val="false"/>
                <w:bCs w:val="false"/>
                <w:sz w:val="20"/>
                <w:szCs w:val="20"/>
              </w:rPr>
              <w:t xml:space="preserve">Ankommen und Stabilisieren, bis 180 Tage</w:t>
            </w:r>
          </w:p>
        </w:tc>
        <w:tc>
          <w:tcPr>
            <w:tcW w:type="dxa" w:w="1400"/>
            <w:shd w:fill="F2F2F2" w:val="clear"/>
          </w:tcPr>
          <w:p>
            <w:r>
              <w:rPr>
                <w:b w:val="false"/>
                <w:bCs w:val="false"/>
                <w:sz w:val="20"/>
                <w:szCs w:val="20"/>
              </w:rPr>
              <w:t xml:space="preserve">29.500 EUR</w:t>
            </w:r>
          </w:p>
        </w:tc>
        <w:tc>
          <w:tcPr>
            <w:tcW w:type="dxa" w:w="2200"/>
            <w:shd w:fill="F2F2F2" w:val="clear"/>
          </w:tcPr>
          <w:p>
            <w:r>
              <w:rPr>
                <w:b w:val="false"/>
                <w:bCs w:val="false"/>
                <w:sz w:val="20"/>
                <w:szCs w:val="20"/>
              </w:rPr>
              <w:t xml:space="preserve">rund 14.000 EUR (ca. 140 Stunden mal 100 EUR)</w:t>
            </w:r>
          </w:p>
        </w:tc>
        <w:tc>
          <w:tcPr>
            <w:tcW w:type="dxa" w:w="1900"/>
            <w:shd w:fill="F2F2F2" w:val="clear"/>
          </w:tcPr>
          <w:p>
            <w:r>
              <w:rPr>
                <w:b w:val="false"/>
                <w:bCs w:val="false"/>
                <w:sz w:val="20"/>
                <w:szCs w:val="20"/>
              </w:rPr>
              <w:t xml:space="preserve">rund 800 EUR</w:t>
            </w:r>
          </w:p>
        </w:tc>
        <w:tc>
          <w:tcPr>
            <w:tcW w:type="dxa" w:w="1600"/>
            <w:shd w:fill="F2F2F2" w:val="clear"/>
          </w:tcPr>
          <w:p>
            <w:r>
              <w:rPr>
                <w:b w:val="false"/>
                <w:bCs w:val="false"/>
                <w:sz w:val="20"/>
                <w:szCs w:val="20"/>
              </w:rPr>
              <w:t xml:space="preserve">rund 14.700 EUR</w:t>
            </w:r>
          </w:p>
        </w:tc>
      </w:tr>
      <w:tr>
        <w:tc>
          <w:tcPr>
            <w:tcW w:type="dxa" w:w="1900"/>
          </w:tcPr>
          <w:p>
            <w:r>
              <w:rPr>
                <w:b w:val="false"/>
                <w:bCs w:val="false"/>
                <w:sz w:val="20"/>
                <w:szCs w:val="20"/>
              </w:rPr>
              <w:t xml:space="preserve">Arrival Office</w:t>
            </w:r>
          </w:p>
        </w:tc>
        <w:tc>
          <w:tcPr>
            <w:tcW w:type="dxa" w:w="1400"/>
          </w:tcPr>
          <w:p>
            <w:r>
              <w:rPr>
                <w:b w:val="false"/>
                <w:bCs w:val="false"/>
                <w:sz w:val="20"/>
                <w:szCs w:val="20"/>
              </w:rPr>
              <w:t xml:space="preserve">18.000 EUR</w:t>
            </w:r>
          </w:p>
        </w:tc>
        <w:tc>
          <w:tcPr>
            <w:tcW w:type="dxa" w:w="2200"/>
          </w:tcPr>
          <w:p>
            <w:r>
              <w:rPr>
                <w:b w:val="false"/>
                <w:bCs w:val="false"/>
                <w:sz w:val="20"/>
                <w:szCs w:val="20"/>
              </w:rPr>
              <w:t xml:space="preserve">rund 6.000 EUR (ca. 60 Stunden mal 100 EUR, plus Vorbereitungsstunden für Vorlagen)</w:t>
            </w:r>
          </w:p>
        </w:tc>
        <w:tc>
          <w:tcPr>
            <w:tcW w:type="dxa" w:w="1900"/>
          </w:tcPr>
          <w:p>
            <w:r>
              <w:rPr>
                <w:b w:val="false"/>
                <w:bCs w:val="false"/>
                <w:sz w:val="20"/>
                <w:szCs w:val="20"/>
              </w:rPr>
              <w:t xml:space="preserve">rund 400 EUR</w:t>
            </w:r>
          </w:p>
        </w:tc>
        <w:tc>
          <w:tcPr>
            <w:tcW w:type="dxa" w:w="1600"/>
          </w:tcPr>
          <w:p>
            <w:r>
              <w:rPr>
                <w:b w:val="false"/>
                <w:bCs w:val="false"/>
                <w:sz w:val="20"/>
                <w:szCs w:val="20"/>
              </w:rPr>
              <w:t xml:space="preserve">rund 11.600 EUR</w:t>
            </w:r>
          </w:p>
        </w:tc>
      </w:tr>
      <w:tr>
        <w:tc>
          <w:tcPr>
            <w:tcW w:type="dxa" w:w="1900"/>
            <w:shd w:fill="F2F2F2" w:val="clear"/>
          </w:tcPr>
          <w:p>
            <w:r>
              <w:rPr>
                <w:b w:val="false"/>
                <w:bCs w:val="false"/>
                <w:sz w:val="20"/>
                <w:szCs w:val="20"/>
              </w:rPr>
              <w:t xml:space="preserve">Care-Begleitung, pro Monat</w:t>
            </w:r>
          </w:p>
        </w:tc>
        <w:tc>
          <w:tcPr>
            <w:tcW w:type="dxa" w:w="1400"/>
            <w:shd w:fill="F2F2F2" w:val="clear"/>
          </w:tcPr>
          <w:p>
            <w:r>
              <w:rPr>
                <w:b w:val="false"/>
                <w:bCs w:val="false"/>
                <w:sz w:val="20"/>
                <w:szCs w:val="20"/>
              </w:rPr>
              <w:t xml:space="preserve">4.500 EUR</w:t>
            </w:r>
          </w:p>
        </w:tc>
        <w:tc>
          <w:tcPr>
            <w:tcW w:type="dxa" w:w="2200"/>
            <w:shd w:fill="F2F2F2" w:val="clear"/>
          </w:tcPr>
          <w:p>
            <w:r>
              <w:rPr>
                <w:b w:val="false"/>
                <w:bCs w:val="false"/>
                <w:sz w:val="20"/>
                <w:szCs w:val="20"/>
              </w:rPr>
              <w:t xml:space="preserve">rund 1.800 EUR (ca. 18 Stunden mal 100 EUR)</w:t>
            </w:r>
          </w:p>
        </w:tc>
        <w:tc>
          <w:tcPr>
            <w:tcW w:type="dxa" w:w="1900"/>
            <w:shd w:fill="F2F2F2" w:val="clear"/>
          </w:tcPr>
          <w:p>
            <w:r>
              <w:rPr>
                <w:b w:val="false"/>
                <w:bCs w:val="false"/>
                <w:sz w:val="20"/>
                <w:szCs w:val="20"/>
              </w:rPr>
              <w:t xml:space="preserve">rund 200 EUR</w:t>
            </w:r>
          </w:p>
        </w:tc>
        <w:tc>
          <w:tcPr>
            <w:tcW w:type="dxa" w:w="1600"/>
            <w:shd w:fill="F2F2F2" w:val="clear"/>
          </w:tcPr>
          <w:p>
            <w:r>
              <w:rPr>
                <w:b w:val="false"/>
                <w:bCs w:val="false"/>
                <w:sz w:val="20"/>
                <w:szCs w:val="20"/>
              </w:rPr>
              <w:t xml:space="preserve">rund 2.500 EUR</w:t>
            </w:r>
          </w:p>
        </w:tc>
      </w:tr>
    </w:tbl>
    <w:p>
      <w:pPr>
        <w:spacing w:after="160"/>
        <w:jc w:val="both"/>
      </w:pPr>
      <w:r>
        <w:t xml:space="preserve"/>
      </w:r>
    </w:p>
    <w:p>
      <w:pPr>
        <w:spacing w:after="160"/>
        <w:jc w:val="both"/>
      </w:pPr>
      <w:r>
        <w:t xml:space="preserve">Diese Kalkulation ist bewusst konservativ. Die interne Stundenrate von 100 EUR bildet die operativ tatsächlich anfallenden Kosten inklusive Gemeinkosten und einer moderaten Gründervergütung ab; sie ist keine Verkaufsrate. Der Deckungsbeitrag I liegt je nach Baustein zwischen 55 und 65 Prozent des Netto-Umsatzes und ist damit ausreichend, um mit vertretbarer Fallanzahl ein tragfähiges Unternehmen zu betreiben. Ab dem Übergang in Stufe 2, wenn ein wachsender Teil der Fallsteuerung durch das digitale Werkzeug übernommen wird, sinkt der Zeitaufwand pro Fall; die Modellrechnung im Finanzteil arbeitet mit einer Reduktion des Zeitaufwands um rund 20 Prozent bis Ende Jahr zwei und rund 35 Prozent bis Ende Jahr drei, was den Deckungsbeitrag entsprechend erhöht.</w:t>
      </w:r>
    </w:p>
    <w:p>
      <w:pPr>
        <w:pStyle w:val="Heading2"/>
        <w:spacing w:after="120" w:before="240"/>
      </w:pPr>
      <w:r>
        <w:rPr>
          <w:b/>
          <w:bCs/>
          <w:color w:val="8A6D3A"/>
          <w:sz w:val="26"/>
          <w:szCs w:val="26"/>
        </w:rPr>
        <w:t xml:space="preserve">Erlöslogik in der Marktplatzstufe</w:t>
      </w:r>
    </w:p>
    <w:p>
      <w:pPr>
        <w:spacing w:after="160"/>
        <w:jc w:val="both"/>
      </w:pPr>
      <w:r>
        <w:t xml:space="preserve">Die wiederkehrende Zugangsgebühr für Arbeitgeber wird als Jahreslizenz für das Arrival-Office-Werkzeug positioniert. Die Modellrechnung geht von einem Jahresbeitrag im niedrigen fünfstelligen Bereich pro Arbeitgeber und Standort aus, in einer Größenordnung, die zwischen den Kosten einer Einzelbuchung eines Ankunftsprogramms und dem tatsächlichen internen Ressourcenaufwand liegt. Für einen Arbeitgeber, der pro Jahr etwa fünfzehn bis zwanzig internationale Fachkräfte einstellt, ist eine solche Jahreslizenz wirtschaftlich attraktiv, weil sie die Einzelkalkulation ersetzt und Planbarkeit schafft.</w:t>
      </w:r>
    </w:p>
    <w:p>
      <w:pPr>
        <w:spacing w:after="160"/>
        <w:jc w:val="both"/>
      </w:pPr>
      <w:r>
        <w:t xml:space="preserve">Die Beteiligung an vermittelten Servicepartnerleistungen wird pro Kategorie festgelegt und liegt für die Modellrechnung durchschnittlich im niedrigen einstelligen Prozentbereich der vermittelten Umsätze. Für einen Marktplatz mit hundert aktiven Arbeitgeberkunden und einer angenommenen durchschnittlichen vermittelten Servicesumme pro Fall in einer Größenordnung von 3.000 bis 5.000 EUR ergeben sich daraus im dritten Betriebsjahr Zusatzerlöse im niedrigen sechsstelligen Bereich; diese Zahl ist im Sensitivitätsteil separat variiert.</w:t>
      </w:r>
    </w:p>
    <w:p>
      <w:pPr>
        <w:pStyle w:val="Heading2"/>
        <w:spacing w:after="120" w:before="240"/>
      </w:pPr>
      <w:r>
        <w:rPr>
          <w:b/>
          <w:bCs/>
          <w:color w:val="8A6D3A"/>
          <w:sz w:val="26"/>
          <w:szCs w:val="26"/>
        </w:rPr>
        <w:t xml:space="preserve">Kundengewinnungskosten und Kundenlebensdauer</w:t>
      </w:r>
    </w:p>
    <w:p>
      <w:pPr>
        <w:spacing w:after="160"/>
        <w:jc w:val="both"/>
      </w:pPr>
      <w:r>
        <w:t xml:space="preserve">Für die Investorenperspektive sind die Kennzahlen zur Kundengewinnung und Kundenlebensdauer besonders relevant. Da AMAVIO in der ersten Phase vor allem im Direktvertrieb arbeitet, sind die Kundengewinnungskosten überwiegend Zeit- und Reisekosten des Gründers und, ab der ersten operativen Einstellung, der Vertriebs- und Fallsteuerungsstelle. Konservativ kalkuliert liegen die Kundengewinnungskosten je Neukunde in der Startphase bei rund 4.000 bis 6.000 EUR, wenn zwei bis drei Discovery-Gespräche und ein qualifiziertes Angebotsgespräch pro Neukunde angesetzt werden. Bei einem durchschnittlichen Erstauftragswert von rund 20.000 EUR liegt die Rückzahlungsdauer der Kundengewinnungskosten damit deutlich unter einem Jahr, in vielen Fällen im ersten Auftrag selbst.</w:t>
      </w:r>
    </w:p>
    <w:p>
      <w:pPr>
        <w:spacing w:after="160"/>
        <w:jc w:val="both"/>
      </w:pPr>
      <w:r>
        <w:t xml:space="preserve">Die Kundenlebensdauer wird für die Investorenrechnung mit einer Modellannahme von durchschnittlich drei Jahren wiederkehrender Beziehung angesetzt, in denen ein Kunde entweder mehrere Einzelmandate bucht oder ab Stufe 2 eine Jahreslizenz nutzt. Die Vergleichsdaten aus der Recruiting-Branche, etwa die von TalentOrange öffentlich genannten Bindungsraten, deuten auf eine mögliche längere Lebensdauer hin. Für den Investorenausblick bleibt die konservative Annahme bewusst kürzer, um die Sensitivität nicht durch optimistische Annahmen zu schönen.</w:t>
      </w:r>
    </w:p>
    <w:p>
      <w:pPr>
        <w:pStyle w:val="Heading2"/>
        <w:spacing w:after="120" w:before="240"/>
      </w:pPr>
      <w:r>
        <w:rPr>
          <w:b/>
          <w:bCs/>
          <w:color w:val="8A6D3A"/>
          <w:sz w:val="26"/>
          <w:szCs w:val="26"/>
        </w:rPr>
        <w:t xml:space="preserve">Warum das Modell margenfähig ist</w:t>
      </w:r>
    </w:p>
    <w:p>
      <w:pPr>
        <w:spacing w:after="160"/>
        <w:jc w:val="both"/>
      </w:pPr>
      <w:r>
        <w:t xml:space="preserve">Der Dienstleistungsumsatz ist bereits heute nachweislich zahlungsbereit; das verringert das für zweiseitige Marktplätze typische Henne-Ei-Problem. AMAVIO verkauft von Anfang an etwas, das Arbeitgeber tatsächlich kaufen, und digitalisiert die eigene Leistungserbringung erst danach. Jede Automatisierung im Fallsteuerungs-Werkzeug senkt den Zeitaufwand pro Fall und verschiebt die Marge schrittweise von einer personalbasierten Dienstleistungsstruktur zu einer softwareunterstützten Struktur. Diese Verschiebung ist der wirtschaftliche Kern der These, warum sich AMAVIO nicht auf Dauer als klassische Agentur mit linear wachsenden Personalkosten entwickelt, sondern eine echte Skalierungslogik im mittleren Wachstumsbereich freilegt.</w:t>
      </w:r>
    </w:p>
    <w:p>
      <w:r>
        <w:br w:type="page"/>
      </w:r>
    </w:p>
    <w:p>
      <w:pPr>
        <w:pStyle w:val="Heading1"/>
        <w:spacing w:after="150" w:before="300"/>
      </w:pPr>
      <w:r>
        <w:rPr>
          <w:b/>
          <w:bCs/>
          <w:color w:val="1F2D3D"/>
          <w:sz w:val="32"/>
          <w:szCs w:val="32"/>
        </w:rPr>
        <w:t xml:space="preserve">7. Markteintritt, Vertrieb und Pipeline-Aufbau</w:t>
      </w:r>
    </w:p>
    <w:p>
      <w:pPr>
        <w:pStyle w:val="Heading2"/>
        <w:spacing w:after="120" w:before="240"/>
      </w:pPr>
      <w:r>
        <w:rPr>
          <w:b/>
          <w:bCs/>
          <w:color w:val="8A6D3A"/>
          <w:sz w:val="26"/>
          <w:szCs w:val="26"/>
        </w:rPr>
        <w:t xml:space="preserve">Der geografische und branchliche Startpunkt</w:t>
      </w:r>
    </w:p>
    <w:p>
      <w:pPr>
        <w:spacing w:after="160"/>
        <w:jc w:val="both"/>
      </w:pPr>
      <w:r>
        <w:t xml:space="preserve">AMAVIO startet bewusst regional fokussiert in Düsseldorf und Nordrhein-Westfalen und branchlich fokussiert in Pflege, stationärer Altenhilfe und Krankenhausversorgung. Diese Fokussierung ist keine Beschränkung, sondern Bedingung für eine belastbare Frühphase. Wer in einer Region als bekannter, verlässlicher Ansprechpartner gilt, gewinnt Aufträge schneller, verliert weniger Zeit in unqualifizierten Gesprächen und baut die für den Wohnraumbaustein notwendigen Partnernetzwerke schneller auf. Nordrhein-Westfalen ist der bevölkerungsreichste Landkreis Deutschlands und bündelt sowohl große Träger stationärer Altenpflege als auch Kliniken und mittelständische Pflegebetriebe in räumlicher Nähe.</w:t>
      </w:r>
    </w:p>
    <w:p>
      <w:pPr>
        <w:pStyle w:val="Heading2"/>
        <w:spacing w:after="120" w:before="240"/>
      </w:pPr>
      <w:r>
        <w:rPr>
          <w:b/>
          <w:bCs/>
          <w:color w:val="8A6D3A"/>
          <w:sz w:val="26"/>
          <w:szCs w:val="26"/>
        </w:rPr>
        <w:t xml:space="preserve">Die primäre Zielgruppe</w:t>
      </w:r>
    </w:p>
    <w:p>
      <w:pPr>
        <w:spacing w:after="160"/>
        <w:jc w:val="both"/>
      </w:pPr>
      <w:r>
        <w:t xml:space="preserve">Die primäre Zielgruppe der ersten Ausbaustufe sind mittelständische Träger stationärer Altenpflege und ambulanter Dienste sowie Kliniken mit einer Größe zwischen etwa hundert und tausend Beschäftigten. In dieser Größenordnung ist der Bedarf an internationalen Fachkräften strukturell hoch, es existiert eine professionelle Personalabteilung als Ansprechpartner, aber es fehlt in der Regel eine spezialisierte interne Einheit für die Ankunftsorganisation. Genau diese Lücke füllt AMAVIO. Konkret adressiert werden Häuser in Trägerschaft der großen Wohlfahrtsverbände und Sozialkonzerne, mittelständische private Pflegeträger sowie kommunale und kirchliche Krankenhäuser.</w:t>
      </w:r>
    </w:p>
    <w:p>
      <w:pPr>
        <w:spacing w:after="160"/>
        <w:jc w:val="both"/>
      </w:pPr>
      <w:r>
        <w:t xml:space="preserve">Die aktuelle Zielaccountliste des Gründers umfasst dokumentierte Ansprachen und Erstkontakte unter anderem zu AWO Westliches Westfalen, AWO München, Advita und weiteren Trägern in Nordrhein-Westfalen und angrenzenden Bundesländern. Diese Kontakte bilden den Ausgangspunkt der ersten Discovery-Runde; sie stehen ausdrücklich noch nicht für unterschriebene Aufträge, sondern für qualifizierte, dokumentierte Gesprächsstartpunkte, aus denen im ersten Jahr die ersten Pilotmandate hervorgehen sollen.</w:t>
      </w:r>
    </w:p>
    <w:p>
      <w:pPr>
        <w:pStyle w:val="Heading2"/>
        <w:spacing w:after="120" w:before="240"/>
      </w:pPr>
      <w:r>
        <w:rPr>
          <w:b/>
          <w:bCs/>
          <w:color w:val="8A6D3A"/>
          <w:sz w:val="26"/>
          <w:szCs w:val="26"/>
        </w:rPr>
        <w:t xml:space="preserve">Der Vertriebsprozess in der Startphase</w:t>
      </w:r>
    </w:p>
    <w:p>
      <w:pPr>
        <w:spacing w:after="160"/>
        <w:jc w:val="both"/>
      </w:pPr>
      <w:r>
        <w:t xml:space="preserve">Der Vertriebsprozess ist strukturiert und dokumentiert. In einem ersten Schritt erfolgt die Ansprache über direkte Termine, eingebettete Kontakte aus dem Netzwerk des Gründers und, wo möglich, gemeinsame Einführungen durch bereits bekannte Ansprechpartner in der Branche. In einem zweiten Schritt findet ein einstündiges Discovery-Gespräch statt, in dem AMAVIO das Ankunftsproblem beim Arbeitgeber gezielt vermisst: Welche internationalen Fachkräfte wurden bisher eingestellt, welche Erfahrungen wurden dabei gemacht, wo entstehen Reibungspunkte, welche internen Ressourcen sind vorhanden, welche Kosten würden entstehen, wenn eine bereits gewonnene Fachkraft abbricht. In einem dritten Schritt folgt ein Angebotsgespräch, in dem ein konkretes, auf den Kunden zugeschnittenes Paket vorgeschlagen wird. Diese drei Schritte sind bewusst nicht abgekürzt, weil sie in der Frühphase gleichzeitig als Produktlernphase dienen: Jedes Gespräch liefert nicht nur Vertriebsinformationen, sondern auch inhaltliche Signale für die weitere Ausgestaltung von Werkzeug und Marktplatz.</w:t>
      </w:r>
    </w:p>
    <w:p>
      <w:pPr>
        <w:pStyle w:val="Heading2"/>
        <w:spacing w:after="120" w:before="240"/>
      </w:pPr>
      <w:r>
        <w:rPr>
          <w:b/>
          <w:bCs/>
          <w:color w:val="8A6D3A"/>
          <w:sz w:val="26"/>
          <w:szCs w:val="26"/>
        </w:rPr>
        <w:t xml:space="preserve">Der Aufbau der Pipeline</w:t>
      </w:r>
    </w:p>
    <w:p>
      <w:pPr>
        <w:spacing w:after="160"/>
        <w:jc w:val="both"/>
      </w:pPr>
      <w:r>
        <w:t xml:space="preserve">Für das erste Betriebsjahr wird eine Pipeline von zwanzig bis dreißig aktiv bearbeiteten Arbeitgeberkontakten angestrebt, aus denen zwei bis vier Pilotmandate hervorgehen sollen. Mit der ersten operativen Einstellung im vierten bis sechsten Monat wird die Zielaccountliste auf sechzig bis neunzig Unternehmen erweitert, wobei ein Teil der neuen Kontakte über regionale Verbandsnetzwerke, Kammern und die Wirtschaftsförderung Düsseldorf eingespielt wird. Im zweiten Betriebsjahr soll die Pipeline eine Größe erreichen, die planbar sechs bis zwölf laufende Mandate parallel trägt; das entspricht auf Umsatzseite in Kombination mit den Paketpreisen und ersten Marktplatzumsätzen der Größenordnung, die im Finanzteil abgebildet ist.</w:t>
      </w:r>
    </w:p>
    <w:p>
      <w:pPr>
        <w:pStyle w:val="Heading2"/>
        <w:spacing w:after="120" w:before="240"/>
      </w:pPr>
      <w:r>
        <w:rPr>
          <w:b/>
          <w:bCs/>
          <w:color w:val="8A6D3A"/>
          <w:sz w:val="26"/>
          <w:szCs w:val="26"/>
        </w:rPr>
        <w:t xml:space="preserve">Partnervertrieb als zweite Ebene</w:t>
      </w:r>
    </w:p>
    <w:p>
      <w:pPr>
        <w:spacing w:after="160"/>
        <w:jc w:val="both"/>
      </w:pPr>
      <w:r>
        <w:t xml:space="preserve">Neben dem Direktvertrieb wird ab dem zweiten Betriebsjahr ein Partnervertrieb aufgebaut, der auf drei Kategorien setzt. Recruiting-Partner sind internationale Vermittlungsunternehmen, die AMAVIO als Anschlussdienstleister für die Ankunftsphase weiterempfehlen können, weil sie diese Phase selbst nicht abdecken. Bildungspartner sind Sprachschulen, Pflegefachschulen und Anerkennungspartner, die im Kontakt mit den Fachkräften früher stehen als AMAVIO und die Vermittlung an den Arbeitgeber gemeinsam mit AMAVIO organisieren können. Integrationspartner sind kommunale Anlaufstellen, Wohnraumunternehmen und Migrationsberatungsstellen, deren Empfehlungen den regionalen Zugang zu Arbeitgebern und Fachkräften erweitern. In allen drei Kategorien werden Rollen, Vergütung, Datenaustausch und Datenschutz vor Aktivierung sauber vertraglich geregelt, um spätere Haftungs- und Reputationsrisiken zu vermeiden.</w:t>
      </w:r>
    </w:p>
    <w:p>
      <w:pPr>
        <w:pStyle w:val="Heading2"/>
        <w:spacing w:after="120" w:before="240"/>
      </w:pPr>
      <w:r>
        <w:rPr>
          <w:b/>
          <w:bCs/>
          <w:color w:val="8A6D3A"/>
          <w:sz w:val="26"/>
          <w:szCs w:val="26"/>
        </w:rPr>
        <w:t xml:space="preserve">Warum die kommunale Verankerung ein struktureller Vorteil ist</w:t>
      </w:r>
    </w:p>
    <w:p>
      <w:pPr>
        <w:spacing w:after="160"/>
        <w:jc w:val="both"/>
      </w:pPr>
      <w:r>
        <w:t xml:space="preserve">Ein regional verankertes Modell hat gegenüber einem bundesweit standardisierten App-Modell zwei strukturelle Vorteile, die sich in Zahlen ausdrücken lassen. Erstens ist die Konversionsrate von Erstkontakt zu Auftrag in einem regionalen Netzwerk erheblich höher als in einer kalten bundesweiten Kampagne, weil Vertrauen und Bekanntheit bereits vorhanden sind; branchenübliche Werte liegen bei einem Faktor zwei bis drei. Zweitens sind die tatsächlichen Wohnraumkapazitäten in einer Region physisch begrenzt und in der Regel nur über persönliche Beziehungen zuverlässig zugänglich; ein bundesweit standardisiertes App-Modell hat dort strukturelle Lieferschwierigkeiten, die eine Regionalorganisation nicht hat. Diese beiden Effekte zusammen erklären, warum AMAVIO in Nordrhein-Westfalen mit begrenztem Kapitaleinsatz eine Marktposition aufbauen kann, die für einen kapitalstärkeren, aber nicht regional verankerten Anbieter nicht in derselben Zeit erreichbar wäre.</w:t>
      </w:r>
    </w:p>
    <w:p>
      <w:r>
        <w:br w:type="page"/>
      </w:r>
    </w:p>
    <w:p>
      <w:pPr>
        <w:pStyle w:val="Heading1"/>
        <w:spacing w:after="150" w:before="300"/>
      </w:pPr>
      <w:r>
        <w:rPr>
          <w:b/>
          <w:bCs/>
          <w:color w:val="1F2D3D"/>
          <w:sz w:val="32"/>
          <w:szCs w:val="32"/>
        </w:rPr>
        <w:t xml:space="preserve">8. Produkt- und Meilenstein-Roadmap</w:t>
      </w:r>
    </w:p>
    <w:p>
      <w:pPr>
        <w:pStyle w:val="Heading2"/>
        <w:spacing w:after="120" w:before="240"/>
      </w:pPr>
      <w:r>
        <w:rPr>
          <w:b/>
          <w:bCs/>
          <w:color w:val="8A6D3A"/>
          <w:sz w:val="26"/>
          <w:szCs w:val="26"/>
        </w:rPr>
        <w:t xml:space="preserve">Der Grundgedanke der Roadmap</w:t>
      </w:r>
    </w:p>
    <w:p>
      <w:pPr>
        <w:spacing w:after="160"/>
        <w:jc w:val="both"/>
      </w:pPr>
      <w:r>
        <w:t xml:space="preserve">Die Roadmap folgt einem einfachen Grundgedanken: In jedem Zeitabschnitt wird nur so viel Produkt gebaut, wie durch die operative Dienstleistung an Erkenntnissen bereits vorliegt. AMAVIO baut kein Produkt auf Verdacht, sondern verlängert die tatsächlich gemachten Erfahrungen in Software. Das reduziert das Fehlinvestitionsrisiko und stellt sicher, dass jede Ausbaustufe an einen bereits geführten Anwendungsfall anschließt.</w:t>
      </w:r>
    </w:p>
    <w:p>
      <w:pPr>
        <w:pStyle w:val="Heading2"/>
        <w:spacing w:after="120" w:before="240"/>
      </w:pPr>
      <w:r>
        <w:rPr>
          <w:b/>
          <w:bCs/>
          <w:color w:val="8A6D3A"/>
          <w:sz w:val="26"/>
          <w:szCs w:val="26"/>
        </w:rPr>
        <w:t xml:space="preserve">Die Roadmap im Überblick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200"/>
      </w:tblGrid>
      <w:tr>
        <w:tc>
          <w:tcPr>
            <w:tcW w:type="dxa" w:w="1600"/>
            <w:shd w:fill="1F2D3D" w:val="clear"/>
          </w:tcPr>
          <w:p>
            <w:r>
              <w:rPr>
                <w:b/>
                <w:bCs/>
                <w:color w:val="FFFFFF"/>
                <w:sz w:val="20"/>
                <w:szCs w:val="20"/>
              </w:rPr>
              <w:t xml:space="preserve">Zeitraum</w:t>
            </w:r>
          </w:p>
        </w:tc>
        <w:tc>
          <w:tcPr>
            <w:tcW w:type="dxa" w:w="3800"/>
            <w:shd w:fill="1F2D3D" w:val="clear"/>
          </w:tcPr>
          <w:p>
            <w:r>
              <w:rPr>
                <w:b/>
                <w:bCs/>
                <w:color w:val="FFFFFF"/>
                <w:sz w:val="20"/>
                <w:szCs w:val="20"/>
              </w:rPr>
              <w:t xml:space="preserve">Produkt</w:t>
            </w:r>
          </w:p>
        </w:tc>
        <w:tc>
          <w:tcPr>
            <w:tcW w:type="dxa" w:w="3200"/>
            <w:shd w:fill="1F2D3D" w:val="clear"/>
          </w:tcPr>
          <w:p>
            <w:r>
              <w:rPr>
                <w:b/>
                <w:bCs/>
                <w:color w:val="FFFFFF"/>
                <w:sz w:val="20"/>
                <w:szCs w:val="20"/>
              </w:rPr>
              <w:t xml:space="preserve">Geschäftlicher Meilenstein</w:t>
            </w:r>
          </w:p>
        </w:tc>
      </w:tr>
      <w:tr>
        <w:tc>
          <w:tcPr>
            <w:tcW w:type="dxa" w:w="1600"/>
          </w:tcPr>
          <w:p>
            <w:r>
              <w:rPr>
                <w:b w:val="false"/>
                <w:bCs w:val="false"/>
                <w:sz w:val="20"/>
                <w:szCs w:val="20"/>
              </w:rPr>
              <w:t xml:space="preserve">Monat 1 bis 3</w:t>
            </w:r>
          </w:p>
        </w:tc>
        <w:tc>
          <w:tcPr>
            <w:tcW w:type="dxa" w:w="3800"/>
          </w:tcPr>
          <w:p>
            <w:r>
              <w:rPr>
                <w:b w:val="false"/>
                <w:bCs w:val="false"/>
                <w:sz w:val="20"/>
                <w:szCs w:val="20"/>
              </w:rPr>
              <w:t xml:space="preserve">Fallsteuerungs-Werkzeug als erste Version, umgesetzt auf einer Low-Code-Plattform</w:t>
            </w:r>
          </w:p>
        </w:tc>
        <w:tc>
          <w:tcPr>
            <w:tcW w:type="dxa" w:w="3200"/>
          </w:tcPr>
          <w:p>
            <w:r>
              <w:rPr>
                <w:b w:val="false"/>
                <w:bCs w:val="false"/>
                <w:sz w:val="20"/>
                <w:szCs w:val="20"/>
              </w:rPr>
              <w:t xml:space="preserve">Zwei Pilotmandate unterschrieben, erste Fallakten im Werkzeug produktiv geführt</w:t>
            </w:r>
          </w:p>
        </w:tc>
      </w:tr>
      <w:tr>
        <w:tc>
          <w:tcPr>
            <w:tcW w:type="dxa" w:w="1600"/>
            <w:shd w:fill="F2F2F2" w:val="clear"/>
          </w:tcPr>
          <w:p>
            <w:r>
              <w:rPr>
                <w:b w:val="false"/>
                <w:bCs w:val="false"/>
                <w:sz w:val="20"/>
                <w:szCs w:val="20"/>
              </w:rPr>
              <w:t xml:space="preserve">Monat 4 bis 6</w:t>
            </w:r>
          </w:p>
        </w:tc>
        <w:tc>
          <w:tcPr>
            <w:tcW w:type="dxa" w:w="3800"/>
            <w:shd w:fill="F2F2F2" w:val="clear"/>
          </w:tcPr>
          <w:p>
            <w:r>
              <w:rPr>
                <w:b w:val="false"/>
                <w:bCs w:val="false"/>
                <w:sz w:val="20"/>
                <w:szCs w:val="20"/>
              </w:rPr>
              <w:t xml:space="preserve">Erweiterung des Werkzeugs um Statusbericht-Automatik, Aufbau des Partner-Onboardings</w:t>
            </w:r>
          </w:p>
        </w:tc>
        <w:tc>
          <w:tcPr>
            <w:tcW w:type="dxa" w:w="3200"/>
            <w:shd w:fill="F2F2F2" w:val="clear"/>
          </w:tcPr>
          <w:p>
            <w:r>
              <w:rPr>
                <w:b w:val="false"/>
                <w:bCs w:val="false"/>
                <w:sz w:val="20"/>
                <w:szCs w:val="20"/>
              </w:rPr>
              <w:t xml:space="preserve">Erste operative Einstellung besetzt, Zielaccountliste auf sechzig bis neunzig Unternehmen erweitert, vier bis sechs aktive Mandate</w:t>
            </w:r>
          </w:p>
        </w:tc>
      </w:tr>
      <w:tr>
        <w:tc>
          <w:tcPr>
            <w:tcW w:type="dxa" w:w="1600"/>
          </w:tcPr>
          <w:p>
            <w:r>
              <w:rPr>
                <w:b w:val="false"/>
                <w:bCs w:val="false"/>
                <w:sz w:val="20"/>
                <w:szCs w:val="20"/>
              </w:rPr>
              <w:t xml:space="preserve">Monat 7 bis 12</w:t>
            </w:r>
          </w:p>
        </w:tc>
        <w:tc>
          <w:tcPr>
            <w:tcW w:type="dxa" w:w="3800"/>
          </w:tcPr>
          <w:p>
            <w:r>
              <w:rPr>
                <w:b w:val="false"/>
                <w:bCs w:val="false"/>
                <w:sz w:val="20"/>
                <w:szCs w:val="20"/>
              </w:rPr>
              <w:t xml:space="preserve">Marktplatzstufe als Betaversion für Arbeitgeber und Servicepartner, erste Jahreslizenz-Kunden</w:t>
            </w:r>
          </w:p>
        </w:tc>
        <w:tc>
          <w:tcPr>
            <w:tcW w:type="dxa" w:w="3200"/>
          </w:tcPr>
          <w:p>
            <w:r>
              <w:rPr>
                <w:b w:val="false"/>
                <w:bCs w:val="false"/>
                <w:sz w:val="20"/>
                <w:szCs w:val="20"/>
              </w:rPr>
              <w:t xml:space="preserve">Sechs bis acht laufende Mandate, erste Zugangsgebühren- und Vermittlungsumsätze, dokumentierte Reduktion des Zeitaufwands pro Fall um mindestens fünfzehn Prozent</w:t>
            </w:r>
          </w:p>
        </w:tc>
      </w:tr>
      <w:tr>
        <w:tc>
          <w:tcPr>
            <w:tcW w:type="dxa" w:w="1600"/>
            <w:shd w:fill="F2F2F2" w:val="clear"/>
          </w:tcPr>
          <w:p>
            <w:r>
              <w:rPr>
                <w:b w:val="false"/>
                <w:bCs w:val="false"/>
                <w:sz w:val="20"/>
                <w:szCs w:val="20"/>
              </w:rPr>
              <w:t xml:space="preserve">Jahr 2</w:t>
            </w:r>
          </w:p>
        </w:tc>
        <w:tc>
          <w:tcPr>
            <w:tcW w:type="dxa" w:w="3800"/>
            <w:shd w:fill="F2F2F2" w:val="clear"/>
          </w:tcPr>
          <w:p>
            <w:r>
              <w:rPr>
                <w:b w:val="false"/>
                <w:bCs w:val="false"/>
                <w:sz w:val="20"/>
                <w:szCs w:val="20"/>
              </w:rPr>
              <w:t xml:space="preserve">Marktplatz im Regelbetrieb, Übergang von Low-Code zu eigenständiger Anwendung, erste KI-gestützte Funktionen für Dokumentenprüfung und mehrsprachige Kommunikation</w:t>
            </w:r>
          </w:p>
        </w:tc>
        <w:tc>
          <w:tcPr>
            <w:tcW w:type="dxa" w:w="3200"/>
            <w:shd w:fill="F2F2F2" w:val="clear"/>
          </w:tcPr>
          <w:p>
            <w:r>
              <w:rPr>
                <w:b w:val="false"/>
                <w:bCs w:val="false"/>
                <w:sz w:val="20"/>
                <w:szCs w:val="20"/>
              </w:rPr>
              <w:t xml:space="preserve">Ausweitung über Nordrhein-Westfalen hinaus in ein bis zwei weitere Ballungsräume, Vorbereitung der Seed-Runde</w:t>
            </w:r>
          </w:p>
        </w:tc>
      </w:tr>
      <w:tr>
        <w:tc>
          <w:tcPr>
            <w:tcW w:type="dxa" w:w="1600"/>
          </w:tcPr>
          <w:p>
            <w:r>
              <w:rPr>
                <w:b w:val="false"/>
                <w:bCs w:val="false"/>
                <w:sz w:val="20"/>
                <w:szCs w:val="20"/>
              </w:rPr>
              <w:t xml:space="preserve">Jahr 3</w:t>
            </w:r>
          </w:p>
        </w:tc>
        <w:tc>
          <w:tcPr>
            <w:tcW w:type="dxa" w:w="3800"/>
          </w:tcPr>
          <w:p>
            <w:r>
              <w:rPr>
                <w:b w:val="false"/>
                <w:bCs w:val="false"/>
                <w:sz w:val="20"/>
                <w:szCs w:val="20"/>
              </w:rPr>
              <w:t xml:space="preserve">KI-gestütztes Matching zwischen Fachkräften und Wohnraum sowie Frühwarnsystem für Abbruchrisiken auf Basis der bis dahin aufgebauten strukturierten Fallbasis</w:t>
            </w:r>
          </w:p>
        </w:tc>
        <w:tc>
          <w:tcPr>
            <w:tcW w:type="dxa" w:w="3200"/>
          </w:tcPr>
          <w:p>
            <w:r>
              <w:rPr>
                <w:b w:val="false"/>
                <w:bCs w:val="false"/>
                <w:sz w:val="20"/>
                <w:szCs w:val="20"/>
              </w:rPr>
              <w:t xml:space="preserve">Bundesweite Präsenz in priorisierten Ballungsräumen, Einstieg in ein zweites Branchensegment (voraussichtlich technische Berufe)</w:t>
            </w:r>
          </w:p>
        </w:tc>
      </w:tr>
    </w:tbl>
    <w:p>
      <w:pPr>
        <w:spacing w:after="160"/>
        <w:jc w:val="both"/>
      </w:pPr>
      <w:r>
        <w:t xml:space="preserve"/>
      </w:r>
    </w:p>
    <w:p>
      <w:pPr>
        <w:pStyle w:val="Heading2"/>
        <w:spacing w:after="120" w:before="240"/>
      </w:pPr>
      <w:r>
        <w:rPr>
          <w:b/>
          <w:bCs/>
          <w:color w:val="8A6D3A"/>
          <w:sz w:val="26"/>
          <w:szCs w:val="26"/>
        </w:rPr>
        <w:t xml:space="preserve">Die Meilensteinlogik gegenüber der Finanzierung</w:t>
      </w:r>
    </w:p>
    <w:p>
      <w:pPr>
        <w:spacing w:after="160"/>
        <w:jc w:val="both"/>
      </w:pPr>
      <w:r>
        <w:t xml:space="preserve">Für Investoren ist entscheidend, welche Meilensteine mit welcher Kapitalzufuhr erreicht werden sollen. Die Pre-Seed-Runde in Höhe von 150.000 bis 300.000 EUR ist auf die Meilensteine der Monate eins bis zwölf ausgelegt, also den Übergang von der reinen Dienstleistung zur ersten Marktplatz-Betaversion und die erste operative Einstellung. Ab dem zweiten Betriebsjahr ist eine Anschlussfinanzierung als Seed-Runde vorgesehen, die den Übergang von der Low-Code-Plattform zur eigenen Anwendung, die geografische Erweiterung und die erste eigenständige technische Kapazität finanziert. Der High-Tech Gründerfonds ist dabei als naheliegender institutioneller Anschlussinvestor identifiziert; Ergänzungsprogramme wie coparion und Gründerfonds Ruhr kommen in Frage.</w:t>
      </w:r>
    </w:p>
    <w:p>
      <w:pPr>
        <w:pStyle w:val="Heading2"/>
        <w:spacing w:after="120" w:before="240"/>
      </w:pPr>
      <w:r>
        <w:rPr>
          <w:b/>
          <w:bCs/>
          <w:color w:val="8A6D3A"/>
          <w:sz w:val="26"/>
          <w:szCs w:val="26"/>
        </w:rPr>
        <w:t xml:space="preserve">Was die Roadmap bewusst nicht enthält</w:t>
      </w:r>
    </w:p>
    <w:p>
      <w:pPr>
        <w:spacing w:after="160"/>
        <w:jc w:val="both"/>
      </w:pPr>
      <w:r>
        <w:t xml:space="preserve">Die Roadmap enthält bewusst keine internationale Expansion in den ersten drei Jahren, keine Vertikalisierung in Fachleistungen wie Recht oder Steuern, keine eigene Ausbildungsplattform und keine eigene Aufenthaltstitelabwicklung. All diese Erweiterungen sind grundsätzlich denkbar, würden aber in der Frühphase Kapital und Aufmerksamkeit binden, ohne den Kern der These zu stärken. Sie werden ausdrücklich später bewertet, sobald der Kern trägt.</w:t>
      </w:r>
    </w:p>
    <w:p>
      <w:r>
        <w:br w:type="page"/>
      </w:r>
    </w:p>
    <w:p>
      <w:pPr>
        <w:pStyle w:val="Heading1"/>
        <w:spacing w:after="150" w:before="300"/>
      </w:pPr>
      <w:r>
        <w:rPr>
          <w:b/>
          <w:bCs/>
          <w:color w:val="1F2D3D"/>
          <w:sz w:val="32"/>
          <w:szCs w:val="32"/>
        </w:rPr>
        <w:t xml:space="preserve">9. Team und Gründerprofil</w:t>
      </w:r>
    </w:p>
    <w:p>
      <w:pPr>
        <w:pStyle w:val="Heading2"/>
        <w:spacing w:after="120" w:before="240"/>
      </w:pPr>
      <w:r>
        <w:rPr>
          <w:b/>
          <w:bCs/>
          <w:color w:val="8A6D3A"/>
          <w:sz w:val="26"/>
          <w:szCs w:val="26"/>
        </w:rPr>
        <w:t xml:space="preserve">Der Gründer</w:t>
      </w:r>
    </w:p>
    <w:p>
      <w:pPr>
        <w:spacing w:after="160"/>
        <w:jc w:val="both"/>
      </w:pPr>
      <w:r>
        <w:t xml:space="preserve">Zaki Amawi, Jahrgang und Ausbildungsweg wie im ergänzenden Lebenslauf beschrieben, verbindet drei Erfahrungsstränge, die sich in Deutschland nicht häufig in einer Person finden lassen und die für den Aufbau von AMAVIO gemeinsam relevant sind.</w:t>
      </w:r>
    </w:p>
    <w:p>
      <w:pPr>
        <w:spacing w:after="160"/>
        <w:jc w:val="both"/>
      </w:pPr>
      <w:r>
        <w:t xml:space="preserve">Der erste Strang ist die Erfahrung im internationalen Pflege-Recruiting. Während seiner mehrjährigen Tätigkeit bei der Tern Group, einem internationalen Recruiting-Unternehmen mit deutschen Klinikkunden, war er nicht nur für den Vertrieb an Arbeitgeber verantwortlich, sondern mehrfach persönlich vor Ort in den Herkunftsländern der vermittelten Fachkräfte, unter anderem in Indien, Marokko und Tunesien. In dieser Zeit hat er in Bewerbungsgesprächen direkt mit Fachkräften gesprochen, deren Fragen zum Leben in Deutschland und zu Wohnraum, Familie, Sprache, Community und Alltagsbegleitung aus erster Hand gehört und deren Erwartungen mit den tatsächlichen Bedingungen in den deutschen Aufnahmeeinrichtungen abgeglichen. Diese Feldperspektive prägt die Ausgestaltung der Ankunftspakete und den Wohnraumfokus des Modells.</w:t>
      </w:r>
    </w:p>
    <w:p>
      <w:pPr>
        <w:spacing w:after="160"/>
        <w:jc w:val="both"/>
      </w:pPr>
      <w:r>
        <w:t xml:space="preserve">Der zweite Strang ist die Erfahrung in Immobilienakquisition und B2B-Vertrieb. Sie liefert das operative Rüstzeug für die für AMAVIO zentrale Wohnraumbeschaffung sowie für die Ansprache mittelständischer Arbeitgeber. Sie ist der Grund, warum die Wohnraumfrage im AMAVIO-Modell keine periphere Randbehandlung ist, wie sie bei den meisten Wettbewerbern erscheint, sondern der zentrale Baustein.</w:t>
      </w:r>
    </w:p>
    <w:p>
      <w:pPr>
        <w:spacing w:after="160"/>
        <w:jc w:val="both"/>
      </w:pPr>
      <w:r>
        <w:t xml:space="preserve">Der dritte Strang ist die persönliche familiäre Migrations- und Anerkennungserfahrung. Die Eltern kamen in den frühen 1980er-Jahren als Kriegsmigranten nach Deutschland, mit abgeschlossenen Hochschulstudien, die hier nicht anerkannt wurden. Diese Erfahrung, akademisch und beruflich qualifiziert zu sein und dennoch neu beginnen zu müssen, wurde in der eigenen Familie unmittelbar miterlebt. Sie prägt das Verständnis dafür, wie entscheidend eine strukturierte Anerkennungs- und Ankunftsbegleitung für den langfristigen beruflichen und persönlichen Erfolg internationaler Fachkräfte ist.</w:t>
      </w:r>
    </w:p>
    <w:p>
      <w:pPr>
        <w:pStyle w:val="Heading2"/>
        <w:spacing w:after="120" w:before="240"/>
      </w:pPr>
      <w:r>
        <w:rPr>
          <w:b/>
          <w:bCs/>
          <w:color w:val="8A6D3A"/>
          <w:sz w:val="26"/>
          <w:szCs w:val="26"/>
        </w:rPr>
        <w:t xml:space="preserve">Die geplanten Einstellungen mit dieser Runde</w:t>
      </w:r>
    </w:p>
    <w:p>
      <w:pPr>
        <w:spacing w:after="160"/>
        <w:jc w:val="both"/>
      </w:pPr>
      <w:r>
        <w:t xml:space="preserve">Die Pre-Seed-Runde finanziert die erste operative Einstellung, die den Doppelfokus Vertrieb und Fallsteuerung übernimmt. Gesucht wird eine erfahrene Person aus dem Umfeld Personalvermittlung, Sozialarbeit oder Pflegeorganisation, die sowohl operative Fallverantwortung als auch qualifizierten Kundenkontakt übernehmen kann. Diese Doppelrolle ist bewusst gewählt, weil eine reine Vertriebseinstellung in der frühen Phase überschüssige Kapazität hätte und eine reine Fallsteuerungseinstellung den Vertriebsdruck auf den Gründer allein zurücklassen würde.</w:t>
      </w:r>
    </w:p>
    <w:p>
      <w:pPr>
        <w:spacing w:after="160"/>
        <w:jc w:val="both"/>
      </w:pPr>
      <w:r>
        <w:t xml:space="preserve">Im Verlauf des zweiten Betriebsjahres kommt eine erste technische Kapazität hinzu, entweder als angestellte Entwicklungsstelle oder, je nach Rekrutierungsverfügbarkeit, als eingebundene Werkstudentenstelle mit ergänzender externer Agenturkapazität. Der Übergang von der Low-Code-Plattform zur eigenen Anwendung soll durch diese Kapazität getragen werden. Weitere Einstellungen erfolgen entlang tatsächlich nachgewiesener Auslastung, nicht auf Vorrat.</w:t>
      </w:r>
    </w:p>
    <w:p>
      <w:pPr>
        <w:pStyle w:val="Heading2"/>
        <w:spacing w:after="120" w:before="240"/>
      </w:pPr>
      <w:r>
        <w:rPr>
          <w:b/>
          <w:bCs/>
          <w:color w:val="8A6D3A"/>
          <w:sz w:val="26"/>
          <w:szCs w:val="26"/>
        </w:rPr>
        <w:t xml:space="preserve">Die eingebundene externe Expertise</w:t>
      </w:r>
    </w:p>
    <w:p>
      <w:pPr>
        <w:spacing w:after="160"/>
        <w:jc w:val="both"/>
      </w:pPr>
      <w:r>
        <w:t xml:space="preserve">Für die Bereiche, in denen eine dauerhafte interne Kapazität in der Frühphase weder wirtschaftlich sinnvoll noch fachlich notwendig ist, arbeitet AMAVIO mit gezielt eingebundenen externen Fachleuten. Ein Gründungscoach begleitet die inhaltliche Weiterentwicklung des Businessplans und die Finanzplanung; die fachkundige Stellungnahme für den Gründungszuschuss wird über diesen Coach eingeholt. Eine spezialisierte Steuerberatung und eine anwaltliche Beratung mit Fokus auf Arbeitsrecht, Datenschutz und Ausländerrecht sind für die laufende Absicherung eingebunden. Für den Aufbau des KI-Anteils in Stufe drei wird eine ergänzende Beratung durch eine spezialisierte Agentur mit Datenschutzkompetenz vorgesehen; die Auswahl erfolgt zum Zeitpunkt des Aufbaus dieser Stufe.</w:t>
      </w:r>
    </w:p>
    <w:p>
      <w:pPr>
        <w:pStyle w:val="Heading2"/>
        <w:spacing w:after="120" w:before="240"/>
      </w:pPr>
      <w:r>
        <w:rPr>
          <w:b/>
          <w:bCs/>
          <w:color w:val="8A6D3A"/>
          <w:sz w:val="26"/>
          <w:szCs w:val="26"/>
        </w:rPr>
        <w:t xml:space="preserve">Die eigene Ehrlichkeit über das aktuelle Team-Risiko</w:t>
      </w:r>
    </w:p>
    <w:p>
      <w:pPr>
        <w:spacing w:after="160"/>
        <w:jc w:val="both"/>
      </w:pPr>
      <w:r>
        <w:t xml:space="preserve">AMAVIO ist zum Zeitpunkt dieser Finanzierung ein durch eine Person getragenes Vorhaben. Das ist ein reales Risiko und wird nicht kleingeredet. Die erste operative Einstellung aus dieser Runde ist die konkrete Antwort auf dieses Risiko und wird bewusst früh im Kapitalverbrauch angesetzt, damit AMAVIO möglichst schnell auf zwei Personen mit gemeinsamer operativer Verantwortung steht. Der Aufbau des Teams über eine Person hinaus ist damit nicht nur ein Ressourcen-, sondern ein Risikomanagement-Meilenstein und wird gegenüber Investoren transparent so ausgewiesen.</w:t>
      </w:r>
    </w:p>
    <w:p>
      <w:r>
        <w:br w:type="page"/>
      </w:r>
    </w:p>
    <w:p>
      <w:pPr>
        <w:pStyle w:val="Heading1"/>
        <w:spacing w:after="150" w:before="300"/>
      </w:pPr>
      <w:r>
        <w:rPr>
          <w:b/>
          <w:bCs/>
          <w:color w:val="1F2D3D"/>
          <w:sz w:val="32"/>
          <w:szCs w:val="32"/>
        </w:rPr>
        <w:t xml:space="preserve">10. Finanzplanung, Investment Case</w:t>
      </w:r>
    </w:p>
    <w:p>
      <w:pPr>
        <w:pStyle w:val="Heading2"/>
        <w:spacing w:after="120" w:before="240"/>
      </w:pPr>
      <w:r>
        <w:rPr>
          <w:b/>
          <w:bCs/>
          <w:color w:val="8A6D3A"/>
          <w:sz w:val="26"/>
          <w:szCs w:val="26"/>
        </w:rPr>
        <w:t xml:space="preserve">Das Verhältnis zum Amt-Plan</w:t>
      </w:r>
    </w:p>
    <w:p>
      <w:pPr>
        <w:spacing w:after="160"/>
        <w:jc w:val="both"/>
      </w:pPr>
      <w:r>
        <w:t xml:space="preserve">Der zugrunde liegende operative Businessplan für den Gründungszuschuss rechnet bewusst konservativ mit einem einzelnen Gründer ohne externes Kapital. Er weist Umsätze von 93.500 EUR im ersten Jahr, 269.000 EUR im zweiten Jahr und 442.000 EUR im dritten Jahr aus und zeigt, dass AMAVIO bereits ohne diese Finanzierungsrunde tragfähig ist. Diese Zahlen sind gegenüber der Bundesagentur für Arbeit dokumentiert und werden gegenüber Investoren nicht verändert. Der folgende Investor Case zeigt einen zweiten, davon getrennten Pfad, der die durch das Kapital ermöglichte Beschleunigung explizit macht: Erste operative Einstellung im vierten Betriebsmonat, Marktplatzstufe im ersten Betriebsjahr, geografische Erweiterung im zweiten Jahr. Beide Pfade nutzen dieselbe Paketlogik und dieselben Preise; sie unterscheiden sich in Team, Vertriebsdruck und Produktverfügbarkeit.</w:t>
      </w:r>
    </w:p>
    <w:p>
      <w:pPr>
        <w:pStyle w:val="Heading2"/>
        <w:spacing w:after="120" w:before="240"/>
      </w:pPr>
      <w:r>
        <w:rPr>
          <w:b/>
          <w:bCs/>
          <w:color w:val="8A6D3A"/>
          <w:sz w:val="26"/>
          <w:szCs w:val="26"/>
        </w:rPr>
        <w:t xml:space="preserve">Die Umsatzarchitektur des Investor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200"/>
      </w:tblGrid>
      <w:tr>
        <w:tc>
          <w:tcPr>
            <w:tcW w:type="dxa" w:w="2600"/>
            <w:shd w:fill="1F2D3D" w:val="clear"/>
          </w:tcPr>
          <w:p>
            <w:r>
              <w:rPr>
                <w:b/>
                <w:bCs/>
                <w:color w:val="FFFFFF"/>
                <w:sz w:val="20"/>
                <w:szCs w:val="20"/>
              </w:rPr>
              <w:t xml:space="preserve">Kennzahl</w:t>
            </w:r>
          </w:p>
        </w:tc>
        <w:tc>
          <w:tcPr>
            <w:tcW w:type="dxa" w:w="2000"/>
            <w:shd w:fill="1F2D3D" w:val="clear"/>
          </w:tcPr>
          <w:p>
            <w:r>
              <w:rPr>
                <w:b/>
                <w:bCs/>
                <w:color w:val="FFFFFF"/>
                <w:sz w:val="20"/>
                <w:szCs w:val="20"/>
              </w:rPr>
              <w:t xml:space="preserve">Jahr 1</w:t>
            </w:r>
          </w:p>
        </w:tc>
        <w:tc>
          <w:tcPr>
            <w:tcW w:type="dxa" w:w="2200"/>
            <w:shd w:fill="1F2D3D" w:val="clear"/>
          </w:tcPr>
          <w:p>
            <w:r>
              <w:rPr>
                <w:b/>
                <w:bCs/>
                <w:color w:val="FFFFFF"/>
                <w:sz w:val="20"/>
                <w:szCs w:val="20"/>
              </w:rPr>
              <w:t xml:space="preserve">Jahr 2</w:t>
            </w:r>
          </w:p>
        </w:tc>
        <w:tc>
          <w:tcPr>
            <w:tcW w:type="dxa" w:w="2200"/>
            <w:shd w:fill="1F2D3D" w:val="clear"/>
          </w:tcPr>
          <w:p>
            <w:r>
              <w:rPr>
                <w:b/>
                <w:bCs/>
                <w:color w:val="FFFFFF"/>
                <w:sz w:val="20"/>
                <w:szCs w:val="20"/>
              </w:rPr>
              <w:t xml:space="preserve">Jahr 3</w:t>
            </w:r>
          </w:p>
        </w:tc>
      </w:tr>
      <w:tr>
        <w:tc>
          <w:tcPr>
            <w:tcW w:type="dxa" w:w="2600"/>
          </w:tcPr>
          <w:p>
            <w:r>
              <w:rPr>
                <w:b w:val="false"/>
                <w:bCs w:val="false"/>
                <w:sz w:val="20"/>
                <w:szCs w:val="20"/>
              </w:rPr>
              <w:t xml:space="preserve">Umsatz Dienstleistungspakete</w:t>
            </w:r>
          </w:p>
        </w:tc>
        <w:tc>
          <w:tcPr>
            <w:tcW w:type="dxa" w:w="2000"/>
          </w:tcPr>
          <w:p>
            <w:r>
              <w:rPr>
                <w:b w:val="false"/>
                <w:bCs w:val="false"/>
                <w:sz w:val="20"/>
                <w:szCs w:val="20"/>
              </w:rPr>
              <w:t xml:space="preserve">rund 150.000 EUR</w:t>
            </w:r>
          </w:p>
        </w:tc>
        <w:tc>
          <w:tcPr>
            <w:tcW w:type="dxa" w:w="2200"/>
          </w:tcPr>
          <w:p>
            <w:r>
              <w:rPr>
                <w:b w:val="false"/>
                <w:bCs w:val="false"/>
                <w:sz w:val="20"/>
                <w:szCs w:val="20"/>
              </w:rPr>
              <w:t xml:space="preserve">rund 380.000 EUR</w:t>
            </w:r>
          </w:p>
        </w:tc>
        <w:tc>
          <w:tcPr>
            <w:tcW w:type="dxa" w:w="2200"/>
          </w:tcPr>
          <w:p>
            <w:r>
              <w:rPr>
                <w:b w:val="false"/>
                <w:bCs w:val="false"/>
                <w:sz w:val="20"/>
                <w:szCs w:val="20"/>
              </w:rPr>
              <w:t xml:space="preserve">rund 680.000 EUR</w:t>
            </w:r>
          </w:p>
        </w:tc>
      </w:tr>
      <w:tr>
        <w:tc>
          <w:tcPr>
            <w:tcW w:type="dxa" w:w="2600"/>
            <w:shd w:fill="F2F2F2" w:val="clear"/>
          </w:tcPr>
          <w:p>
            <w:r>
              <w:rPr>
                <w:b w:val="false"/>
                <w:bCs w:val="false"/>
                <w:sz w:val="20"/>
                <w:szCs w:val="20"/>
              </w:rPr>
              <w:t xml:space="preserve">Umsatz Marktplatz-Jahreslizenzen</w:t>
            </w:r>
          </w:p>
        </w:tc>
        <w:tc>
          <w:tcPr>
            <w:tcW w:type="dxa" w:w="2000"/>
            <w:shd w:fill="F2F2F2" w:val="clear"/>
          </w:tcPr>
          <w:p>
            <w:r>
              <w:rPr>
                <w:b w:val="false"/>
                <w:bCs w:val="false"/>
                <w:sz w:val="20"/>
                <w:szCs w:val="20"/>
              </w:rPr>
              <w:t xml:space="preserve">rund 20.000 EUR</w:t>
            </w:r>
          </w:p>
        </w:tc>
        <w:tc>
          <w:tcPr>
            <w:tcW w:type="dxa" w:w="2200"/>
            <w:shd w:fill="F2F2F2" w:val="clear"/>
          </w:tcPr>
          <w:p>
            <w:r>
              <w:rPr>
                <w:b w:val="false"/>
                <w:bCs w:val="false"/>
                <w:sz w:val="20"/>
                <w:szCs w:val="20"/>
              </w:rPr>
              <w:t xml:space="preserve">rund 90.000 EUR</w:t>
            </w:r>
          </w:p>
        </w:tc>
        <w:tc>
          <w:tcPr>
            <w:tcW w:type="dxa" w:w="2200"/>
            <w:shd w:fill="F2F2F2" w:val="clear"/>
          </w:tcPr>
          <w:p>
            <w:r>
              <w:rPr>
                <w:b w:val="false"/>
                <w:bCs w:val="false"/>
                <w:sz w:val="20"/>
                <w:szCs w:val="20"/>
              </w:rPr>
              <w:t xml:space="preserve">rund 220.000 EUR</w:t>
            </w:r>
          </w:p>
        </w:tc>
      </w:tr>
      <w:tr>
        <w:tc>
          <w:tcPr>
            <w:tcW w:type="dxa" w:w="2600"/>
          </w:tcPr>
          <w:p>
            <w:r>
              <w:rPr>
                <w:b w:val="false"/>
                <w:bCs w:val="false"/>
                <w:sz w:val="20"/>
                <w:szCs w:val="20"/>
              </w:rPr>
              <w:t xml:space="preserve">Umsatz Vermittlungsbeteiligung Servicepartner</w:t>
            </w:r>
          </w:p>
        </w:tc>
        <w:tc>
          <w:tcPr>
            <w:tcW w:type="dxa" w:w="2000"/>
          </w:tcPr>
          <w:p>
            <w:r>
              <w:rPr>
                <w:b w:val="false"/>
                <w:bCs w:val="false"/>
                <w:sz w:val="20"/>
                <w:szCs w:val="20"/>
              </w:rPr>
              <w:t xml:space="preserve">rund 10.000 EUR</w:t>
            </w:r>
          </w:p>
        </w:tc>
        <w:tc>
          <w:tcPr>
            <w:tcW w:type="dxa" w:w="2200"/>
          </w:tcPr>
          <w:p>
            <w:r>
              <w:rPr>
                <w:b w:val="false"/>
                <w:bCs w:val="false"/>
                <w:sz w:val="20"/>
                <w:szCs w:val="20"/>
              </w:rPr>
              <w:t xml:space="preserve">rund 60.000 EUR</w:t>
            </w:r>
          </w:p>
        </w:tc>
        <w:tc>
          <w:tcPr>
            <w:tcW w:type="dxa" w:w="2200"/>
          </w:tcPr>
          <w:p>
            <w:r>
              <w:rPr>
                <w:b w:val="false"/>
                <w:bCs w:val="false"/>
                <w:sz w:val="20"/>
                <w:szCs w:val="20"/>
              </w:rPr>
              <w:t xml:space="preserve">rund 180.000 EUR</w:t>
            </w:r>
          </w:p>
        </w:tc>
      </w:tr>
      <w:tr>
        <w:tc>
          <w:tcPr>
            <w:tcW w:type="dxa" w:w="2600"/>
            <w:shd w:fill="F2F2F2" w:val="clear"/>
          </w:tcPr>
          <w:p>
            <w:r>
              <w:rPr>
                <w:b w:val="false"/>
                <w:bCs w:val="false"/>
                <w:sz w:val="20"/>
                <w:szCs w:val="20"/>
              </w:rPr>
              <w:t xml:space="preserve">Umsatz gesamt</w:t>
            </w:r>
          </w:p>
        </w:tc>
        <w:tc>
          <w:tcPr>
            <w:tcW w:type="dxa" w:w="2000"/>
            <w:shd w:fill="F2F2F2" w:val="clear"/>
          </w:tcPr>
          <w:p>
            <w:r>
              <w:rPr>
                <w:b w:val="false"/>
                <w:bCs w:val="false"/>
                <w:sz w:val="20"/>
                <w:szCs w:val="20"/>
              </w:rPr>
              <w:t xml:space="preserve">rund 180.000 EUR</w:t>
            </w:r>
          </w:p>
        </w:tc>
        <w:tc>
          <w:tcPr>
            <w:tcW w:type="dxa" w:w="2200"/>
            <w:shd w:fill="F2F2F2" w:val="clear"/>
          </w:tcPr>
          <w:p>
            <w:r>
              <w:rPr>
                <w:b w:val="false"/>
                <w:bCs w:val="false"/>
                <w:sz w:val="20"/>
                <w:szCs w:val="20"/>
              </w:rPr>
              <w:t xml:space="preserve">rund 530.000 EUR</w:t>
            </w:r>
          </w:p>
        </w:tc>
        <w:tc>
          <w:tcPr>
            <w:tcW w:type="dxa" w:w="2200"/>
            <w:shd w:fill="F2F2F2" w:val="clear"/>
          </w:tcPr>
          <w:p>
            <w:r>
              <w:rPr>
                <w:b w:val="false"/>
                <w:bCs w:val="false"/>
                <w:sz w:val="20"/>
                <w:szCs w:val="20"/>
              </w:rPr>
              <w:t xml:space="preserve">rund 1.080.000 EUR</w:t>
            </w:r>
          </w:p>
        </w:tc>
      </w:tr>
    </w:tbl>
    <w:p>
      <w:pPr>
        <w:spacing w:after="160"/>
        <w:jc w:val="both"/>
      </w:pPr>
      <w:r>
        <w:t xml:space="preserve"/>
      </w:r>
    </w:p>
    <w:p>
      <w:pPr>
        <w:spacing w:after="160"/>
        <w:jc w:val="both"/>
      </w:pPr>
      <w:r>
        <w:t xml:space="preserve">Die Umsatzhöhe im ersten Jahr ist bewusst nur moderat höher als im konservativen Amt-Plan angesetzt, weil die operative Einstellung erst nach vier bis sechs Monaten produktiv wirkt und die ersten Marktplatzumsätze nur in einem Teilzeitraum des ersten Jahres anfallen. Der eigentliche Sprung entsteht im zweiten und dritten Jahr, in dem eine höhere Anzahl gleichzeitig laufender Mandate durch die operative Einstellung getragen wird und Marktplatzumsätze aus einer wachsenden Anzahl von Jahreslizenz-Kunden und einem wachsenden Servicepartner-Netzwerk kumulieren.</w:t>
      </w:r>
    </w:p>
    <w:p>
      <w:pPr>
        <w:pStyle w:val="Heading2"/>
        <w:spacing w:after="120" w:before="240"/>
      </w:pPr>
      <w:r>
        <w:rPr>
          <w:b/>
          <w:bCs/>
          <w:color w:val="8A6D3A"/>
          <w:sz w:val="26"/>
          <w:szCs w:val="26"/>
        </w:rPr>
        <w:t xml:space="preserve">Die Fallzahlen hinter den Umsätzen</w:t>
      </w:r>
    </w:p>
    <w:p>
      <w:pPr>
        <w:spacing w:after="160"/>
        <w:jc w:val="both"/>
      </w:pPr>
      <w:r>
        <w:t xml:space="preserve">Die obigen Umsatzzahlen lassen sich direkt auf Fallzahlen zurückführen und damit für Investoren nachrechnen. Im ersten Jahr werden auf Dienstleistungsseite etwa sieben bis neun bezahlte Mandate mit durchschnittlichem Auftragswert um 20.000 EUR angenommen, dazu erste laufende Care-Begleitungen für einen Teil der Mandate. Im zweiten Jahr steigt die Anzahl gleichzeitig laufender Mandate auf sechzehn bis zwanzig, was mit der operativen Einstellung und der Werkzeugunterstützung planbar ist. Im dritten Jahr wird eine Anzahl gleichzeitig laufender Mandate von rund dreißig angenommen. Für die Marktplatzumsätze wird im dritten Jahr ein Kundenbestand von rund zwanzig Arbeitgebern mit Jahreslizenz und rund achtzig aktiven Servicepartnern modelliert; die daraus abgeleiteten Vermittlungsumsätze sind bewusst konservativ mit einer durchschnittlichen Beteiligung im niedrigen einstelligen Prozentbereich der vermittelten Servicesumme angesetzt.</w:t>
      </w:r>
    </w:p>
    <w:p>
      <w:pPr>
        <w:pStyle w:val="Heading2"/>
        <w:spacing w:after="120" w:before="240"/>
      </w:pPr>
      <w:r>
        <w:rPr>
          <w:b/>
          <w:bCs/>
          <w:color w:val="8A6D3A"/>
          <w:sz w:val="26"/>
          <w:szCs w:val="26"/>
        </w:rPr>
        <w:t xml:space="preserve">Die Kostenstruktur des Investor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900"/>
        <w:gridCol w:w="1900"/>
      </w:tblGrid>
      <w:tr>
        <w:tc>
          <w:tcPr>
            <w:tcW w:type="dxa" w:w="3400"/>
            <w:shd w:fill="1F2D3D" w:val="clear"/>
          </w:tcPr>
          <w:p>
            <w:r>
              <w:rPr>
                <w:b/>
                <w:bCs/>
                <w:color w:val="FFFFFF"/>
                <w:sz w:val="20"/>
                <w:szCs w:val="20"/>
              </w:rPr>
              <w:t xml:space="preserve">Kostenblock</w:t>
            </w:r>
          </w:p>
        </w:tc>
        <w:tc>
          <w:tcPr>
            <w:tcW w:type="dxa" w:w="1800"/>
            <w:shd w:fill="1F2D3D" w:val="clear"/>
          </w:tcPr>
          <w:p>
            <w:r>
              <w:rPr>
                <w:b/>
                <w:bCs/>
                <w:color w:val="FFFFFF"/>
                <w:sz w:val="20"/>
                <w:szCs w:val="20"/>
              </w:rPr>
              <w:t xml:space="preserve">Jahr 1</w:t>
            </w:r>
          </w:p>
        </w:tc>
        <w:tc>
          <w:tcPr>
            <w:tcW w:type="dxa" w:w="1900"/>
            <w:shd w:fill="1F2D3D" w:val="clear"/>
          </w:tcPr>
          <w:p>
            <w:r>
              <w:rPr>
                <w:b/>
                <w:bCs/>
                <w:color w:val="FFFFFF"/>
                <w:sz w:val="20"/>
                <w:szCs w:val="20"/>
              </w:rPr>
              <w:t xml:space="preserve">Jahr 2</w:t>
            </w:r>
          </w:p>
        </w:tc>
        <w:tc>
          <w:tcPr>
            <w:tcW w:type="dxa" w:w="1900"/>
            <w:shd w:fill="1F2D3D" w:val="clear"/>
          </w:tcPr>
          <w:p>
            <w:r>
              <w:rPr>
                <w:b/>
                <w:bCs/>
                <w:color w:val="FFFFFF"/>
                <w:sz w:val="20"/>
                <w:szCs w:val="20"/>
              </w:rPr>
              <w:t xml:space="preserve">Jahr 3</w:t>
            </w:r>
          </w:p>
        </w:tc>
      </w:tr>
      <w:tr>
        <w:tc>
          <w:tcPr>
            <w:tcW w:type="dxa" w:w="3400"/>
          </w:tcPr>
          <w:p>
            <w:r>
              <w:rPr>
                <w:b w:val="false"/>
                <w:bCs w:val="false"/>
                <w:sz w:val="20"/>
                <w:szCs w:val="20"/>
              </w:rPr>
              <w:t xml:space="preserve">Personal (Gründervergütung, ab Monat 4 eine operative Stelle, ab Monat 15 eine Produkt- und Technikstelle)</w:t>
            </w:r>
          </w:p>
        </w:tc>
        <w:tc>
          <w:tcPr>
            <w:tcW w:type="dxa" w:w="1800"/>
          </w:tcPr>
          <w:p>
            <w:r>
              <w:rPr>
                <w:b w:val="false"/>
                <w:bCs w:val="false"/>
                <w:sz w:val="20"/>
                <w:szCs w:val="20"/>
              </w:rPr>
              <w:t xml:space="preserve">rund 80.000 EUR</w:t>
            </w:r>
          </w:p>
        </w:tc>
        <w:tc>
          <w:tcPr>
            <w:tcW w:type="dxa" w:w="1900"/>
          </w:tcPr>
          <w:p>
            <w:r>
              <w:rPr>
                <w:b w:val="false"/>
                <w:bCs w:val="false"/>
                <w:sz w:val="20"/>
                <w:szCs w:val="20"/>
              </w:rPr>
              <w:t xml:space="preserve">rund 190.000 EUR</w:t>
            </w:r>
          </w:p>
        </w:tc>
        <w:tc>
          <w:tcPr>
            <w:tcW w:type="dxa" w:w="1900"/>
          </w:tcPr>
          <w:p>
            <w:r>
              <w:rPr>
                <w:b w:val="false"/>
                <w:bCs w:val="false"/>
                <w:sz w:val="20"/>
                <w:szCs w:val="20"/>
              </w:rPr>
              <w:t xml:space="preserve">rund 320.000 EUR</w:t>
            </w:r>
          </w:p>
        </w:tc>
      </w:tr>
      <w:tr>
        <w:tc>
          <w:tcPr>
            <w:tcW w:type="dxa" w:w="3400"/>
            <w:shd w:fill="F2F2F2" w:val="clear"/>
          </w:tcPr>
          <w:p>
            <w:r>
              <w:rPr>
                <w:b w:val="false"/>
                <w:bCs w:val="false"/>
                <w:sz w:val="20"/>
                <w:szCs w:val="20"/>
              </w:rPr>
              <w:t xml:space="preserve">Externe Fachleistungen (Steuer, Recht, spezialisierte Beratung, Datenschutz, Buchhaltung)</w:t>
            </w:r>
          </w:p>
        </w:tc>
        <w:tc>
          <w:tcPr>
            <w:tcW w:type="dxa" w:w="1800"/>
            <w:shd w:fill="F2F2F2" w:val="clear"/>
          </w:tcPr>
          <w:p>
            <w:r>
              <w:rPr>
                <w:b w:val="false"/>
                <w:bCs w:val="false"/>
                <w:sz w:val="20"/>
                <w:szCs w:val="20"/>
              </w:rPr>
              <w:t xml:space="preserve">rund 18.000 EUR</w:t>
            </w:r>
          </w:p>
        </w:tc>
        <w:tc>
          <w:tcPr>
            <w:tcW w:type="dxa" w:w="1900"/>
            <w:shd w:fill="F2F2F2" w:val="clear"/>
          </w:tcPr>
          <w:p>
            <w:r>
              <w:rPr>
                <w:b w:val="false"/>
                <w:bCs w:val="false"/>
                <w:sz w:val="20"/>
                <w:szCs w:val="20"/>
              </w:rPr>
              <w:t xml:space="preserve">rund 28.000 EUR</w:t>
            </w:r>
          </w:p>
        </w:tc>
        <w:tc>
          <w:tcPr>
            <w:tcW w:type="dxa" w:w="1900"/>
            <w:shd w:fill="F2F2F2" w:val="clear"/>
          </w:tcPr>
          <w:p>
            <w:r>
              <w:rPr>
                <w:b w:val="false"/>
                <w:bCs w:val="false"/>
                <w:sz w:val="20"/>
                <w:szCs w:val="20"/>
              </w:rPr>
              <w:t xml:space="preserve">rund 40.000 EUR</w:t>
            </w:r>
          </w:p>
        </w:tc>
      </w:tr>
      <w:tr>
        <w:tc>
          <w:tcPr>
            <w:tcW w:type="dxa" w:w="3400"/>
          </w:tcPr>
          <w:p>
            <w:r>
              <w:rPr>
                <w:b w:val="false"/>
                <w:bCs w:val="false"/>
                <w:sz w:val="20"/>
                <w:szCs w:val="20"/>
              </w:rPr>
              <w:t xml:space="preserve">Software, Werkzeuge, Cloud-Betrieb</w:t>
            </w:r>
          </w:p>
        </w:tc>
        <w:tc>
          <w:tcPr>
            <w:tcW w:type="dxa" w:w="1800"/>
          </w:tcPr>
          <w:p>
            <w:r>
              <w:rPr>
                <w:b w:val="false"/>
                <w:bCs w:val="false"/>
                <w:sz w:val="20"/>
                <w:szCs w:val="20"/>
              </w:rPr>
              <w:t xml:space="preserve">rund 8.000 EUR</w:t>
            </w:r>
          </w:p>
        </w:tc>
        <w:tc>
          <w:tcPr>
            <w:tcW w:type="dxa" w:w="1900"/>
          </w:tcPr>
          <w:p>
            <w:r>
              <w:rPr>
                <w:b w:val="false"/>
                <w:bCs w:val="false"/>
                <w:sz w:val="20"/>
                <w:szCs w:val="20"/>
              </w:rPr>
              <w:t xml:space="preserve">rund 18.000 EUR</w:t>
            </w:r>
          </w:p>
        </w:tc>
        <w:tc>
          <w:tcPr>
            <w:tcW w:type="dxa" w:w="1900"/>
          </w:tcPr>
          <w:p>
            <w:r>
              <w:rPr>
                <w:b w:val="false"/>
                <w:bCs w:val="false"/>
                <w:sz w:val="20"/>
                <w:szCs w:val="20"/>
              </w:rPr>
              <w:t xml:space="preserve">rund 40.000 EUR</w:t>
            </w:r>
          </w:p>
        </w:tc>
      </w:tr>
      <w:tr>
        <w:tc>
          <w:tcPr>
            <w:tcW w:type="dxa" w:w="3400"/>
            <w:shd w:fill="F2F2F2" w:val="clear"/>
          </w:tcPr>
          <w:p>
            <w:r>
              <w:rPr>
                <w:b w:val="false"/>
                <w:bCs w:val="false"/>
                <w:sz w:val="20"/>
                <w:szCs w:val="20"/>
              </w:rPr>
              <w:t xml:space="preserve">Marketing, Vertrieb, Akquise</w:t>
            </w:r>
          </w:p>
        </w:tc>
        <w:tc>
          <w:tcPr>
            <w:tcW w:type="dxa" w:w="1800"/>
            <w:shd w:fill="F2F2F2" w:val="clear"/>
          </w:tcPr>
          <w:p>
            <w:r>
              <w:rPr>
                <w:b w:val="false"/>
                <w:bCs w:val="false"/>
                <w:sz w:val="20"/>
                <w:szCs w:val="20"/>
              </w:rPr>
              <w:t xml:space="preserve">rund 15.000 EUR</w:t>
            </w:r>
          </w:p>
        </w:tc>
        <w:tc>
          <w:tcPr>
            <w:tcW w:type="dxa" w:w="1900"/>
            <w:shd w:fill="F2F2F2" w:val="clear"/>
          </w:tcPr>
          <w:p>
            <w:r>
              <w:rPr>
                <w:b w:val="false"/>
                <w:bCs w:val="false"/>
                <w:sz w:val="20"/>
                <w:szCs w:val="20"/>
              </w:rPr>
              <w:t xml:space="preserve">rund 30.000 EUR</w:t>
            </w:r>
          </w:p>
        </w:tc>
        <w:tc>
          <w:tcPr>
            <w:tcW w:type="dxa" w:w="1900"/>
            <w:shd w:fill="F2F2F2" w:val="clear"/>
          </w:tcPr>
          <w:p>
            <w:r>
              <w:rPr>
                <w:b w:val="false"/>
                <w:bCs w:val="false"/>
                <w:sz w:val="20"/>
                <w:szCs w:val="20"/>
              </w:rPr>
              <w:t xml:space="preserve">rund 55.000 EUR</w:t>
            </w:r>
          </w:p>
        </w:tc>
      </w:tr>
      <w:tr>
        <w:tc>
          <w:tcPr>
            <w:tcW w:type="dxa" w:w="3400"/>
          </w:tcPr>
          <w:p>
            <w:r>
              <w:rPr>
                <w:b w:val="false"/>
                <w:bCs w:val="false"/>
                <w:sz w:val="20"/>
                <w:szCs w:val="20"/>
              </w:rPr>
              <w:t xml:space="preserve">Büro, Kommunikation, Reise, Versicherungen</w:t>
            </w:r>
          </w:p>
        </w:tc>
        <w:tc>
          <w:tcPr>
            <w:tcW w:type="dxa" w:w="1800"/>
          </w:tcPr>
          <w:p>
            <w:r>
              <w:rPr>
                <w:b w:val="false"/>
                <w:bCs w:val="false"/>
                <w:sz w:val="20"/>
                <w:szCs w:val="20"/>
              </w:rPr>
              <w:t xml:space="preserve">rund 12.000 EUR</w:t>
            </w:r>
          </w:p>
        </w:tc>
        <w:tc>
          <w:tcPr>
            <w:tcW w:type="dxa" w:w="1900"/>
          </w:tcPr>
          <w:p>
            <w:r>
              <w:rPr>
                <w:b w:val="false"/>
                <w:bCs w:val="false"/>
                <w:sz w:val="20"/>
                <w:szCs w:val="20"/>
              </w:rPr>
              <w:t xml:space="preserve">rund 18.000 EUR</w:t>
            </w:r>
          </w:p>
        </w:tc>
        <w:tc>
          <w:tcPr>
            <w:tcW w:type="dxa" w:w="1900"/>
          </w:tcPr>
          <w:p>
            <w:r>
              <w:rPr>
                <w:b w:val="false"/>
                <w:bCs w:val="false"/>
                <w:sz w:val="20"/>
                <w:szCs w:val="20"/>
              </w:rPr>
              <w:t xml:space="preserve">rund 28.000 EUR</w:t>
            </w:r>
          </w:p>
        </w:tc>
      </w:tr>
      <w:tr>
        <w:tc>
          <w:tcPr>
            <w:tcW w:type="dxa" w:w="3400"/>
            <w:shd w:fill="F2F2F2" w:val="clear"/>
          </w:tcPr>
          <w:p>
            <w:r>
              <w:rPr>
                <w:b w:val="false"/>
                <w:bCs w:val="false"/>
                <w:sz w:val="20"/>
                <w:szCs w:val="20"/>
              </w:rPr>
              <w:t xml:space="preserve">Direkte Sachkosten pro Fall (Kommunikation, Fahrten, kleine Vor-Ort-Ausgaben)</w:t>
            </w:r>
          </w:p>
        </w:tc>
        <w:tc>
          <w:tcPr>
            <w:tcW w:type="dxa" w:w="1800"/>
            <w:shd w:fill="F2F2F2" w:val="clear"/>
          </w:tcPr>
          <w:p>
            <w:r>
              <w:rPr>
                <w:b w:val="false"/>
                <w:bCs w:val="false"/>
                <w:sz w:val="20"/>
                <w:szCs w:val="20"/>
              </w:rPr>
              <w:t xml:space="preserve">rund 6.000 EUR</w:t>
            </w:r>
          </w:p>
        </w:tc>
        <w:tc>
          <w:tcPr>
            <w:tcW w:type="dxa" w:w="1900"/>
            <w:shd w:fill="F2F2F2" w:val="clear"/>
          </w:tcPr>
          <w:p>
            <w:r>
              <w:rPr>
                <w:b w:val="false"/>
                <w:bCs w:val="false"/>
                <w:sz w:val="20"/>
                <w:szCs w:val="20"/>
              </w:rPr>
              <w:t xml:space="preserve">rund 18.000 EUR</w:t>
            </w:r>
          </w:p>
        </w:tc>
        <w:tc>
          <w:tcPr>
            <w:tcW w:type="dxa" w:w="1900"/>
            <w:shd w:fill="F2F2F2" w:val="clear"/>
          </w:tcPr>
          <w:p>
            <w:r>
              <w:rPr>
                <w:b w:val="false"/>
                <w:bCs w:val="false"/>
                <w:sz w:val="20"/>
                <w:szCs w:val="20"/>
              </w:rPr>
              <w:t xml:space="preserve">rund 36.000 EUR</w:t>
            </w:r>
          </w:p>
        </w:tc>
      </w:tr>
      <w:tr>
        <w:tc>
          <w:tcPr>
            <w:tcW w:type="dxa" w:w="3400"/>
          </w:tcPr>
          <w:p>
            <w:r>
              <w:rPr>
                <w:b w:val="false"/>
                <w:bCs w:val="false"/>
                <w:sz w:val="20"/>
                <w:szCs w:val="20"/>
              </w:rPr>
              <w:t xml:space="preserve">Kosten gesamt</w:t>
            </w:r>
          </w:p>
        </w:tc>
        <w:tc>
          <w:tcPr>
            <w:tcW w:type="dxa" w:w="1800"/>
          </w:tcPr>
          <w:p>
            <w:r>
              <w:rPr>
                <w:b w:val="false"/>
                <w:bCs w:val="false"/>
                <w:sz w:val="20"/>
                <w:szCs w:val="20"/>
              </w:rPr>
              <w:t xml:space="preserve">rund 139.000 EUR</w:t>
            </w:r>
          </w:p>
        </w:tc>
        <w:tc>
          <w:tcPr>
            <w:tcW w:type="dxa" w:w="1900"/>
          </w:tcPr>
          <w:p>
            <w:r>
              <w:rPr>
                <w:b w:val="false"/>
                <w:bCs w:val="false"/>
                <w:sz w:val="20"/>
                <w:szCs w:val="20"/>
              </w:rPr>
              <w:t xml:space="preserve">rund 302.000 EUR</w:t>
            </w:r>
          </w:p>
        </w:tc>
        <w:tc>
          <w:tcPr>
            <w:tcW w:type="dxa" w:w="1900"/>
          </w:tcPr>
          <w:p>
            <w:r>
              <w:rPr>
                <w:b w:val="false"/>
                <w:bCs w:val="false"/>
                <w:sz w:val="20"/>
                <w:szCs w:val="20"/>
              </w:rPr>
              <w:t xml:space="preserve">rund 519.000 EUR</w:t>
            </w:r>
          </w:p>
        </w:tc>
      </w:tr>
      <w:tr>
        <w:tc>
          <w:tcPr>
            <w:tcW w:type="dxa" w:w="3400"/>
            <w:shd w:fill="F2F2F2" w:val="clear"/>
          </w:tcPr>
          <w:p>
            <w:r>
              <w:rPr>
                <w:b w:val="false"/>
                <w:bCs w:val="false"/>
                <w:sz w:val="20"/>
                <w:szCs w:val="20"/>
              </w:rPr>
              <w:t xml:space="preserve">EBITDA vor Zinsen und Steuern</w:t>
            </w:r>
          </w:p>
        </w:tc>
        <w:tc>
          <w:tcPr>
            <w:tcW w:type="dxa" w:w="1800"/>
            <w:shd w:fill="F2F2F2" w:val="clear"/>
          </w:tcPr>
          <w:p>
            <w:r>
              <w:rPr>
                <w:b w:val="false"/>
                <w:bCs w:val="false"/>
                <w:sz w:val="20"/>
                <w:szCs w:val="20"/>
              </w:rPr>
              <w:t xml:space="preserve">rund 41.000 EUR</w:t>
            </w:r>
          </w:p>
        </w:tc>
        <w:tc>
          <w:tcPr>
            <w:tcW w:type="dxa" w:w="1900"/>
            <w:shd w:fill="F2F2F2" w:val="clear"/>
          </w:tcPr>
          <w:p>
            <w:r>
              <w:rPr>
                <w:b w:val="false"/>
                <w:bCs w:val="false"/>
                <w:sz w:val="20"/>
                <w:szCs w:val="20"/>
              </w:rPr>
              <w:t xml:space="preserve">rund 228.000 EUR</w:t>
            </w:r>
          </w:p>
        </w:tc>
        <w:tc>
          <w:tcPr>
            <w:tcW w:type="dxa" w:w="1900"/>
            <w:shd w:fill="F2F2F2" w:val="clear"/>
          </w:tcPr>
          <w:p>
            <w:r>
              <w:rPr>
                <w:b w:val="false"/>
                <w:bCs w:val="false"/>
                <w:sz w:val="20"/>
                <w:szCs w:val="20"/>
              </w:rPr>
              <w:t xml:space="preserve">rund 561.000 EUR</w:t>
            </w:r>
          </w:p>
        </w:tc>
      </w:tr>
      <w:tr>
        <w:tc>
          <w:tcPr>
            <w:tcW w:type="dxa" w:w="3400"/>
          </w:tcPr>
          <w:p>
            <w:r>
              <w:rPr>
                <w:b w:val="false"/>
                <w:bCs w:val="false"/>
                <w:sz w:val="20"/>
                <w:szCs w:val="20"/>
              </w:rPr>
              <w:t xml:space="preserve">EBITDA-Marge</w:t>
            </w:r>
          </w:p>
        </w:tc>
        <w:tc>
          <w:tcPr>
            <w:tcW w:type="dxa" w:w="1800"/>
          </w:tcPr>
          <w:p>
            <w:r>
              <w:rPr>
                <w:b w:val="false"/>
                <w:bCs w:val="false"/>
                <w:sz w:val="20"/>
                <w:szCs w:val="20"/>
              </w:rPr>
              <w:t xml:space="preserve">rund 23 Prozent</w:t>
            </w:r>
          </w:p>
        </w:tc>
        <w:tc>
          <w:tcPr>
            <w:tcW w:type="dxa" w:w="1900"/>
          </w:tcPr>
          <w:p>
            <w:r>
              <w:rPr>
                <w:b w:val="false"/>
                <w:bCs w:val="false"/>
                <w:sz w:val="20"/>
                <w:szCs w:val="20"/>
              </w:rPr>
              <w:t xml:space="preserve">rund 43 Prozent</w:t>
            </w:r>
          </w:p>
        </w:tc>
        <w:tc>
          <w:tcPr>
            <w:tcW w:type="dxa" w:w="1900"/>
          </w:tcPr>
          <w:p>
            <w:r>
              <w:rPr>
                <w:b w:val="false"/>
                <w:bCs w:val="false"/>
                <w:sz w:val="20"/>
                <w:szCs w:val="20"/>
              </w:rPr>
              <w:t xml:space="preserve">rund 52 Prozent</w:t>
            </w:r>
          </w:p>
        </w:tc>
      </w:tr>
    </w:tbl>
    <w:p>
      <w:pPr>
        <w:spacing w:after="160"/>
        <w:jc w:val="both"/>
      </w:pPr>
      <w:r>
        <w:t xml:space="preserve"/>
      </w:r>
    </w:p>
    <w:p>
      <w:pPr>
        <w:spacing w:after="160"/>
        <w:jc w:val="both"/>
      </w:pPr>
      <w:r>
        <w:t xml:space="preserve">Die EBITDA-Zahlen sind Modellwerte und keine Prognose im engeren Sinn. Sie bilden ab, was aus der bereits validierten Paketlogik unter den beschriebenen Annahmen wirtschaftlich möglich ist. Die tatsächlichen Werte werden im monatlichen Reporting gegen diese Modellwerte gehalten und im Datenraum fortgeschrieben.</w:t>
      </w:r>
    </w:p>
    <w:p>
      <w:pPr>
        <w:pStyle w:val="Heading2"/>
        <w:spacing w:after="120" w:before="240"/>
      </w:pPr>
      <w:r>
        <w:rPr>
          <w:b/>
          <w:bCs/>
          <w:color w:val="8A6D3A"/>
          <w:sz w:val="26"/>
          <w:szCs w:val="26"/>
        </w:rPr>
        <w:t xml:space="preserve">Sensitivität in drei Szenarien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3400"/>
      </w:tblGrid>
      <w:tr>
        <w:tc>
          <w:tcPr>
            <w:tcW w:type="dxa" w:w="2200"/>
            <w:shd w:fill="1F2D3D" w:val="clear"/>
          </w:tcPr>
          <w:p>
            <w:r>
              <w:rPr>
                <w:b/>
                <w:bCs/>
                <w:color w:val="FFFFFF"/>
                <w:sz w:val="20"/>
                <w:szCs w:val="20"/>
              </w:rPr>
              <w:t xml:space="preserve">Szenario</w:t>
            </w:r>
          </w:p>
        </w:tc>
        <w:tc>
          <w:tcPr>
            <w:tcW w:type="dxa" w:w="2200"/>
            <w:shd w:fill="1F2D3D" w:val="clear"/>
          </w:tcPr>
          <w:p>
            <w:r>
              <w:rPr>
                <w:b/>
                <w:bCs/>
                <w:color w:val="FFFFFF"/>
                <w:sz w:val="20"/>
                <w:szCs w:val="20"/>
              </w:rPr>
              <w:t xml:space="preserve">Umsatz Jahr 3</w:t>
            </w:r>
          </w:p>
        </w:tc>
        <w:tc>
          <w:tcPr>
            <w:tcW w:type="dxa" w:w="2200"/>
            <w:shd w:fill="1F2D3D" w:val="clear"/>
          </w:tcPr>
          <w:p>
            <w:r>
              <w:rPr>
                <w:b/>
                <w:bCs/>
                <w:color w:val="FFFFFF"/>
                <w:sz w:val="20"/>
                <w:szCs w:val="20"/>
              </w:rPr>
              <w:t xml:space="preserve">EBITDA Jahr 3</w:t>
            </w:r>
          </w:p>
        </w:tc>
        <w:tc>
          <w:tcPr>
            <w:tcW w:type="dxa" w:w="3400"/>
            <w:shd w:fill="1F2D3D" w:val="clear"/>
          </w:tcPr>
          <w:p>
            <w:r>
              <w:rPr>
                <w:b/>
                <w:bCs/>
                <w:color w:val="FFFFFF"/>
                <w:sz w:val="20"/>
                <w:szCs w:val="20"/>
              </w:rPr>
              <w:t xml:space="preserve">Kernannahme</w:t>
            </w:r>
          </w:p>
        </w:tc>
      </w:tr>
      <w:tr>
        <w:tc>
          <w:tcPr>
            <w:tcW w:type="dxa" w:w="2200"/>
          </w:tcPr>
          <w:p>
            <w:r>
              <w:rPr>
                <w:b w:val="false"/>
                <w:bCs w:val="false"/>
                <w:sz w:val="20"/>
                <w:szCs w:val="20"/>
              </w:rPr>
              <w:t xml:space="preserve">Vorsichtig</w:t>
            </w:r>
          </w:p>
        </w:tc>
        <w:tc>
          <w:tcPr>
            <w:tcW w:type="dxa" w:w="2200"/>
          </w:tcPr>
          <w:p>
            <w:r>
              <w:rPr>
                <w:b w:val="false"/>
                <w:bCs w:val="false"/>
                <w:sz w:val="20"/>
                <w:szCs w:val="20"/>
              </w:rPr>
              <w:t xml:space="preserve">rund 720.000 EUR</w:t>
            </w:r>
          </w:p>
        </w:tc>
        <w:tc>
          <w:tcPr>
            <w:tcW w:type="dxa" w:w="2200"/>
          </w:tcPr>
          <w:p>
            <w:r>
              <w:rPr>
                <w:b w:val="false"/>
                <w:bCs w:val="false"/>
                <w:sz w:val="20"/>
                <w:szCs w:val="20"/>
              </w:rPr>
              <w:t xml:space="preserve">rund 260.000 EUR</w:t>
            </w:r>
          </w:p>
        </w:tc>
        <w:tc>
          <w:tcPr>
            <w:tcW w:type="dxa" w:w="3400"/>
          </w:tcPr>
          <w:p>
            <w:r>
              <w:rPr>
                <w:b w:val="false"/>
                <w:bCs w:val="false"/>
                <w:sz w:val="20"/>
                <w:szCs w:val="20"/>
              </w:rPr>
              <w:t xml:space="preserve">Marktplatzumsätze bleiben um vierzig Prozent hinter Basisannahme zurück, Dienstleistungsmandate wie geplant</w:t>
            </w:r>
          </w:p>
        </w:tc>
      </w:tr>
      <w:tr>
        <w:tc>
          <w:tcPr>
            <w:tcW w:type="dxa" w:w="2200"/>
            <w:shd w:fill="F2F2F2" w:val="clear"/>
          </w:tcPr>
          <w:p>
            <w:r>
              <w:rPr>
                <w:b w:val="false"/>
                <w:bCs w:val="false"/>
                <w:sz w:val="20"/>
                <w:szCs w:val="20"/>
              </w:rPr>
              <w:t xml:space="preserve">Basis</w:t>
            </w:r>
          </w:p>
        </w:tc>
        <w:tc>
          <w:tcPr>
            <w:tcW w:type="dxa" w:w="2200"/>
            <w:shd w:fill="F2F2F2" w:val="clear"/>
          </w:tcPr>
          <w:p>
            <w:r>
              <w:rPr>
                <w:b w:val="false"/>
                <w:bCs w:val="false"/>
                <w:sz w:val="20"/>
                <w:szCs w:val="20"/>
              </w:rPr>
              <w:t xml:space="preserve">rund 1.080.000 EUR</w:t>
            </w:r>
          </w:p>
        </w:tc>
        <w:tc>
          <w:tcPr>
            <w:tcW w:type="dxa" w:w="2200"/>
            <w:shd w:fill="F2F2F2" w:val="clear"/>
          </w:tcPr>
          <w:p>
            <w:r>
              <w:rPr>
                <w:b w:val="false"/>
                <w:bCs w:val="false"/>
                <w:sz w:val="20"/>
                <w:szCs w:val="20"/>
              </w:rPr>
              <w:t xml:space="preserve">rund 561.000 EUR</w:t>
            </w:r>
          </w:p>
        </w:tc>
        <w:tc>
          <w:tcPr>
            <w:tcW w:type="dxa" w:w="3400"/>
            <w:shd w:fill="F2F2F2" w:val="clear"/>
          </w:tcPr>
          <w:p>
            <w:r>
              <w:rPr>
                <w:b w:val="false"/>
                <w:bCs w:val="false"/>
                <w:sz w:val="20"/>
                <w:szCs w:val="20"/>
              </w:rPr>
              <w:t xml:space="preserve">Annahmen der obigen Tabelle</w:t>
            </w:r>
          </w:p>
        </w:tc>
      </w:tr>
      <w:tr>
        <w:tc>
          <w:tcPr>
            <w:tcW w:type="dxa" w:w="2200"/>
          </w:tcPr>
          <w:p>
            <w:r>
              <w:rPr>
                <w:b w:val="false"/>
                <w:bCs w:val="false"/>
                <w:sz w:val="20"/>
                <w:szCs w:val="20"/>
              </w:rPr>
              <w:t xml:space="preserve">Optimistisch</w:t>
            </w:r>
          </w:p>
        </w:tc>
        <w:tc>
          <w:tcPr>
            <w:tcW w:type="dxa" w:w="2200"/>
          </w:tcPr>
          <w:p>
            <w:r>
              <w:rPr>
                <w:b w:val="false"/>
                <w:bCs w:val="false"/>
                <w:sz w:val="20"/>
                <w:szCs w:val="20"/>
              </w:rPr>
              <w:t xml:space="preserve">rund 1.500.000 EUR</w:t>
            </w:r>
          </w:p>
        </w:tc>
        <w:tc>
          <w:tcPr>
            <w:tcW w:type="dxa" w:w="2200"/>
          </w:tcPr>
          <w:p>
            <w:r>
              <w:rPr>
                <w:b w:val="false"/>
                <w:bCs w:val="false"/>
                <w:sz w:val="20"/>
                <w:szCs w:val="20"/>
              </w:rPr>
              <w:t xml:space="preserve">rund 830.000 EUR</w:t>
            </w:r>
          </w:p>
        </w:tc>
        <w:tc>
          <w:tcPr>
            <w:tcW w:type="dxa" w:w="3400"/>
          </w:tcPr>
          <w:p>
            <w:r>
              <w:rPr>
                <w:b w:val="false"/>
                <w:bCs w:val="false"/>
                <w:sz w:val="20"/>
                <w:szCs w:val="20"/>
              </w:rPr>
              <w:t xml:space="preserve">Zusätzliches Branchensegment (technische Berufe) trägt bereits in Jahr 3 mit rund fünfundzwanzig Prozent zum Umsatz bei</w:t>
            </w:r>
          </w:p>
        </w:tc>
      </w:tr>
    </w:tbl>
    <w:p>
      <w:pPr>
        <w:spacing w:after="160"/>
        <w:jc w:val="both"/>
      </w:pPr>
      <w:r>
        <w:t xml:space="preserve"/>
      </w:r>
    </w:p>
    <w:p>
      <w:pPr>
        <w:spacing w:after="160"/>
        <w:jc w:val="both"/>
      </w:pPr>
      <w:r>
        <w:t xml:space="preserve">Die Bandbreite zwischen vorsichtigem und optimistischem Szenario liegt bewusst weit auseinander, weil das Modell in der frühen Phase stark davon abhängt, wie schnell die Marktplatzumsätze anlaufen und ob die geografische Erweiterung im zweiten Jahr wie geplant gelingt. Für die Diskussion mit Investoren wird empfohlen, das Basisszenario als Verhandlungsgrundlage zu nehmen und das vorsichtige Szenario als Belastungstest zu behandeln; das optimistische Szenario ist ein Ausblick, keine Zusage.</w:t>
      </w:r>
    </w:p>
    <w:p>
      <w:pPr>
        <w:pStyle w:val="Heading2"/>
        <w:spacing w:after="120" w:before="240"/>
      </w:pPr>
      <w:r>
        <w:rPr>
          <w:b/>
          <w:bCs/>
          <w:color w:val="8A6D3A"/>
          <w:sz w:val="26"/>
          <w:szCs w:val="26"/>
        </w:rPr>
        <w:t xml:space="preserve">Die zentralen Kennzahlen für das monatliche Reporting</w:t>
      </w:r>
    </w:p>
    <w:p>
      <w:pPr>
        <w:spacing w:after="160"/>
        <w:jc w:val="both"/>
      </w:pPr>
      <w:r>
        <w:t xml:space="preserve">Für die laufende Steuerung und für das Reporting an Investoren werden folgende Kennzahlen monatlich erhoben und im Datenraum bereitgestellt: Anzahl unterschriebener Mandate im Monat und kumuliert, durchschnittlicher Auftragswert je Baustein, aktive Anzahl laufender Mandate zum Monatsende, durchschnittlicher Zeitaufwand pro Fall in Stunden, kumulierte Anzahl Jahreslizenz-Kunden, Anzahl aktiver Servicepartner, vermittelte Servicesumme im Monat und kumuliert, Umsatz je Umsatzquelle, Kosten je Kostenblock, EBITDA und EBITDA-Marge, Zahlungsverzögerung in Tagen. Diese Kennzahlen sind bewusst so gewählt, dass sie sowohl operativ steuern als auch die im Investor Case gemachten Annahmen validieren.</w:t>
      </w:r>
    </w:p>
    <w:p>
      <w:r>
        <w:br w:type="page"/>
      </w:r>
    </w:p>
    <w:p>
      <w:pPr>
        <w:pStyle w:val="Heading1"/>
        <w:spacing w:after="150" w:before="300"/>
      </w:pPr>
      <w:r>
        <w:rPr>
          <w:b/>
          <w:bCs/>
          <w:color w:val="1F2D3D"/>
          <w:sz w:val="32"/>
          <w:szCs w:val="32"/>
        </w:rPr>
        <w:t xml:space="preserve">11. Finanzierungsbedarf, Kapitalstrategie, Exit-Perspektive</w:t>
      </w:r>
    </w:p>
    <w:p>
      <w:pPr>
        <w:pStyle w:val="Heading2"/>
        <w:spacing w:after="120" w:before="240"/>
      </w:pPr>
      <w:r>
        <w:rPr>
          <w:b/>
          <w:bCs/>
          <w:color w:val="8A6D3A"/>
          <w:sz w:val="26"/>
          <w:szCs w:val="26"/>
        </w:rPr>
        <w:t xml:space="preserve">Der aktuelle Finanzierungsbedarf</w:t>
      </w:r>
    </w:p>
    <w:p>
      <w:pPr>
        <w:spacing w:after="160"/>
        <w:jc w:val="both"/>
      </w:pPr>
      <w:r>
        <w:t xml:space="preserve">Gesucht wird eine Pre-Seed-Finanzierung von 150.000 bis 300.000 EUR, strukturiert als Wandeldarlehen mit einem Discount von 15 bis 25 Prozent und einem Bewertungsdeckel im Korridor von 2,5 bis 4 Millionen EUR. Diese Struktur entspricht dem in Deutschland für diese Finanzierungsphase üblichen Instrument und Bewertungsrahmen und verschiebt die endgültige Bewertungsverhandlung in die nächste Runde, zu der belastbare operative Kennzahlen vorliegen werden. Die Dilution in dieser Runde liegt damit im typischen Bereich von rund fünf bis zwölf Prozent auf konvertierter Basis.</w:t>
      </w:r>
    </w:p>
    <w:p>
      <w:pPr>
        <w:pStyle w:val="Heading2"/>
        <w:spacing w:after="120" w:before="240"/>
      </w:pPr>
      <w:r>
        <w:rPr>
          <w:b/>
          <w:bCs/>
          <w:color w:val="8A6D3A"/>
          <w:sz w:val="26"/>
          <w:szCs w:val="26"/>
        </w:rPr>
        <w:t xml:space="preserve">Die Verwendung der Mittel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000"/>
      </w:tblGrid>
      <w:tr>
        <w:tc>
          <w:tcPr>
            <w:tcW w:type="dxa" w:w="3400"/>
            <w:shd w:fill="1F2D3D" w:val="clear"/>
          </w:tcPr>
          <w:p>
            <w:r>
              <w:rPr>
                <w:b/>
                <w:bCs/>
                <w:color w:val="FFFFFF"/>
                <w:sz w:val="20"/>
                <w:szCs w:val="20"/>
              </w:rPr>
              <w:t xml:space="preserve">Verwendung</w:t>
            </w:r>
          </w:p>
        </w:tc>
        <w:tc>
          <w:tcPr>
            <w:tcW w:type="dxa" w:w="1600"/>
            <w:shd w:fill="1F2D3D" w:val="clear"/>
          </w:tcPr>
          <w:p>
            <w:r>
              <w:rPr>
                <w:b/>
                <w:bCs/>
                <w:color w:val="FFFFFF"/>
                <w:sz w:val="20"/>
                <w:szCs w:val="20"/>
              </w:rPr>
              <w:t xml:space="preserve">Anteil</w:t>
            </w:r>
          </w:p>
        </w:tc>
        <w:tc>
          <w:tcPr>
            <w:tcW w:type="dxa" w:w="4000"/>
            <w:shd w:fill="1F2D3D" w:val="clear"/>
          </w:tcPr>
          <w:p>
            <w:r>
              <w:rPr>
                <w:b/>
                <w:bCs/>
                <w:color w:val="FFFFFF"/>
                <w:sz w:val="20"/>
                <w:szCs w:val="20"/>
              </w:rPr>
              <w:t xml:space="preserve">Zweck und Wirkung</w:t>
            </w:r>
          </w:p>
        </w:tc>
      </w:tr>
      <w:tr>
        <w:tc>
          <w:tcPr>
            <w:tcW w:type="dxa" w:w="3400"/>
          </w:tcPr>
          <w:p>
            <w:r>
              <w:rPr>
                <w:b w:val="false"/>
                <w:bCs w:val="false"/>
                <w:sz w:val="20"/>
                <w:szCs w:val="20"/>
              </w:rPr>
              <w:t xml:space="preserve">Produktentwicklung: Fallsteuerungs-Werkzeug und erste Marktplatzversion</w:t>
            </w:r>
          </w:p>
        </w:tc>
        <w:tc>
          <w:tcPr>
            <w:tcW w:type="dxa" w:w="1600"/>
          </w:tcPr>
          <w:p>
            <w:r>
              <w:rPr>
                <w:b w:val="false"/>
                <w:bCs w:val="false"/>
                <w:sz w:val="20"/>
                <w:szCs w:val="20"/>
              </w:rPr>
              <w:t xml:space="preserve">rund 40 Prozent</w:t>
            </w:r>
          </w:p>
        </w:tc>
        <w:tc>
          <w:tcPr>
            <w:tcW w:type="dxa" w:w="4000"/>
          </w:tcPr>
          <w:p>
            <w:r>
              <w:rPr>
                <w:b w:val="false"/>
                <w:bCs w:val="false"/>
                <w:sz w:val="20"/>
                <w:szCs w:val="20"/>
              </w:rPr>
              <w:t xml:space="preserve">Aufbau der Low-Code-Version, Vorbereitung des Übergangs zur eigenständigen Anwendung, Grundlage für die spätere KI-Stufe</w:t>
            </w:r>
          </w:p>
        </w:tc>
      </w:tr>
      <w:tr>
        <w:tc>
          <w:tcPr>
            <w:tcW w:type="dxa" w:w="3400"/>
            <w:shd w:fill="F2F2F2" w:val="clear"/>
          </w:tcPr>
          <w:p>
            <w:r>
              <w:rPr>
                <w:b w:val="false"/>
                <w:bCs w:val="false"/>
                <w:sz w:val="20"/>
                <w:szCs w:val="20"/>
              </w:rPr>
              <w:t xml:space="preserve">Erste operative Personalstelle für Vertrieb und Fallsteuerung</w:t>
            </w:r>
          </w:p>
        </w:tc>
        <w:tc>
          <w:tcPr>
            <w:tcW w:type="dxa" w:w="1600"/>
            <w:shd w:fill="F2F2F2" w:val="clear"/>
          </w:tcPr>
          <w:p>
            <w:r>
              <w:rPr>
                <w:b w:val="false"/>
                <w:bCs w:val="false"/>
                <w:sz w:val="20"/>
                <w:szCs w:val="20"/>
              </w:rPr>
              <w:t xml:space="preserve">rund 30 Prozent</w:t>
            </w:r>
          </w:p>
        </w:tc>
        <w:tc>
          <w:tcPr>
            <w:tcW w:type="dxa" w:w="4000"/>
            <w:shd w:fill="F2F2F2" w:val="clear"/>
          </w:tcPr>
          <w:p>
            <w:r>
              <w:rPr>
                <w:b w:val="false"/>
                <w:bCs w:val="false"/>
                <w:sz w:val="20"/>
                <w:szCs w:val="20"/>
              </w:rPr>
              <w:t xml:space="preserve">Ausbau der Zielaccountliste, Bearbeitung mehrerer paralleler Mandate, Risikoreduktion beim Ein-Personen-Betrieb</w:t>
            </w:r>
          </w:p>
        </w:tc>
      </w:tr>
      <w:tr>
        <w:tc>
          <w:tcPr>
            <w:tcW w:type="dxa" w:w="3400"/>
          </w:tcPr>
          <w:p>
            <w:r>
              <w:rPr>
                <w:b w:val="false"/>
                <w:bCs w:val="false"/>
                <w:sz w:val="20"/>
                <w:szCs w:val="20"/>
              </w:rPr>
              <w:t xml:space="preserve">Marketing, Akquise, Regionalpräsenz</w:t>
            </w:r>
          </w:p>
        </w:tc>
        <w:tc>
          <w:tcPr>
            <w:tcW w:type="dxa" w:w="1600"/>
          </w:tcPr>
          <w:p>
            <w:r>
              <w:rPr>
                <w:b w:val="false"/>
                <w:bCs w:val="false"/>
                <w:sz w:val="20"/>
                <w:szCs w:val="20"/>
              </w:rPr>
              <w:t xml:space="preserve">rund 15 Prozent</w:t>
            </w:r>
          </w:p>
        </w:tc>
        <w:tc>
          <w:tcPr>
            <w:tcW w:type="dxa" w:w="4000"/>
          </w:tcPr>
          <w:p>
            <w:r>
              <w:rPr>
                <w:b w:val="false"/>
                <w:bCs w:val="false"/>
                <w:sz w:val="20"/>
                <w:szCs w:val="20"/>
              </w:rPr>
              <w:t xml:space="preserve">Sichtbarkeit bei Trägern, Kammern und Verbänden, Erweiterung der Pipeline über den bisherigen Netzwerkkontakt hinaus</w:t>
            </w:r>
          </w:p>
        </w:tc>
      </w:tr>
      <w:tr>
        <w:tc>
          <w:tcPr>
            <w:tcW w:type="dxa" w:w="3400"/>
            <w:shd w:fill="F2F2F2" w:val="clear"/>
          </w:tcPr>
          <w:p>
            <w:r>
              <w:rPr>
                <w:b w:val="false"/>
                <w:bCs w:val="false"/>
                <w:sz w:val="20"/>
                <w:szCs w:val="20"/>
              </w:rPr>
              <w:t xml:space="preserve">Gründungskosten, Verträge, Datenschutz, Liquiditätsreserve</w:t>
            </w:r>
          </w:p>
        </w:tc>
        <w:tc>
          <w:tcPr>
            <w:tcW w:type="dxa" w:w="1600"/>
            <w:shd w:fill="F2F2F2" w:val="clear"/>
          </w:tcPr>
          <w:p>
            <w:r>
              <w:rPr>
                <w:b w:val="false"/>
                <w:bCs w:val="false"/>
                <w:sz w:val="20"/>
                <w:szCs w:val="20"/>
              </w:rPr>
              <w:t xml:space="preserve">rund 15 Prozent</w:t>
            </w:r>
          </w:p>
        </w:tc>
        <w:tc>
          <w:tcPr>
            <w:tcW w:type="dxa" w:w="4000"/>
            <w:shd w:fill="F2F2F2" w:val="clear"/>
          </w:tcPr>
          <w:p>
            <w:r>
              <w:rPr>
                <w:b w:val="false"/>
                <w:bCs w:val="false"/>
                <w:sz w:val="20"/>
                <w:szCs w:val="20"/>
              </w:rPr>
              <w:t xml:space="preserve">GmbH-Gründung, Datenschutz- und Vertragsgestaltung, Puffer für unvorhergesehene operative Kosten</w:t>
            </w:r>
          </w:p>
        </w:tc>
      </w:tr>
    </w:tbl>
    <w:p>
      <w:pPr>
        <w:spacing w:after="160"/>
        <w:jc w:val="both"/>
      </w:pPr>
      <w:r>
        <w:t xml:space="preserve"/>
      </w:r>
    </w:p>
    <w:p>
      <w:pPr>
        <w:pStyle w:val="Heading2"/>
        <w:spacing w:after="120" w:before="240"/>
      </w:pPr>
      <w:r>
        <w:rPr>
          <w:b/>
          <w:bCs/>
          <w:color w:val="8A6D3A"/>
          <w:sz w:val="26"/>
          <w:szCs w:val="26"/>
        </w:rPr>
        <w:t xml:space="preserve">Die öffentliche Ko-Finanzierung als Verstärker</w:t>
      </w:r>
    </w:p>
    <w:p>
      <w:pPr>
        <w:spacing w:after="160"/>
        <w:jc w:val="both"/>
      </w:pPr>
      <w:r>
        <w:t xml:space="preserve">Die private Finanzierung lässt sich in Deutschland gezielt durch zwei öffentliche Programme ergänzen, die für dieses Vorhaben besonders einschlägig sind. Der INVEST-Zuschuss des Bundesamtes für Wirtschaft und Ausfuhrkontrolle erstattet Angel-Investoren, sofern das Unternehmen die entsprechende BAFA-Förderfähigkeit nachweist, 15 Prozent des investierten Betrags als Erwerbszuschuss sowie im Erfolgsfall einen Exit-Zuschuss von 25 Prozent auf den Veräußerungsgewinn. Diese Erstattung ist für den Angel-Investor persönlich und verbessert die Netto-Rendite spürbar, ohne dass zusätzliche Anteile abgegeben werden müssen. Das Ko-Investitionsprogramm NRW.SeedCap der NRW.BANK kann eine private Investition im Verhältnis eins zu eins in einem Rahmen von 100.000 bis 500.000 EUR ergänzen, wenn das Unternehmen jünger als 36 Monate ist und ein erfahrener Investor beteiligt ist. Eine Angel-Zusage von 200.000 EUR kann dadurch faktisch bis zu 400.000 EUR verfügbares Kapital ergeben, mit einer zusätzlichen 30.000 EUR Rückerstattung an den Investor über INVEST. Beide Instrumente werden im Prozess dieser Runde parallel vorbereitet.</w:t>
      </w:r>
    </w:p>
    <w:p>
      <w:pPr>
        <w:pStyle w:val="Heading2"/>
        <w:spacing w:after="120" w:before="240"/>
      </w:pPr>
      <w:r>
        <w:rPr>
          <w:b/>
          <w:bCs/>
          <w:color w:val="8A6D3A"/>
          <w:sz w:val="26"/>
          <w:szCs w:val="26"/>
        </w:rPr>
        <w:t xml:space="preserve">Die geplante Kapitalstrategie über mehrere Runden</w:t>
      </w:r>
    </w:p>
    <w:p>
      <w:pPr>
        <w:spacing w:after="160"/>
        <w:jc w:val="both"/>
      </w:pPr>
      <w:r>
        <w:t xml:space="preserve">Die aktuelle Pre-Seed-Runde ist bewusst auf zwölf bis achtzehn Monate Runway ausgelegt und finanziert die erste operative Einstellung, die Marktplatzstufe und die geografische Vorbereitung. Eine Seed-Runde ist für das zweite Betriebsjahr vorgesehen und soll den Übergang von der Low-Code-Plattform zur eigenständigen Anwendung, die geografische Erweiterung sowie den Aufbau einer eigenen technischen Kapazität finanzieren. Als Zielgröße für die Seed-Runde werden 800.000 EUR bis 1,5 Millionen EUR modelliert, in einer Bewertungsregion, die von der bis dahin nachgewiesenen operativen Traktion abhängt. Der High-Tech Gründerfonds ist als naheliegender institutioneller Anschlussinvestor identifiziert, mit einem Erstticket ab 800.000 EUR und einem in Deutschland etablierten Konvertibel-Instrument. Regionale Ko-Investoren wie coparion, Gründerfonds Ruhr oder NRW.Venture kommen ergänzend in Frage. Eine Series A ist im Modell nicht als notwendige Voraussetzung für die eigene Rentabilität vorgesehen; sie wäre eine Option, wenn eine bundesweite Skalierung oder ein zweites Branchensegment eine überproportionale Kapitalzufuhr rechtfertigt.</w:t>
      </w:r>
    </w:p>
    <w:p>
      <w:pPr>
        <w:pStyle w:val="Heading2"/>
        <w:spacing w:after="120" w:before="240"/>
      </w:pPr>
      <w:r>
        <w:rPr>
          <w:b/>
          <w:bCs/>
          <w:color w:val="8A6D3A"/>
          <w:sz w:val="26"/>
          <w:szCs w:val="26"/>
        </w:rPr>
        <w:t xml:space="preserve">Die Exit-Perspektive</w:t>
      </w:r>
    </w:p>
    <w:p>
      <w:pPr>
        <w:spacing w:after="160"/>
        <w:jc w:val="both"/>
      </w:pPr>
      <w:r>
        <w:t xml:space="preserve">AMAVIO wird bewusst als cashflowstarkes Unternehmen aufgebaut, das aus eigener Kraft rentabel arbeitet und nicht auf einen frühen Verkauf angewiesen ist. Ein strategischer Verkauf in einem Zeithorizont von fünf bis zehn Jahren ist eine ausdrückliche Option, keine Notwendigkeit. Als denkbare Erwerber kommen mehrere Kategorien in Frage. Große Träger stationärer Altenpflege und Krankenhauskonzerne könnten das aufgebaute Netzwerk und die Datenbasis nutzen wollen, um die eigene Fachkräfterekrutierung zu internalisieren. Internationale Personaldienstleister und Employer-of-Record-Anbieter wie Deel oder Localyze könnten ein regional verankertes deutsches Ankunftsprodukt als Ergänzung ihrer Software erwerben wollen. Prüfdienstleister und Konzerne im weiteren Umfeld der Personalinfrastruktur, wie etwa der DEKRA-Konzern mit seiner bestehenden Migration-Einheit, könnten AMAVIO als eigenständige Ergänzung einer breiteren Personalstrategie ansehen. Bewertungsmultiplikatoren für vergleichbare Unternehmen mit einer Mischung aus Dienstleistung und Software liegen in Deutschland aktuell zwischen fünf und zehn EBITDA. Bezogen auf die Modellrechnung entspricht das für einen Verkauf im fünften bis siebten Jahr einer Größenordnung von acht bis fünfzehn Millionen EUR Unternehmenswert, was für eine Pre-Seed-Investition in Höhe von 150.000 bis 300.000 EUR mit typischer Dilution über zwei Runden ein wirtschaftlich attraktives Rückflussprofil ergibt.</w:t>
      </w:r>
    </w:p>
    <w:p>
      <w:pPr>
        <w:pStyle w:val="Heading2"/>
        <w:spacing w:after="120" w:before="240"/>
      </w:pPr>
      <w:r>
        <w:rPr>
          <w:b/>
          <w:bCs/>
          <w:color w:val="8A6D3A"/>
          <w:sz w:val="26"/>
          <w:szCs w:val="26"/>
        </w:rPr>
        <w:t xml:space="preserve">Was Investoren bei diesem Profil bekommen</w:t>
      </w:r>
    </w:p>
    <w:p>
      <w:pPr>
        <w:spacing w:after="160"/>
        <w:jc w:val="both"/>
      </w:pPr>
      <w:r>
        <w:t xml:space="preserve">Ein Pre-Seed-Investor bei AMAVIO bekommt drei Dinge, die in dieser Kombination in der frühen Phase selten sind. Erstens ein Modell mit bereits am Markt validierter Zahlungsbereitschaft und einer klaren, mehrfach geprüften Ertragsstruktur. Zweitens ein Team mit ungewöhnlich direkter Feld- und Herkunftslandkompetenz in einem Feld, das für internationale Wettbewerber schwer zugänglich bleibt. Drittens ein Kapitalprofil, in dem der öffentliche Ko-Finanzierungsanteil die private Investition faktisch verdoppelt und die Netto-Rendite über INVEST verbessert. Das Risikoprofil ist gegenüber einem klassischen Software-Startup deutlich reduziert, ohne dass die Aufwärtsseite über einen späteren strategischen Verkauf verloren geht.</w:t>
      </w:r>
    </w:p>
    <w:p>
      <w:r>
        <w:br w:type="page"/>
      </w:r>
    </w:p>
    <w:p>
      <w:pPr>
        <w:pStyle w:val="Heading1"/>
        <w:spacing w:after="150" w:before="300"/>
      </w:pPr>
      <w:r>
        <w:rPr>
          <w:b/>
          <w:bCs/>
          <w:color w:val="1F2D3D"/>
          <w:sz w:val="32"/>
          <w:szCs w:val="32"/>
        </w:rPr>
        <w:t xml:space="preserve">12. Risiken und Gegenmaßnahmen</w:t>
      </w:r>
    </w:p>
    <w:p>
      <w:pPr>
        <w:pStyle w:val="Heading2"/>
        <w:spacing w:after="120" w:before="240"/>
      </w:pPr>
      <w:r>
        <w:rPr>
          <w:b/>
          <w:bCs/>
          <w:color w:val="8A6D3A"/>
          <w:sz w:val="26"/>
          <w:szCs w:val="26"/>
        </w:rPr>
        <w:t xml:space="preserve">Ausführungsrisiko in der Anfangsphase</w:t>
      </w:r>
    </w:p>
    <w:p>
      <w:pPr>
        <w:spacing w:after="160"/>
        <w:jc w:val="both"/>
      </w:pPr>
      <w:r>
        <w:t xml:space="preserve">Das größte Einzelrisiko in der aktuellen Phase ist die Konzentration der operativen Verantwortung auf eine Person. Ein Krankheitsausfall des Gründers, eine familiäre Situation oder ein längerer Ausfall aus anderen Gründen würde AMAVIO in der jetzigen Aufstellung erheblich treffen. Die konkrete Gegenmaßnahme ist die früh im Kapitalverbrauch platzierte erste operative Einstellung, die bewusst als Doppelrolle Vertrieb und Fallsteuerung ausgeschrieben wird und ab dem vierten bis sechsten Betriebsmonat aktiv ist. Ergänzend werden alle wesentlichen Kunden- und Falldaten in der digitalen Fallakte gespiegelt und nicht ausschließlich beim Gründer geführt, so dass die operative Kontinuität auch bei einem persönlichen Ausfall über das Werkzeug gesichert ist.</w:t>
      </w:r>
    </w:p>
    <w:p>
      <w:pPr>
        <w:pStyle w:val="Heading2"/>
        <w:spacing w:after="120" w:before="240"/>
      </w:pPr>
      <w:r>
        <w:rPr>
          <w:b/>
          <w:bCs/>
          <w:color w:val="8A6D3A"/>
          <w:sz w:val="26"/>
          <w:szCs w:val="26"/>
        </w:rPr>
        <w:t xml:space="preserve">Produktrisiko in der Marktplatzstufe</w:t>
      </w:r>
    </w:p>
    <w:p>
      <w:pPr>
        <w:spacing w:after="160"/>
        <w:jc w:val="both"/>
      </w:pPr>
      <w:r>
        <w:t xml:space="preserve">Marktplatz und KI-Unterstützung sind zum jetzigen Zeitpunkt noch nicht gebaut. Solange diese Stufen in Entwicklung sind, bleibt der Dienstleistungsumsatz aus der ersten Stufe der Ertragsanker. Das Produktrisiko ist damit begrenzt, weil eine Verzögerung der Plattformentwicklung das Geschäftsmodell nicht kippt, sondern lediglich das Wachstum verlangsamt. Für Investoren wird diese Absicherung transparent gemacht: Selbst im vorsichtigen Szenario ist AMAVIO im dritten Betriebsjahr aus dem Dienstleistungsumsatz allein rentabel. Die Marktplatzstufe verschiebt den Ertragsanteil und öffnet Wachstumspfade, sie ist aber nicht das Fundament der wirtschaftlichen Tragfähigkeit.</w:t>
      </w:r>
    </w:p>
    <w:p>
      <w:pPr>
        <w:pStyle w:val="Heading2"/>
        <w:spacing w:after="120" w:before="240"/>
      </w:pPr>
      <w:r>
        <w:rPr>
          <w:b/>
          <w:bCs/>
          <w:color w:val="8A6D3A"/>
          <w:sz w:val="26"/>
          <w:szCs w:val="26"/>
        </w:rPr>
        <w:t xml:space="preserve">Wettbewerbsrisiko durch kapitalstarke internationale Anbieter</w:t>
      </w:r>
    </w:p>
    <w:p>
      <w:pPr>
        <w:spacing w:after="160"/>
        <w:jc w:val="both"/>
      </w:pPr>
      <w:r>
        <w:t xml:space="preserve">Kapitalstarke internationale Anbieter wie TERN Group könnten Deutschland stärker priorisieren als bisher und in benachbarte Wertschöpfungsphasen einsteigen. AMAVIOs Antwort darauf ist bewusst regionale Tiefe und Wohnraumkompetenz statt bundesweiter Breite als Einstiegsvorteil. Für einen Wettbewerber, der Deutschland als neuen Markt betrachtet, ist der Aufbau regionaler Wohnraumnetzwerke und persönlicher Arbeitgeberbeziehungen der teuerste und langsamste Teil der Skalierung. AMAVIO baut diesen Vorteil zuerst und in einer klar abgegrenzten Region auf. Parallel wird beobachtet, ob sich strategische Partnerschaftsoptionen mit ausländischen Anbietern ergeben, deren Recruiting-Fokus AMAVIOs Ankunftskompetenz komplementär ergänzt.</w:t>
      </w:r>
    </w:p>
    <w:p>
      <w:pPr>
        <w:pStyle w:val="Heading2"/>
        <w:spacing w:after="120" w:before="240"/>
      </w:pPr>
      <w:r>
        <w:rPr>
          <w:b/>
          <w:bCs/>
          <w:color w:val="8A6D3A"/>
          <w:sz w:val="26"/>
          <w:szCs w:val="26"/>
        </w:rPr>
        <w:t xml:space="preserve">Regulatorische Risiken</w:t>
      </w:r>
    </w:p>
    <w:p>
      <w:pPr>
        <w:spacing w:after="160"/>
        <w:jc w:val="both"/>
      </w:pPr>
      <w:r>
        <w:t xml:space="preserve">AMAVIO arbeitet mit personenbezogenen Daten sowie mit Themen, die Wohnraum, Familie und teilweise auch Kinder betreffen. Eine konsequente Einhaltung der Datenschutz-Grundverordnung ist deshalb von Beginn an notwendig, mit expliziter Zweckbindung, klarer Rollentrennung zwischen Verantwortlichem und Auftragsverarbeiter und einer sauberen Trennung zwischen den Datenverarbeitungen für Dienstleistung und Marktplatz. Der entstehende europäische KI-Rechtsrahmen wird für die dritte Stufe eine zusätzliche Prüfebene einführen; AMAVIOs Grundsatz, dass die KI keine Entscheidungen über Personen, Aufenthaltsfragen oder Leistungsansprüche trifft, entspricht der voraussichtlichen Anforderungsstruktur. Änderungen im Aufenthalts- und Anerkennungsrecht können Bearbeitungsprozesse verändern; AMAVIO ist als koordinierender und nicht als beratender Anbieter positioniert, was das Risiko einer regulatorischen Umqualifizierung geringer hält, aber nicht ausschließt.</w:t>
      </w:r>
    </w:p>
    <w:p>
      <w:pPr>
        <w:pStyle w:val="Heading2"/>
        <w:spacing w:after="120" w:before="240"/>
      </w:pPr>
      <w:r>
        <w:rPr>
          <w:b/>
          <w:bCs/>
          <w:color w:val="8A6D3A"/>
          <w:sz w:val="26"/>
          <w:szCs w:val="26"/>
        </w:rPr>
        <w:t xml:space="preserve">Kapitalrisiko und Abhängigkeit von Ko-Finanzierung</w:t>
      </w:r>
    </w:p>
    <w:p>
      <w:pPr>
        <w:spacing w:after="160"/>
        <w:jc w:val="both"/>
      </w:pPr>
      <w:r>
        <w:t xml:space="preserve">Das Geschäftsmodell ist so konstruiert, dass es unabhängig von einer bestimmten Finanzierungsquelle tragfähig ist. Die Finanzplanung trennt bewusst Fördermittel, privates Kapital und operativen Umsatz voneinander; keine dieser drei Quellen soll das Unternehmen allein tragen. Sollte der INVEST-Zuschuss oder das NRW.SeedCap-Programm im geplanten Umfang nicht verfügbar sein, verschiebt sich die Skalierungsgeschwindigkeit, nicht die Grundtragfähigkeit. Sollte eine Anschluss-Seed-Runde später als geplant zustande kommen, verlängert sich der Weg zur eigenständigen Anwendung, ohne dass die Dienstleistungsseite betroffen ist. Für Investoren wird diese Robustheit transparent im Datenraum modelliert.</w:t>
      </w:r>
    </w:p>
    <w:p>
      <w:pPr>
        <w:pStyle w:val="Heading2"/>
        <w:spacing w:after="120" w:before="240"/>
      </w:pPr>
      <w:r>
        <w:rPr>
          <w:b/>
          <w:bCs/>
          <w:color w:val="8A6D3A"/>
          <w:sz w:val="26"/>
          <w:szCs w:val="26"/>
        </w:rPr>
        <w:t xml:space="preserve">Reputationsrisiko im Umgang mit Fachkräften</w:t>
      </w:r>
    </w:p>
    <w:p>
      <w:pPr>
        <w:spacing w:after="160"/>
        <w:jc w:val="both"/>
      </w:pPr>
      <w:r>
        <w:t xml:space="preserve">Ein weiteres, oft unterschätztes Risiko liegt im Umgang mit den Fachkräften selbst. Ein einzelner öffentlich gewordener Fall, in dem eine Fachkraft aufgrund einer nicht sauber koordinierten Ankunft in eine belastende Situation geraten ist, kann in einem Markt mit ausgeprägter Fach- und Verbandsöffentlichkeit einen Reputationsschaden verursachen, der über den Einzelfall hinausgeht. Die Gegenmaßnahme ist eine strikte Prozessdisziplin bei Wohnraum- und Servicepartnern, eine dokumentierte Fallverantwortung mit klaren Übergabepunkten und ein festes Eskalationsverfahren für kritische Situationen, das im Werkzeug abgebildet ist. Diese Prozessdisziplin ist gleichzeitig ein Verkaufsargument gegenüber Arbeitgebern, die selbst ein Reputationsinteresse haben.</w:t>
      </w:r>
    </w:p>
    <w:p>
      <w:r>
        <w:br w:type="page"/>
      </w:r>
    </w:p>
    <w:p>
      <w:pPr>
        <w:pStyle w:val="Heading1"/>
        <w:spacing w:after="150" w:before="300"/>
      </w:pPr>
      <w:r>
        <w:rPr>
          <w:b/>
          <w:bCs/>
          <w:color w:val="1F2D3D"/>
          <w:sz w:val="32"/>
          <w:szCs w:val="32"/>
        </w:rPr>
        <w:t xml:space="preserve">13. Anhang und Quellen</w:t>
      </w:r>
    </w:p>
    <w:p>
      <w:pPr>
        <w:pStyle w:val="Heading2"/>
        <w:spacing w:after="120" w:before="240"/>
      </w:pPr>
      <w:r>
        <w:rPr>
          <w:b/>
          <w:bCs/>
          <w:color w:val="8A6D3A"/>
          <w:sz w:val="26"/>
          <w:szCs w:val="26"/>
        </w:rPr>
        <w:t xml:space="preserve">Nachweisdokumente im Datenraum</w:t>
      </w:r>
    </w:p>
    <w:p>
      <w:pPr>
        <w:spacing w:after="160"/>
        <w:jc w:val="both"/>
      </w:pPr>
      <w:r>
        <w:t xml:space="preserve">Investoren, die einen weitergehenden Einblick wünschen, erhalten Zugang zu einem strukturierten Datenraum mit folgenden Dokumenten: der operative Businessplan für den Gründungszuschuss über 52 Seiten mit vollständiger Marktanalyse und Finanzplanung, die dazugehörige fachkundige Stellungnahme sobald finalisiert, die detaillierte monatliche Liquiditätsplanung über 36 Monate mit Annahmen, das dokumentierte Zielaccountverzeichnis mit Gesprächsstand, ein Lebenslauf des Gründers mit belegten Referenzen aus der Zeit bei der Tern Group, ein Muster einer Fallakte in anonymisierter Form, die geplante Vertragsvorlage für Arbeitgebermandate sowie die Rohfassung der Datenschutzdokumentation.</w:t>
      </w:r>
    </w:p>
    <w:p>
      <w:pPr>
        <w:pStyle w:val="Heading2"/>
        <w:spacing w:after="120" w:before="240"/>
      </w:pPr>
      <w:r>
        <w:rPr>
          <w:b/>
          <w:bCs/>
          <w:color w:val="8A6D3A"/>
          <w:sz w:val="26"/>
          <w:szCs w:val="26"/>
        </w:rPr>
        <w:t xml:space="preserve">Verwendete Marktzahlen und Quellen</w:t>
      </w:r>
    </w:p>
    <w:p>
      <w:pPr>
        <w:spacing w:after="160"/>
        <w:jc w:val="both"/>
      </w:pPr>
      <w:r>
        <w:t xml:space="preserve">Statistisches Bundesamt, Pressemitteilung Nummer 321 vom August 2025 zu Anerkennungen ausländischer Berufsabschlüsse 2024, mit einem Anstieg der Anerkennungen im Pflegebereich um 19 Prozent auf rund 32.500 Anerkennungen.</w:t>
      </w:r>
    </w:p>
    <w:p>
      <w:pPr>
        <w:spacing w:after="160"/>
        <w:jc w:val="both"/>
      </w:pPr>
      <w:r>
        <w:t xml:space="preserve">Bundesagentur für Arbeit, aktuelle Fachkräftebedarfsanalyse und Vakanzzeitstatistik für Pflegeberufe, mit einer durchschnittlichen Vakanzzeit von 252 Tagen in der Altenpflege.</w:t>
      </w:r>
    </w:p>
    <w:p>
      <w:pPr>
        <w:spacing w:after="160"/>
        <w:jc w:val="both"/>
      </w:pPr>
      <w:r>
        <w:t xml:space="preserve">Mediendienst Integration, Factsheet 2025 zu ausländischen Pflegekräften, mit einem Bestand von rund 352.600 ausländischen Pflegekräften in Deutschland (Anteil von 20 Prozent an den gesamten Pflege-Erwerbstätigen).</w:t>
      </w:r>
    </w:p>
    <w:p>
      <w:pPr>
        <w:spacing w:after="160"/>
        <w:jc w:val="both"/>
      </w:pPr>
      <w:r>
        <w:t xml:space="preserve">Statistisches Bundesamt, Bevölkerungsvorausberechnung zum Pflegebedarf bis 2049, mit einer prognostizierten Lücke von bis zu 690.000 Pflegekräften.</w:t>
      </w:r>
    </w:p>
    <w:p>
      <w:pPr>
        <w:spacing w:after="160"/>
        <w:jc w:val="both"/>
      </w:pPr>
      <w:r>
        <w:t xml:space="preserve">Institut der deutschen Wirtschaft (IW Köln), Analysen zu Kosten unbesetzter Fachkräftestellen, mit einer Bandbreite von monatlich 5.000 bis 25.000 EUR entgangener Wertschöpfung.</w:t>
      </w:r>
    </w:p>
    <w:p>
      <w:pPr>
        <w:spacing w:after="160"/>
        <w:jc w:val="both"/>
      </w:pPr>
      <w:r>
        <w:t xml:space="preserve">TalentOrbit, Praxisleitfaden zur internationalen Pflege-Rekrutierung 2026, mit einer Kostenspanne pro internationaler Pflegekraft von rund 8.000 EUR (staatliches Triple-Win-Programm) bis 30.000 EUR (private Vollserviceanbieter).</w:t>
      </w:r>
    </w:p>
    <w:p>
      <w:pPr>
        <w:spacing w:after="160"/>
        <w:jc w:val="both"/>
      </w:pPr>
      <w:r>
        <w:t xml:space="preserve">Spherical Insights, 2025, Marktreport zu Relocation-Management-Software mit einem globalen Marktvolumen von 1,58 Milliarden USD im Jahr 2025.</w:t>
      </w:r>
    </w:p>
    <w:p>
      <w:pPr>
        <w:spacing w:after="160"/>
        <w:jc w:val="both"/>
      </w:pPr>
      <w:r>
        <w:t xml:space="preserve">Verified Market Reports, 2024, Marktreport zum deutschen Markt für Relocation- und Onboarding-Software mit einem Volumen von 0,7 Milliarden USD im Jahr 2024.</w:t>
      </w:r>
    </w:p>
    <w:p>
      <w:pPr>
        <w:pStyle w:val="Heading2"/>
        <w:spacing w:after="120" w:before="240"/>
      </w:pPr>
      <w:r>
        <w:rPr>
          <w:b/>
          <w:bCs/>
          <w:color w:val="8A6D3A"/>
          <w:sz w:val="26"/>
          <w:szCs w:val="26"/>
        </w:rPr>
        <w:t xml:space="preserve">Verwendete Finanzierungsdaten und Quellen</w:t>
      </w:r>
    </w:p>
    <w:p>
      <w:pPr>
        <w:spacing w:after="160"/>
        <w:jc w:val="both"/>
      </w:pPr>
      <w:r>
        <w:t xml:space="preserve">Notion Capital und TERN Group, gemeinsame Pressemitteilung vom 10. September 2025 zur Series A in Höhe von 24 Millionen US-Dollar; kumulierte Finanzierung 33 Millionen US-Dollar.</w:t>
      </w:r>
    </w:p>
    <w:p>
      <w:pPr>
        <w:spacing w:after="160"/>
        <w:jc w:val="both"/>
      </w:pPr>
      <w:r>
        <w:t xml:space="preserve">Öffentlich zugängliche Übersichten zur Finanzierungsgeschichte von Localyze mit einer kumulierten Finanzierung von 48,1 Millionen US-Dollar über Series A (Blossom Capital, 2021) und Series B (General Catalyst, 2022).</w:t>
      </w:r>
    </w:p>
    <w:p>
      <w:pPr>
        <w:spacing w:after="160"/>
        <w:jc w:val="both"/>
      </w:pPr>
      <w:r>
        <w:t xml:space="preserve">Pressemitteilungen und Datenbankeinträge zu Medwing mit einer Series C in Höhe von 44 Millionen EUR im Jahr 2023.</w:t>
      </w:r>
    </w:p>
    <w:p>
      <w:pPr>
        <w:spacing w:after="160"/>
        <w:jc w:val="both"/>
      </w:pPr>
      <w:r>
        <w:t xml:space="preserve">FinSMEs und Inventure zur Series A von Jobbatical in Höhe von 11,6 Millionen EUR im September 2022; kumulierte Finanzierung rund 20 Millionen EUR.</w:t>
      </w:r>
    </w:p>
    <w:p>
      <w:pPr>
        <w:spacing w:after="160"/>
        <w:jc w:val="both"/>
      </w:pPr>
      <w:r>
        <w:t xml:space="preserve">Startup City Hamburg zur ersten externen Finanzierung von relocraft im Dezember 2024 durch ESB Invest Vorpommern; Betrag nicht offengelegt.</w:t>
      </w:r>
    </w:p>
    <w:p>
      <w:pPr>
        <w:spacing w:after="160"/>
        <w:jc w:val="both"/>
      </w:pPr>
      <w:r>
        <w:t xml:space="preserve">North Data, Handelsregisterdaten zu TrueCare GmbH und compass international GmbH als Beleg für die eigenfinanzierte Struktur der genannten Wettbewerber.</w:t>
      </w:r>
    </w:p>
    <w:p>
      <w:pPr>
        <w:spacing w:after="160"/>
        <w:jc w:val="both"/>
      </w:pPr>
      <w:r>
        <w:t xml:space="preserve">Startkeel und Peony, Bewertungsbenchmarks für den europäischen Pre-Seed-Markt 2025 und 2026, mit einer medianen Bewertung von rund 3 bis 5 Millionen EUR pre-money je nach Datenquelle.</w:t>
      </w:r>
    </w:p>
    <w:p>
      <w:pPr>
        <w:spacing w:after="160"/>
        <w:jc w:val="both"/>
      </w:pPr>
      <w:r>
        <w:t xml:space="preserve">EY Startup-Barometer, Januar 2026, zum deutschen Venture-Capital-Volumen 2025 in Höhe von rund 8,4 Milliarden EUR.</w:t>
      </w:r>
    </w:p>
    <w:p>
      <w:pPr>
        <w:spacing w:after="160"/>
        <w:jc w:val="both"/>
      </w:pPr>
      <w:r>
        <w:t xml:space="preserve">Bundesamt für Wirtschaft und Ausfuhrkontrolle (BAFA), aktuelle Richtlinie zum INVEST-Zuschuss für Wagniskapital, wirksam seit 6. März 2024, mit einem Erwerbszuschuss von 15 Prozent und einem Exit-Zuschuss von 25 Prozent.</w:t>
      </w:r>
    </w:p>
    <w:p>
      <w:pPr>
        <w:spacing w:after="160"/>
        <w:jc w:val="both"/>
      </w:pPr>
      <w:r>
        <w:t xml:space="preserve">NRW.BANK, Programmbeschreibung NRW.SeedCap mit einem Ko-Investitionsrahmen von 100.000 bis 500.000 EUR bei Ko-Investition eines erfahrenen Angel-Investors.</w:t>
      </w:r>
    </w:p>
    <w:p>
      <w:pPr>
        <w:pStyle w:val="Heading2"/>
        <w:spacing w:after="120" w:before="240"/>
      </w:pPr>
      <w:r>
        <w:rPr>
          <w:b/>
          <w:bCs/>
          <w:color w:val="8A6D3A"/>
          <w:sz w:val="26"/>
          <w:szCs w:val="26"/>
        </w:rPr>
        <w:t xml:space="preserve">Vorbehalte zur Verwendung der Zahlen</w:t>
      </w:r>
    </w:p>
    <w:p>
      <w:pPr>
        <w:spacing w:after="160"/>
        <w:jc w:val="both"/>
      </w:pPr>
      <w:r>
        <w:t xml:space="preserve">Die Marktzahlen aus kommerziellen Marktreports sind Sekundärquellen und werden im Datenraum ergänzend durch primäre statistische Quellen abgesichert, soweit verfügbar. Die SOM-Modellrechnung ist ausdrücklich keine veröffentlichte Marktgröße, sondern eine hergeleitete Größenordnung; die Rechnung ist im Datenraum offen dokumentiert. Die genannten Bewertungsbenchmarks und Finanzierungsbeträge sind zum Zeitpunkt der Recherche im August 2026 gültig und können sich mit weiteren Runden oder öffentlichen Meldungen verändern. Alle Investorenaussagen und alle Beträge sind vor einer verbindlichen Investitionsentscheidung durch die Investorenseite eigenständig zu überprüfen.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AMAVIO Living, Investoren-Businessplan, vertraulich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2026-08-15T13:40:16.274Z</dcterms:created>
  <dcterms:modified xsi:type="dcterms:W3CDTF">2026-08-15T13:40:16.289Z</dcterms:modified>
</cp:coreProperties>
</file>

<file path=docProps/custom.xml><?xml version="1.0" encoding="utf-8"?>
<Properties xmlns="http://schemas.openxmlformats.org/officeDocument/2006/custom-properties" xmlns:vt="http://schemas.openxmlformats.org/officeDocument/2006/docPropsVTypes"/>
</file>