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40"/>
      </w:pPr>
      <w:r>
        <w:rPr>
          <w:rFonts w:ascii="Aptos" w:hAnsi="Aptos"/>
          <w:b/>
          <w:i w:val="0"/>
          <w:color w:val="B6813E"/>
          <w:sz w:val="18"/>
        </w:rPr>
        <w:t>AMAVIO LIVING · ANLAGENPAKET 2026</w:t>
      </w:r>
    </w:p>
    <w:p>
      <w:pPr>
        <w:spacing w:after="100"/>
      </w:pPr>
      <w:r>
        <w:rPr>
          <w:rFonts w:ascii="Aptos" w:hAnsi="Aptos"/>
          <w:b/>
          <w:i w:val="0"/>
          <w:color w:val="183C32"/>
          <w:sz w:val="50"/>
        </w:rPr>
        <w:t>KPI-Steuerungscockpit</w:t>
      </w:r>
    </w:p>
    <w:p>
      <w:pPr>
        <w:spacing w:after="340"/>
      </w:pPr>
      <w:r>
        <w:rPr>
          <w:rFonts w:ascii="Aptos" w:hAnsi="Aptos"/>
          <w:b w:val="0"/>
          <w:i w:val="0"/>
          <w:color w:val="245B4B"/>
          <w:sz w:val="26"/>
        </w:rPr>
        <w:t>Definitionen, Warnschwellen und Managementreaktionen für die ersten 36 Monate.</w:t>
      </w:r>
    </w:p>
    <w:tbl>
      <w:tblPr>
        <w:tblW w:type="auto" w:w="0"/>
        <w:jc w:val="left"/>
        <w:tblLayout w:type="fixed"/>
        <w:tblLook w:firstColumn="1" w:firstRow="1" w:lastColumn="0" w:lastRow="0" w:noHBand="0" w:noVBand="1" w:val="04A0"/>
      </w:tblPr>
      <w:tblGrid>
        <w:gridCol w:w="9808"/>
      </w:tblGrid>
      <w:tr>
        <w:tc>
          <w:tcPr>
            <w:tcW w:type="dxa" w:w="9807"/>
            <w:shd w:fill="F3EFE8"/>
            <w:tcMar>
              <w:top w:w="180" w:type="dxa"/>
              <w:start w:w="220" w:type="dxa"/>
              <w:bottom w:w="180" w:type="dxa"/>
              <w:end w:w="220" w:type="dxa"/>
            </w:tcMar>
            <w:tcBorders>
              <w:top w:val="single" w:sz="8" w:color="B6813E"/>
              <w:left w:val="nil"/>
              <w:bottom w:val="single" w:sz="8" w:color="B6813E"/>
              <w:right w:val="nil"/>
            </w:tcBorders>
          </w:tcPr>
          <w:p>
            <w:pPr>
              <w:spacing w:after="0"/>
            </w:pPr>
            <w:r>
              <w:rPr>
                <w:rFonts w:ascii="Aptos" w:hAnsi="Aptos"/>
                <w:b w:val="0"/>
                <w:i w:val="0"/>
                <w:color w:val="183C32"/>
                <w:sz w:val="20"/>
              </w:rPr>
              <w:t>Das Cockpit übersetzt den Businessplan in eine monatliche Steuerungsroutine. Kennzahlen werden nicht als Selbstzweck erhoben: Jede Kennzahl besitzt eine Definition, eine Datenquelle, einen Verantwortlichen, eine Warnschwelle und eine konkrete Entscheidung.</w:t>
            </w:r>
          </w:p>
        </w:tc>
      </w:tr>
    </w:tbl>
    <w:p/>
    <w:p>
      <w:pPr>
        <w:pStyle w:val="Heading1"/>
      </w:pPr>
      <w:r>
        <w:t>1. Steuerungsprinzip</w:t>
      </w:r>
    </w:p>
    <w:p>
      <w:pPr>
        <w:spacing w:after="200"/>
      </w:pPr>
      <w:r>
        <w:rPr>
          <w:rFonts w:ascii="Aptos" w:hAnsi="Aptos"/>
          <w:b w:val="0"/>
          <w:i w:val="0"/>
          <w:color w:val="183C32"/>
          <w:sz w:val="21"/>
        </w:rPr>
        <w:t>AMAVIO misst in der Startphase zuerst Nachweisqualität und Liquidität: Ist das Kundenproblem qualifiziert? Ist das Mandat sauber beauftragt? Wird die Leistung zu einer gesunden Marge und innerhalb der verfügbaren Kapazität erbracht? Wachstum wird erst freigegeben, wenn diese Fragen wiederholt positiv beantwortet sind.</w:t>
      </w:r>
    </w:p>
    <w:tbl>
      <w:tblPr>
        <w:tblW w:type="auto" w:w="0"/>
        <w:jc w:val="left"/>
        <w:tblLayout w:type="fixed"/>
        <w:tblLook w:firstColumn="1" w:firstRow="1" w:lastColumn="0" w:lastRow="0" w:noHBand="0" w:noVBand="1" w:val="04A0"/>
      </w:tblPr>
      <w:tblGrid>
        <w:gridCol w:w="1361"/>
        <w:gridCol w:w="2835"/>
        <w:gridCol w:w="3742"/>
        <w:gridCol w:w="1814"/>
      </w:tblGrid>
      <w:tr>
        <w:trPr>
          <w:tblHeader w:val="true"/>
        </w:trPr>
        <w:tc>
          <w:tcPr>
            <w:tcW w:type="dxa" w:w="136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Ebene</w:t>
            </w:r>
          </w:p>
        </w:tc>
        <w:tc>
          <w:tcPr>
            <w:tcW w:type="dxa" w:w="2834"/>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Entscheidungsfrage</w:t>
            </w:r>
          </w:p>
        </w:tc>
        <w:tc>
          <w:tcPr>
            <w:tcW w:type="dxa" w:w="3741"/>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Primäre Kennzahlen</w:t>
            </w:r>
          </w:p>
        </w:tc>
        <w:tc>
          <w:tcPr>
            <w:tcW w:type="dxa" w:w="1814"/>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Rhythmus</w:t>
            </w:r>
          </w:p>
        </w:tc>
      </w:tr>
      <w:tr>
        <w:tc>
          <w:tcPr>
            <w:tcW w:type="dxa" w:w="136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Liquidität</w:t>
            </w:r>
          </w:p>
        </w:tc>
        <w:tc>
          <w:tcPr>
            <w:tcW w:type="dxa" w:w="28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Kann AMAVIO alle Verpflichtungen sicher bedienen?</w:t>
            </w:r>
          </w:p>
        </w:tc>
        <w:tc>
          <w:tcPr>
            <w:tcW w:type="dxa" w:w="3742"/>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Freie Liquidität, 13-Wochen-Forecast, überfällige Forderungen.</w:t>
            </w:r>
          </w:p>
        </w:tc>
        <w:tc>
          <w:tcPr>
            <w:tcW w:type="dxa" w:w="181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wöchentlich</w:t>
            </w:r>
          </w:p>
        </w:tc>
      </w:tr>
      <w:tr>
        <w:tc>
          <w:tcPr>
            <w:tcW w:type="dxa" w:w="136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Vertrieb</w:t>
            </w:r>
          </w:p>
        </w:tc>
        <w:tc>
          <w:tcPr>
            <w:tcW w:type="dxa" w:w="2835"/>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Entsteht aus echtem Bedarf bezahlter Auftragseingang?</w:t>
            </w:r>
          </w:p>
        </w:tc>
        <w:tc>
          <w:tcPr>
            <w:tcW w:type="dxa" w:w="3742"/>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Qualifizierte Pipeline, Angebotsquote, Vertragswert, Win Rate.</w:t>
            </w:r>
          </w:p>
        </w:tc>
        <w:tc>
          <w:tcPr>
            <w:tcW w:type="dxa" w:w="181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wöchentlich / monatlich</w:t>
            </w:r>
          </w:p>
        </w:tc>
      </w:tr>
      <w:tr>
        <w:tc>
          <w:tcPr>
            <w:tcW w:type="dxa" w:w="136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Delivery</w:t>
            </w:r>
          </w:p>
        </w:tc>
        <w:tc>
          <w:tcPr>
            <w:tcW w:type="dxa" w:w="28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Wird der vereinbarte Nutzen zuverlässig und profitabel geliefert?</w:t>
            </w:r>
          </w:p>
        </w:tc>
        <w:tc>
          <w:tcPr>
            <w:tcW w:type="dxa" w:w="3742"/>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Meilensteintreue, Ist-Tage, Deckungsbeitrag, Rework.</w:t>
            </w:r>
          </w:p>
        </w:tc>
        <w:tc>
          <w:tcPr>
            <w:tcW w:type="dxa" w:w="181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je Projekt / monatlich</w:t>
            </w:r>
          </w:p>
        </w:tc>
      </w:tr>
      <w:tr>
        <w:tc>
          <w:tcPr>
            <w:tcW w:type="dxa" w:w="136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Kunde</w:t>
            </w:r>
          </w:p>
        </w:tc>
        <w:tc>
          <w:tcPr>
            <w:tcW w:type="dxa" w:w="2835"/>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Wird aus einer erfolgreichen Lieferung eine Referenz oder Folgebeauftragung?</w:t>
            </w:r>
          </w:p>
        </w:tc>
        <w:tc>
          <w:tcPr>
            <w:tcW w:type="dxa" w:w="3742"/>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Abnahme, Zufriedenheit, Renewal-/Referral-Signal.</w:t>
            </w:r>
          </w:p>
        </w:tc>
        <w:tc>
          <w:tcPr>
            <w:tcW w:type="dxa" w:w="181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nach Meilenstein / quartalsweise</w:t>
            </w:r>
          </w:p>
        </w:tc>
      </w:tr>
      <w:tr>
        <w:tc>
          <w:tcPr>
            <w:tcW w:type="dxa" w:w="136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Wachstum</w:t>
            </w:r>
          </w:p>
        </w:tc>
        <w:tc>
          <w:tcPr>
            <w:tcW w:type="dxa" w:w="28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Ist Standardisierung vor zusätzlicher Bindung ausreichend?</w:t>
            </w:r>
          </w:p>
        </w:tc>
        <w:tc>
          <w:tcPr>
            <w:tcW w:type="dxa" w:w="3742"/>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Auslastung, Wiederholbarkeit, Partnerqualität, Kapazitätsreserve.</w:t>
            </w:r>
          </w:p>
        </w:tc>
        <w:tc>
          <w:tcPr>
            <w:tcW w:type="dxa" w:w="181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monatlich / quartalsweise</w:t>
            </w:r>
          </w:p>
        </w:tc>
      </w:tr>
    </w:tbl>
    <w:p>
      <w:pPr>
        <w:spacing w:after="20"/>
      </w:pPr>
    </w:p>
    <w:tbl>
      <w:tblPr>
        <w:tblW w:type="auto" w:w="0"/>
        <w:tblLayout w:type="fixed"/>
        <w:tblLook w:firstColumn="1" w:firstRow="1" w:lastColumn="0" w:lastRow="0" w:noHBand="0" w:noVBand="1" w:val="04A0"/>
      </w:tblPr>
      <w:tblGrid>
        <w:gridCol w:w="9808"/>
      </w:tblGrid>
      <w:tr>
        <w:tc>
          <w:tcPr>
            <w:tcW w:type="dxa" w:w="9807"/>
            <w:shd w:fill="FCEEEB"/>
            <w:tcMar>
              <w:top w:w="120" w:type="dxa"/>
              <w:start w:w="170" w:type="dxa"/>
              <w:bottom w:w="120" w:type="dxa"/>
              <w:end w:w="170" w:type="dxa"/>
            </w:tcMar>
            <w:tcBorders>
              <w:top w:val="single" w:sz="6" w:color="245B4B"/>
              <w:left w:val="nil"/>
              <w:bottom w:val="single" w:sz="6" w:color="245B4B"/>
              <w:right w:val="nil"/>
            </w:tcBorders>
          </w:tcPr>
          <w:p>
            <w:pPr>
              <w:spacing w:after="0"/>
            </w:pPr>
            <w:r>
              <w:rPr>
                <w:rFonts w:ascii="Aptos" w:hAnsi="Aptos"/>
                <w:b/>
                <w:i w:val="0"/>
                <w:color w:val="245B4B"/>
                <w:sz w:val="19"/>
              </w:rPr>
              <w:t xml:space="preserve">Ampellogik  </w:t>
            </w:r>
            <w:r>
              <w:rPr>
                <w:rFonts w:ascii="Aptos" w:hAnsi="Aptos"/>
                <w:b w:val="0"/>
                <w:i w:val="0"/>
                <w:color w:val="183C32"/>
                <w:sz w:val="19"/>
              </w:rPr>
              <w:t>Grün = innerhalb Zielkorridor. Gelb = Ursachenanalyse und klarer Eigentümer innerhalb von fünf Arbeitstagen. Rot = Entscheidung im Management-Review; neue langfristige Verpflichtungen werden bis zur Korrektur nicht eingegangen.</w:t>
            </w:r>
          </w:p>
        </w:tc>
      </w:tr>
    </w:tbl>
    <w:p>
      <w:pPr>
        <w:spacing w:after="60"/>
      </w:pPr>
    </w:p>
    <w:p>
      <w:r>
        <w:br w:type="page"/>
      </w:r>
    </w:p>
    <w:p>
      <w:pPr>
        <w:pStyle w:val="Heading1"/>
      </w:pPr>
      <w:r>
        <w:t>2. Kernkennzahlen: Liquidität und kaufmännische Steuerung</w:t>
      </w:r>
    </w:p>
    <w:p>
      <w:pPr>
        <w:spacing w:after="200"/>
      </w:pPr>
      <w:r>
        <w:rPr>
          <w:rFonts w:ascii="Aptos" w:hAnsi="Aptos"/>
          <w:b w:val="0"/>
          <w:i w:val="0"/>
          <w:color w:val="183C32"/>
          <w:sz w:val="21"/>
        </w:rPr>
        <w:t>Die Zahlen werden aus der Buchhaltung, dem 36-Monats-Finanzmodell und einem 13-Wochen-Ist-Forecast geführt. Plan- und Live-Sicht bleiben getrennt; der Modellstatus bleibt bis zur dokumentierten Startfinanzierung „CONDITIONAL“.</w:t>
      </w:r>
    </w:p>
    <w:tbl>
      <w:tblPr>
        <w:tblW w:type="auto" w:w="0"/>
        <w:jc w:val="left"/>
        <w:tblLayout w:type="fixed"/>
        <w:tblLook w:firstColumn="1" w:firstRow="1" w:lastColumn="0" w:lastRow="0" w:noHBand="0" w:noVBand="1" w:val="04A0"/>
      </w:tblPr>
      <w:tblGrid>
        <w:gridCol w:w="1531"/>
        <w:gridCol w:w="3118"/>
        <w:gridCol w:w="1984"/>
        <w:gridCol w:w="1531"/>
        <w:gridCol w:w="1701"/>
      </w:tblGrid>
      <w:tr>
        <w:trPr>
          <w:tblHeader w:val="true"/>
        </w:trPr>
        <w:tc>
          <w:tcPr>
            <w:tcW w:type="dxa" w:w="153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KPI</w:t>
            </w:r>
          </w:p>
        </w:tc>
        <w:tc>
          <w:tcPr>
            <w:tcW w:type="dxa" w:w="3118"/>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Definition / Formel</w:t>
            </w:r>
          </w:p>
        </w:tc>
        <w:tc>
          <w:tcPr>
            <w:tcW w:type="dxa" w:w="1984"/>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Quelle &amp; Owner</w:t>
            </w:r>
          </w:p>
        </w:tc>
        <w:tc>
          <w:tcPr>
            <w:tcW w:type="dxa" w:w="153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Warnschwelle</w:t>
            </w:r>
          </w:p>
        </w:tc>
        <w:tc>
          <w:tcPr>
            <w:tcW w:type="dxa" w:w="170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Managementreaktion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Freie Liquidität</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Bankbestand + sichere Einzahlungen der nächsten 13 Wochen – fällige Auszahlungen – reservierte USt/Steuern.</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Bank, Buchhaltung, Forecast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Mindestliquidität: J1 10.000 EUR; J2 15.000 EUR; J3 25.000 EUR</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Ausgabenstopp, Zahlungsplan anpassen, keine neue Bindung; wöchentliche Prüfung.</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13-Wochen-Cash-Coverage</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Anzahl Wochen, in denen der Forecast ohne zusätzlichen Mittelzufluss positiv bleibt.</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Forecast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8 Wochen</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Forderungseinzug priorisieren; variable Kosten und Gründerbezug überprüfen.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Überfällige Forderungsquote</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Überfällige Nettoforderungen / fällige Nettoforderungen.</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Offene-Posten-Liste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über 10 % oder Einzelposten &gt; 14 Tage</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Mahnlauf; Kundenansprache; Delivery-Freigaben nur nach Vertrag.</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Umsatz vs. Plan</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Kumulierte fakturierte Nettoerlöse / kumulierter Planumsatz.</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Finanzmodell + Buchhaltung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rollierend &lt; 85 % Plan</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Pipeline, Angebots- und Kapazitätsplan aktualisieren; Kostenentscheidungen prüfen.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3-Monats-Umsatzquote</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Fakturierter Umsatz der letzten 3 Monate / Base-Case-Umsatz für denselben Zeitraum.</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Buchhaltung + Modell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60 %</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Downside-Automatik: Neueinstellung, Eigenentwicklung und Objektbindung stoppen; Replan binnen 10 Arbeitstagen.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Projektdeckungsbeitrag</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Nettohonorar – direkt zurechenbare, nicht weiterberechnete Partner-/Deliverykosten.</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Projektakte + Buchhaltung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kalkuliertem Angebot oder negativ</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Scope, Change Requests, Preis und Partnerkosten sofort prüfen.</w:t>
            </w:r>
          </w:p>
        </w:tc>
      </w:tr>
    </w:tbl>
    <w:p>
      <w:pPr>
        <w:spacing w:after="20"/>
      </w:pPr>
    </w:p>
    <w:p>
      <w:r>
        <w:br w:type="page"/>
      </w:r>
    </w:p>
    <w:p>
      <w:pPr>
        <w:pStyle w:val="Heading1"/>
      </w:pPr>
      <w:r>
        <w:t>3. Kernkennzahlen: Vertrieb und Nachfragebeweis</w:t>
      </w:r>
    </w:p>
    <w:p>
      <w:pPr>
        <w:spacing w:after="200"/>
      </w:pPr>
      <w:r>
        <w:rPr>
          <w:rFonts w:ascii="Aptos" w:hAnsi="Aptos"/>
          <w:b w:val="0"/>
          <w:i w:val="0"/>
          <w:color w:val="183C32"/>
          <w:sz w:val="21"/>
        </w:rPr>
        <w:t>Reichweite ist kein Ersatz für Kaufbereitschaft. Ein Kontakt gilt nur dann als qualifiziert, wenn Bedarf, realistischer Zeitraum, Entscheider und Budget- oder Beschaffungsweg nachvollziehbar sind.</w:t>
      </w:r>
    </w:p>
    <w:tbl>
      <w:tblPr>
        <w:tblW w:type="auto" w:w="0"/>
        <w:jc w:val="left"/>
        <w:tblLayout w:type="fixed"/>
        <w:tblLook w:firstColumn="1" w:firstRow="1" w:lastColumn="0" w:lastRow="0" w:noHBand="0" w:noVBand="1" w:val="04A0"/>
      </w:tblPr>
      <w:tblGrid>
        <w:gridCol w:w="1531"/>
        <w:gridCol w:w="3118"/>
        <w:gridCol w:w="1984"/>
        <w:gridCol w:w="1531"/>
        <w:gridCol w:w="1701"/>
      </w:tblGrid>
      <w:tr>
        <w:trPr>
          <w:tblHeader w:val="true"/>
        </w:trPr>
        <w:tc>
          <w:tcPr>
            <w:tcW w:type="dxa" w:w="153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KPI</w:t>
            </w:r>
          </w:p>
        </w:tc>
        <w:tc>
          <w:tcPr>
            <w:tcW w:type="dxa" w:w="3118"/>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Definition / Formel</w:t>
            </w:r>
          </w:p>
        </w:tc>
        <w:tc>
          <w:tcPr>
            <w:tcW w:type="dxa" w:w="1984"/>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Quelle &amp; Owner</w:t>
            </w:r>
          </w:p>
        </w:tc>
        <w:tc>
          <w:tcPr>
            <w:tcW w:type="dxa" w:w="153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Warnschwelle</w:t>
            </w:r>
          </w:p>
        </w:tc>
        <w:tc>
          <w:tcPr>
            <w:tcW w:type="dxa" w:w="170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Managementreaktion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Qualifizierte Pipeline</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Summe erwarteter Nettovertragswerte aller qualifizierten Chancen, gewichtet nach dokumentierter Phase.</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CRM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3× Umsatz-Ziel der nächsten 90 Tage</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Account-Liste schärfen, direkte Entscheideransprache, Referenz-/Angebotsmaterial verbessern.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Qualifizierungsquote</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Qualifizierte Chancen / neu angelegte Chancen.</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CRM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25 % über 2 Monate</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Lead-Kriterien und Kanäle anpassen; keine Zeit in unklare Anfragen investieren.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Angebotsquote</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Angebote mit freigegebenem Scope / qualifizierte Chancen.</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CRM + Angebotsregister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50 % ohne erklärten Beschaffungsgrund</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Discovery, Bedarfsklärung und Entscheiderzugang nachschärfen.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Win Rate</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Gewonnene Angebote / entschiedene Angebote. Erst ab n≥5 interpretieren.</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CRM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25 % bei n≥5</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Verlustgründe codieren; Preis, Scope oder Zielsegment anpassen.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Vertragswert je Mandat</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Nettovertragswert / gewonnene Mandate; keine durchlaufenden Fremdkosten.</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Verträge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kalkuliertem Mindestwert</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Paketgrenzen, Zahlungstermine und Change-Request-Prozess prüfen.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Auftragseingang mit Anzahlung</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Unterzeichnete Verträge mit fälliger oder eingegangener erster Rate.</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Vertrag + OPOS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kein gesicherter Auftragseingang über 6 Wochen</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Forecast konservativ führen; keine Vorleistung ohne Freigabe.</w:t>
            </w:r>
          </w:p>
        </w:tc>
      </w:tr>
    </w:tbl>
    <w:p>
      <w:pPr>
        <w:spacing w:after="20"/>
      </w:pPr>
    </w:p>
    <w:p>
      <w:r>
        <w:br w:type="page"/>
      </w:r>
    </w:p>
    <w:p>
      <w:pPr>
        <w:pStyle w:val="Heading1"/>
      </w:pPr>
      <w:r>
        <w:t>4. Kernkennzahlen: Delivery, Qualität und Skalierungsreife</w:t>
      </w:r>
    </w:p>
    <w:p>
      <w:pPr>
        <w:spacing w:after="200"/>
      </w:pPr>
      <w:r>
        <w:rPr>
          <w:rFonts w:ascii="Aptos" w:hAnsi="Aptos"/>
          <w:b w:val="0"/>
          <w:i w:val="0"/>
          <w:color w:val="183C32"/>
          <w:sz w:val="21"/>
        </w:rPr>
        <w:t>AMAVIO darf nur skalieren, wenn die operative Leistung nicht dauerhaft von ungeplanter Gründermehrarbeit oder unklaren Partnerleistungen getragen wird. Jede Lieferung wird deshalb sowohl fachlich als auch kaufmännisch nachkalkuliert.</w:t>
      </w:r>
    </w:p>
    <w:tbl>
      <w:tblPr>
        <w:tblW w:type="auto" w:w="0"/>
        <w:jc w:val="left"/>
        <w:tblLayout w:type="fixed"/>
        <w:tblLook w:firstColumn="1" w:firstRow="1" w:lastColumn="0" w:lastRow="0" w:noHBand="0" w:noVBand="1" w:val="04A0"/>
      </w:tblPr>
      <w:tblGrid>
        <w:gridCol w:w="1531"/>
        <w:gridCol w:w="3118"/>
        <w:gridCol w:w="1984"/>
        <w:gridCol w:w="1531"/>
        <w:gridCol w:w="1701"/>
      </w:tblGrid>
      <w:tr>
        <w:trPr>
          <w:tblHeader w:val="true"/>
        </w:trPr>
        <w:tc>
          <w:tcPr>
            <w:tcW w:type="dxa" w:w="153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KPI</w:t>
            </w:r>
          </w:p>
        </w:tc>
        <w:tc>
          <w:tcPr>
            <w:tcW w:type="dxa" w:w="3118"/>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Definition / Formel</w:t>
            </w:r>
          </w:p>
        </w:tc>
        <w:tc>
          <w:tcPr>
            <w:tcW w:type="dxa" w:w="1984"/>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Quelle &amp; Owner</w:t>
            </w:r>
          </w:p>
        </w:tc>
        <w:tc>
          <w:tcPr>
            <w:tcW w:type="dxa" w:w="153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Warnschwelle</w:t>
            </w:r>
          </w:p>
        </w:tc>
        <w:tc>
          <w:tcPr>
            <w:tcW w:type="dxa" w:w="170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5"/>
              </w:rPr>
              <w:t>Managementreaktion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Meilensteintreue</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Pünktlich abgenommene Meilensteine / fällige Meilensteine.</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Projektplan / Projektleitung</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90 %</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Ursache nach Kunde, Partner, AMAVIO oder externen Faktoren trennen; Terminplan korrigieren.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Ist-Tage vs. Budget</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Tatsächlich gebuchte Delivery-Tage / im Angebot kalkulierte Tage.</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Zeiterfassung + Projektakte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über 110 %</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Scope einfrieren; Change Request oder interne Nachkalkulation; Wiederholbarkeit prüfen.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Rework-Quote</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Zusätzliche Arbeit zur Fehlerkorrektur / gesamte Delivery-Zeit.</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Projektabschluss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über 10 %</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Prozessschritt, Partner oder Briefing verbessern; Playbook aktualisieren.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Kundenabnahme</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Abgenommene Meilensteine / zur Abnahme vorgelegte Meilensteine.</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Abnahmeprotokolle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95 %</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Offene Kriterien klären; keine Schlussrate ohne dokumentierte Abnahme voraussetzen.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Kundenzufriedenheit</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Mittelwert einer 1–5-Frage nach wesentlichem Meilenstein; erst ab n≥5 als Trend.</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Feedbackbogen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4,2 / 5</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Qualitatives Feedback auswerten; Korrekturplan mit Termin festlegen.</w:t>
            </w:r>
          </w:p>
        </w:tc>
      </w:tr>
      <w:tr>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Wiederholbare Workflows</w:t>
            </w:r>
          </w:p>
        </w:tc>
        <w:tc>
          <w:tcPr>
            <w:tcW w:type="dxa" w:w="311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Anteil laufender Leistungen mit dokumentiertem Playbook, Template und Datenverantwortung.</w:t>
            </w:r>
          </w:p>
        </w:tc>
        <w:tc>
          <w:tcPr>
            <w:tcW w:type="dxa" w:w="1984"/>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Operations-Review / Gründer</w:t>
            </w:r>
          </w:p>
        </w:tc>
        <w:tc>
          <w:tcPr>
            <w:tcW w:type="dxa" w:w="153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unter 80 % vor Personalausbau</w:t>
            </w:r>
          </w:p>
        </w:tc>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Keine neue Rolle oder digitale Entwicklung; Standardisierung priorisieren.</w:t>
            </w:r>
          </w:p>
        </w:tc>
      </w:tr>
      <w:tr>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Kapazitätsauslastung Gründer</w:t>
            </w:r>
          </w:p>
        </w:tc>
        <w:tc>
          <w:tcPr>
            <w:tcW w:type="dxa" w:w="311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Geplante Delivery-Tage / verfügbare Delivery-Tage; J1 max. 102 Tage.</w:t>
            </w:r>
          </w:p>
        </w:tc>
        <w:tc>
          <w:tcPr>
            <w:tcW w:type="dxa" w:w="1984"/>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Zeiterfassung + Planung / Gründer</w:t>
            </w:r>
          </w:p>
        </w:tc>
        <w:tc>
          <w:tcPr>
            <w:tcW w:type="dxa" w:w="153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über 70 % dauerhaft oder über Plan</w:t>
            </w:r>
          </w:p>
        </w:tc>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5"/>
              </w:rPr>
              <w:t>Variable Partner nutzen, Projekte verschieben oder Preis/Scope anpassen.</w:t>
            </w:r>
          </w:p>
        </w:tc>
      </w:tr>
    </w:tbl>
    <w:p>
      <w:pPr>
        <w:spacing w:after="20"/>
      </w:pPr>
    </w:p>
    <w:p>
      <w:r>
        <w:br w:type="page"/>
      </w:r>
    </w:p>
    <w:p>
      <w:pPr>
        <w:pStyle w:val="Heading1"/>
      </w:pPr>
      <w:r>
        <w:t>5. Monatsroutine, Datendisziplin und Entscheidungsgates</w:t>
      </w:r>
    </w:p>
    <w:p>
      <w:pPr>
        <w:spacing w:after="200"/>
      </w:pPr>
      <w:r>
        <w:rPr>
          <w:rFonts w:ascii="Aptos" w:hAnsi="Aptos"/>
          <w:b w:val="0"/>
          <w:i w:val="0"/>
          <w:color w:val="183C32"/>
          <w:sz w:val="21"/>
        </w:rPr>
        <w:t>Das Cockpit wird in einem 60-Minuten-Management-Review geführt. Entscheidend ist nicht, jede Abweichung optisch zu glätten, sondern Ursache, finanzielle Wirkung, Verantwortlichen und Entscheidung nachvollziehbar festzuhalten.</w:t>
      </w:r>
    </w:p>
    <w:tbl>
      <w:tblPr>
        <w:tblW w:type="auto" w:w="0"/>
        <w:jc w:val="left"/>
        <w:tblLayout w:type="fixed"/>
        <w:tblLook w:firstColumn="1" w:firstRow="1" w:lastColumn="0" w:lastRow="0" w:noHBand="0" w:noVBand="1" w:val="04A0"/>
      </w:tblPr>
      <w:tblGrid>
        <w:gridCol w:w="1417"/>
        <w:gridCol w:w="4535"/>
        <w:gridCol w:w="3798"/>
      </w:tblGrid>
      <w:tr>
        <w:trPr>
          <w:tblHeader w:val="true"/>
        </w:trPr>
        <w:tc>
          <w:tcPr>
            <w:tcW w:type="dxa" w:w="1417"/>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Zeitpunkt</w:t>
            </w:r>
          </w:p>
        </w:tc>
        <w:tc>
          <w:tcPr>
            <w:tcW w:type="dxa" w:w="4535"/>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Prüfung</w:t>
            </w:r>
          </w:p>
        </w:tc>
        <w:tc>
          <w:tcPr>
            <w:tcW w:type="dxa" w:w="3798"/>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Ergebnis</w:t>
            </w:r>
          </w:p>
        </w:tc>
      </w:tr>
      <w:tr>
        <w:tc>
          <w:tcPr>
            <w:tcW w:type="dxa" w:w="1417"/>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wöchentlich</w:t>
            </w:r>
          </w:p>
        </w:tc>
        <w:tc>
          <w:tcPr>
            <w:tcW w:type="dxa" w:w="45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Bank, offene Forderungen, nächste 13 Wochen, kritische Projektmeilensteine.</w:t>
            </w:r>
          </w:p>
        </w:tc>
        <w:tc>
          <w:tcPr>
            <w:tcW w:type="dxa" w:w="379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Aktualisierter Cash-Forecast und Liste der Eskalationen.</w:t>
            </w:r>
          </w:p>
        </w:tc>
      </w:tr>
      <w:tr>
        <w:tc>
          <w:tcPr>
            <w:tcW w:type="dxa" w:w="1417"/>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monatlich</w:t>
            </w:r>
          </w:p>
        </w:tc>
        <w:tc>
          <w:tcPr>
            <w:tcW w:type="dxa" w:w="4535"/>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KPI-Cockpit, Plan-/Ist-Abweichung, Pipeline, Delivery-Nachkalkulation, Risiko-Register.</w:t>
            </w:r>
          </w:p>
        </w:tc>
        <w:tc>
          <w:tcPr>
            <w:tcW w:type="dxa" w:w="3798"/>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Entscheidungsprotokoll mit Maßnahme, Owner und Frist.</w:t>
            </w:r>
          </w:p>
        </w:tc>
      </w:tr>
      <w:tr>
        <w:tc>
          <w:tcPr>
            <w:tcW w:type="dxa" w:w="1417"/>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quartalsweise</w:t>
            </w:r>
          </w:p>
        </w:tc>
        <w:tc>
          <w:tcPr>
            <w:tcW w:type="dxa" w:w="45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Zielsegment, Preislogik, Partnerqualität, Standardisierung, Personal- und Objektgates.</w:t>
            </w:r>
          </w:p>
        </w:tc>
        <w:tc>
          <w:tcPr>
            <w:tcW w:type="dxa" w:w="3798"/>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Go / Hold / No-Go für die nächste Entwicklungsstufe.</w:t>
            </w:r>
          </w:p>
        </w:tc>
      </w:tr>
    </w:tbl>
    <w:p>
      <w:pPr>
        <w:spacing w:after="20"/>
      </w:pPr>
    </w:p>
    <w:tbl>
      <w:tblPr>
        <w:tblW w:type="auto" w:w="0"/>
        <w:jc w:val="left"/>
        <w:tblLayout w:type="fixed"/>
        <w:tblLook w:firstColumn="1" w:firstRow="1" w:lastColumn="0" w:lastRow="0" w:noHBand="0" w:noVBand="1" w:val="04A0"/>
      </w:tblPr>
      <w:tblGrid>
        <w:gridCol w:w="1701"/>
        <w:gridCol w:w="5216"/>
        <w:gridCol w:w="2835"/>
      </w:tblGrid>
      <w:tr>
        <w:trPr>
          <w:tblHeader w:val="true"/>
        </w:trPr>
        <w:tc>
          <w:tcPr>
            <w:tcW w:type="dxa" w:w="1700"/>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Gate</w:t>
            </w:r>
          </w:p>
        </w:tc>
        <w:tc>
          <w:tcPr>
            <w:tcW w:type="dxa" w:w="5215"/>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Mindestbeleg</w:t>
            </w:r>
          </w:p>
        </w:tc>
        <w:tc>
          <w:tcPr>
            <w:tcW w:type="dxa" w:w="2834"/>
            <w:shd w:fill="245B4B"/>
            <w:tcMar>
              <w:top w:w="90" w:type="dxa"/>
              <w:start w:w="100" w:type="dxa"/>
              <w:bottom w:w="90" w:type="dxa"/>
              <w:end w:w="100" w:type="dxa"/>
            </w:tcMar>
            <w:tcBorders>
              <w:top w:val="single" w:sz="6" w:color="245B4B"/>
              <w:left w:val="single" w:sz="4" w:color="245B4B"/>
              <w:bottom w:val="single" w:sz="6" w:color="245B4B"/>
              <w:right w:val="single" w:sz="4" w:color="245B4B"/>
            </w:tcBorders>
            <w:vAlign w:val="center"/>
          </w:tcPr>
          <w:p>
            <w:pPr>
              <w:spacing w:after="0"/>
            </w:pPr>
            <w:r>
              <w:rPr>
                <w:rFonts w:ascii="Aptos" w:hAnsi="Aptos"/>
                <w:b/>
                <w:i w:val="0"/>
                <w:color w:val="FFFFFF"/>
                <w:sz w:val="17"/>
              </w:rPr>
              <w:t>Entscheidung</w:t>
            </w:r>
          </w:p>
        </w:tc>
      </w:tr>
      <w:tr>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Personal</w:t>
            </w:r>
          </w:p>
        </w:tc>
        <w:tc>
          <w:tcPr>
            <w:tcW w:type="dxa" w:w="5216"/>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Delegierbare Arbeit, Auslastung wiederholt nahe 70 %, sechs Monate vollständige Personalkosten gesichert.</w:t>
            </w:r>
          </w:p>
        </w:tc>
        <w:tc>
          <w:tcPr>
            <w:tcW w:type="dxa" w:w="28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Rolle freigeben oder variabel einkaufen.</w:t>
            </w:r>
          </w:p>
        </w:tc>
      </w:tr>
      <w:tr>
        <w:tc>
          <w:tcPr>
            <w:tcW w:type="dxa" w:w="1701"/>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Digitales MVP</w:t>
            </w:r>
          </w:p>
        </w:tc>
        <w:tc>
          <w:tcPr>
            <w:tcW w:type="dxa" w:w="5216"/>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Mindestens drei wiederkehrende Kundenworkflows, manuelle Prozessdaten, klare Datenrollen, finanzierter Scope.</w:t>
            </w:r>
          </w:p>
        </w:tc>
        <w:tc>
          <w:tcPr>
            <w:tcW w:type="dxa" w:w="2835"/>
            <w:tcMar>
              <w:top w:w="90" w:type="dxa"/>
              <w:start w:w="100" w:type="dxa"/>
              <w:bottom w:w="90" w:type="dxa"/>
              <w:end w:w="100" w:type="dxa"/>
            </w:tcMar>
            <w:shd w:fill="F7F9F8"/>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MVP starten oder beim manuellen Playbook bleiben.</w:t>
            </w:r>
          </w:p>
        </w:tc>
      </w:tr>
      <w:tr>
        <w:tc>
          <w:tcPr>
            <w:tcW w:type="dxa" w:w="1701"/>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Eigener Objektpilot</w:t>
            </w:r>
          </w:p>
        </w:tc>
        <w:tc>
          <w:tcPr>
            <w:tcW w:type="dxa" w:w="5216"/>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Ankerkunden, zulässige Nutzung, separate Objektkalkulation, positiver 20%-Leerstands-Stresscase, sechs Fixkostenmonate Reserve.</w:t>
            </w:r>
          </w:p>
        </w:tc>
        <w:tc>
          <w:tcPr>
            <w:tcW w:type="dxa" w:w="2835"/>
            <w:tcMar>
              <w:top w:w="90" w:type="dxa"/>
              <w:start w:w="100" w:type="dxa"/>
              <w:bottom w:w="90" w:type="dxa"/>
              <w:end w:w="100" w:type="dxa"/>
            </w:tcMar>
            <w:tcBorders>
              <w:top w:val="single" w:sz="3" w:color="B8C8C0"/>
              <w:left w:val="single" w:sz="3" w:color="B8C8C0"/>
              <w:bottom w:val="single" w:sz="3" w:color="B8C8C0"/>
              <w:right w:val="single" w:sz="3" w:color="B8C8C0"/>
            </w:tcBorders>
            <w:vAlign w:val="center"/>
          </w:tcPr>
          <w:p>
            <w:pPr>
              <w:spacing w:after="0" w:line="252" w:lineRule="auto"/>
            </w:pPr>
            <w:r>
              <w:rPr>
                <w:rFonts w:ascii="Aptos" w:hAnsi="Aptos"/>
                <w:b w:val="0"/>
                <w:i w:val="0"/>
                <w:color w:val="183C32"/>
                <w:sz w:val="17"/>
              </w:rPr>
              <w:t>Objekt prüfen oder konsequent ablehnen.</w:t>
            </w:r>
          </w:p>
        </w:tc>
      </w:tr>
    </w:tbl>
    <w:p>
      <w:pPr>
        <w:spacing w:after="20"/>
      </w:pPr>
    </w:p>
    <w:tbl>
      <w:tblPr>
        <w:tblW w:type="auto" w:w="0"/>
        <w:tblLayout w:type="fixed"/>
        <w:tblLook w:firstColumn="1" w:firstRow="1" w:lastColumn="0" w:lastRow="0" w:noHBand="0" w:noVBand="1" w:val="04A0"/>
      </w:tblPr>
      <w:tblGrid>
        <w:gridCol w:w="9808"/>
      </w:tblGrid>
      <w:tr>
        <w:tc>
          <w:tcPr>
            <w:tcW w:type="dxa" w:w="9807"/>
            <w:shd w:fill="E8F0EC"/>
            <w:tcMar>
              <w:top w:w="120" w:type="dxa"/>
              <w:start w:w="170" w:type="dxa"/>
              <w:bottom w:w="120" w:type="dxa"/>
              <w:end w:w="170" w:type="dxa"/>
            </w:tcMar>
            <w:tcBorders>
              <w:top w:val="single" w:sz="6" w:color="245B4B"/>
              <w:left w:val="nil"/>
              <w:bottom w:val="single" w:sz="6" w:color="245B4B"/>
              <w:right w:val="nil"/>
            </w:tcBorders>
          </w:tcPr>
          <w:p>
            <w:pPr>
              <w:spacing w:after="0"/>
            </w:pPr>
            <w:r>
              <w:rPr>
                <w:rFonts w:ascii="Aptos" w:hAnsi="Aptos"/>
                <w:b/>
                <w:i w:val="0"/>
                <w:color w:val="245B4B"/>
                <w:sz w:val="19"/>
              </w:rPr>
              <w:t xml:space="preserve">Datenschutz  </w:t>
            </w:r>
            <w:r>
              <w:rPr>
                <w:rFonts w:ascii="Aptos" w:hAnsi="Aptos"/>
                <w:b w:val="0"/>
                <w:i w:val="0"/>
                <w:color w:val="183C32"/>
                <w:sz w:val="19"/>
              </w:rPr>
              <w:t>Nur aggregierte Kennzahlen in Management- und externen Berichten verwenden. Bewohner-, Mitarbeiter- und Kundendaten bleiben in den dafür vorgesehenen, zugriffsberechtigten Systemen; das Cockpit ersetzt keine Datenschutzdokumentation.</w:t>
            </w:r>
          </w:p>
        </w:tc>
      </w:tr>
    </w:tbl>
    <w:p>
      <w:pPr>
        <w:spacing w:after="60"/>
      </w:pPr>
    </w:p>
    <w:sectPr w:rsidR="00FC693F" w:rsidRPr="0006063C" w:rsidSect="00034616">
      <w:headerReference w:type="default" r:id="rId9"/>
      <w:footerReference w:type="default" r:id="rId10"/>
      <w:pgSz w:w="11906" w:h="16838"/>
      <w:pgMar w:top="964"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55F"/>
        <w:sz w:val="16"/>
      </w:rPr>
      <w:t xml:space="preserve">AMAVIO Holding UG (haftungsbeschränkt)  ·  vertraulich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
      <w:rPr>
        <w:rFonts w:ascii="Aptos" w:hAnsi="Aptos"/>
        <w:b/>
        <w:i w:val="0"/>
        <w:color w:val="5C655F"/>
        <w:sz w:val="16"/>
      </w:rPr>
      <w:t>AMAVIO LIVING  /  KPI-STEUERUNGSCOCKPIT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83C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45B4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5B4B"/>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83C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1" w:lineRule="auto"/>
    </w:pPr>
    <w:rPr>
      <w:rFonts w:ascii="Aptos" w:hAnsi="Aptos"/>
      <w:color w:val="183C3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