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E3A5F" w:color="1E3A5F" w:val="solid"/>
            <w:tcMar>
              <w:top w:type="dxa" w:w="800"/>
              <w:left w:type="dxa" w:w="500"/>
              <w:bottom w:type="dxa" w:w="600"/>
              <w:right w:type="dxa" w:w="500"/>
            </w:tcMar>
          </w:tcPr>
          <w:p>
            <w:pPr>
              <w:spacing w:after="240"/>
            </w:pPr>
            <w:r>
              <w:rPr>
                <w:rFonts w:ascii="Georgia" w:cs="Georgia" w:eastAsia="Georgia" w:hAnsi="Georgia"/>
                <w:b/>
                <w:bCs/>
                <w:color w:val="C9A961"/>
                <w:sz w:val="18"/>
                <w:szCs w:val="18"/>
              </w:rPr>
              <w:t xml:space="preserve">━━</w:t>
            </w:r>
          </w:p>
          <w:p>
            <w:pPr>
              <w:spacing w:after="300"/>
            </w:pPr>
            <w:r>
              <w:rPr>
                <w:rFonts w:ascii="Calibri" w:cs="Calibri" w:eastAsia="Calibri" w:hAnsi="Calibri"/>
                <w:b/>
                <w:bCs/>
                <w:color w:val="C9A961"/>
                <w:spacing w:val="80"/>
                <w:sz w:val="18"/>
                <w:szCs w:val="18"/>
              </w:rPr>
              <w:t xml:space="preserve">AMAVIO LIVING · ANLAGENPAKET 2026 · ANLAGE 2</w:t>
            </w:r>
          </w:p>
          <w:p>
            <w:pPr>
              <w:spacing w:after="300" w:line="400"/>
            </w:pPr>
            <w:r>
              <w:rPr>
                <w:rFonts w:ascii="Georgia" w:cs="Georgia" w:eastAsia="Georgia" w:hAnsi="Georgia"/>
                <w:b/>
                <w:bCs/>
                <w:color w:val="FFFFFF"/>
                <w:sz w:val="56"/>
                <w:szCs w:val="56"/>
              </w:rPr>
              <w:t xml:space="preserve">KPI-Steuerungs-</w:t>
            </w:r>
            <w:r>
              <w:br/>
            </w:r>
            <w:r>
              <w:rPr>
                <w:rFonts w:ascii="Georgia" w:cs="Georgia" w:eastAsia="Georgia" w:hAnsi="Georgia"/>
                <w:b/>
                <w:bCs/>
                <w:color w:val="FFFFFF"/>
                <w:sz w:val="56"/>
                <w:szCs w:val="56"/>
              </w:rPr>
              <w:t xml:space="preserve">cockpit.</w:t>
            </w:r>
          </w:p>
          <w:p>
            <w:pPr>
              <w:spacing w:after="200" w:line="320"/>
            </w:pPr>
            <w:r>
              <w:rPr>
                <w:rFonts w:ascii="Calibri" w:cs="Calibri" w:eastAsia="Calibri" w:hAnsi="Calibri"/>
                <w:color w:val="C7CFDD"/>
                <w:sz w:val="22"/>
                <w:szCs w:val="22"/>
              </w:rPr>
              <w:t xml:space="preserve">Definitionen, Warnschwellen und Managementreaktionen für die ersten 36 Monate.</w:t>
            </w:r>
          </w:p>
          <w:p>
            <w:pPr>
              <w:spacing w:before="400"/>
            </w:pPr>
            <w:r>
              <w:rPr>
                <w:rFonts w:ascii="Calibri" w:cs="Calibri" w:eastAsia="Calibri" w:hAnsi="Calibri"/>
                <w:color w:val="A0AAB8"/>
                <w:sz w:val="16"/>
                <w:szCs w:val="16"/>
              </w:rPr>
              <w:t xml:space="preserve">AMAVIO Holding UG (haftungsbeschränkt) · Düsseldorf · v2.2</w:t>
            </w:r>
          </w:p>
        </w:tc>
      </w:tr>
    </w:tbl>
    <w:p>
      <w:r>
        <w:br w:type="page"/>
      </w:r>
    </w:p>
    <w:p>
      <w:pPr>
        <w:spacing w:after="40" w:before="120"/>
      </w:pPr>
      <w:r>
        <w:rPr>
          <w:rFonts w:ascii="Calibri" w:cs="Calibri" w:eastAsia="Calibri" w:hAnsi="Calibri"/>
          <w:b/>
          <w:bCs/>
          <w:color w:val="C9A961"/>
          <w:spacing w:val="60"/>
          <w:sz w:val="16"/>
          <w:szCs w:val="16"/>
        </w:rPr>
        <w:t xml:space="preserve">01 · STEUERUNGSPRINZIP</w:t>
      </w:r>
    </w:p>
    <w:p>
      <w:pPr>
        <w:spacing w:after="160" w:before="240"/>
      </w:pPr>
      <w:r>
        <w:rPr>
          <w:rFonts w:ascii="Georgia" w:cs="Georgia" w:eastAsia="Georgia" w:hAnsi="Georgia"/>
          <w:b/>
          <w:bCs/>
          <w:color w:val="1E3A5F"/>
          <w:sz w:val="40"/>
          <w:szCs w:val="40"/>
        </w:rPr>
        <w:t xml:space="preserve">AMAVIO misst in der Startphase zuerst Nachweisqualität und Liquidität.</w:t>
      </w:r>
    </w:p>
    <w:p>
      <w:pPr>
        <w:spacing w:after="80" w:before="80" w:line="320"/>
        <w:jc w:val="left"/>
      </w:pPr>
      <w:r>
        <w:rPr>
          <w:rFonts w:ascii="Calibri" w:cs="Calibri" w:eastAsia="Calibri" w:hAnsi="Calibri"/>
          <w:color w:val="0F1B2E"/>
          <w:sz w:val="21"/>
          <w:szCs w:val="21"/>
        </w:rPr>
        <w:t xml:space="preserve">Ist das Kundenproblem qualifiziert? Ist das Mandat sauber beauftragt? Wird die Leistung zu einer gesunden Marge und innerhalb der verfügbaren Kapazität erbracht? Wachstum wird erst freigegeben, wenn diese Fragen wiederholt positiv beantwortet sind.</w:t>
      </w:r>
    </w:p>
    <w:p>
      <w:pPr>
        <w:pBdr>
          <w:bottom w:val="single" w:color="C9A961" w:sz="8" w:space="1"/>
        </w:pBdr>
        <w:spacing w:after="80" w:before="80"/>
      </w:pPr>
      <w:r>
        <w:t xml:space="preserve"/>
      </w:r>
    </w:p>
    <w:p>
      <w:pPr>
        <w:spacing w:after="80" w:before="80" w:line="320"/>
        <w:jc w:val="left"/>
      </w:pPr>
      <w:r>
        <w:rPr>
          <w:rFonts w:ascii="Calibri" w:cs="Calibri" w:eastAsia="Calibri" w:hAnsi="Calibri"/>
          <w:color w:val="6E6858"/>
          <w:sz w:val="21"/>
          <w:szCs w:val="21"/>
        </w:rPr>
        <w:t xml:space="preserve">Das Cockpit übersetzt den Businessplan in eine monatliche Steuerungsroutine. Kennzahlen werden nicht als Selbstzweck erhoben: Jede Kennzahl besitzt eine Definition, eine Datenquelle, einen Verantwortlichen, eine Warnschwelle und eine konkrete Entscheidung.</w:t>
      </w:r>
    </w:p>
    <w:p>
      <w:pPr>
        <w:spacing w:after="80" w:before="160"/>
      </w:pPr>
      <w:r>
        <w:rPr>
          <w:rFonts w:ascii="Georgia" w:cs="Georgia" w:eastAsia="Georgia" w:hAnsi="Georgia"/>
          <w:b/>
          <w:bCs/>
          <w:color w:val="1E3A5F"/>
          <w:sz w:val="20"/>
          <w:szCs w:val="20"/>
        </w:rPr>
        <w:t xml:space="preserve">Steuerungs-Ebenen und Rhythmus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2700"/>
        <w:gridCol w:w="3060"/>
        <w:gridCol w:w="1980"/>
      </w:tblGrid>
      <w:tr>
        <w:trPr>
          <w:tblHeader/>
        </w:trPr>
        <w:tc>
          <w:tcPr>
            <w:tcW w:type="pct" w:w="14%"/>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Ebene</w:t>
            </w:r>
          </w:p>
        </w:tc>
        <w:tc>
          <w:tcPr>
            <w:tcW w:type="pct" w:w="3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Entscheidungsfrage</w:t>
            </w:r>
          </w:p>
        </w:tc>
        <w:tc>
          <w:tcPr>
            <w:tcW w:type="pct" w:w="34%"/>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Primäre Kennzahlen</w:t>
            </w:r>
          </w:p>
        </w:tc>
        <w:tc>
          <w:tcPr>
            <w:tcW w:type="pct" w:w="2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Rhythmus</w:t>
            </w:r>
          </w:p>
        </w:tc>
      </w:tr>
      <w:tr>
        <w:tc>
          <w:tcPr>
            <w:tcW w:type="pct" w:w="1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Liquidität</w:t>
            </w:r>
          </w:p>
        </w:tc>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Kann AMAVIO alle Verpflichtungen sicher bedienen?</w:t>
            </w:r>
          </w:p>
        </w:tc>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Freie Liquidität, 13-Wochen-Forecast, überfällige Forderungen.</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wöchentlich</w:t>
            </w:r>
          </w:p>
        </w:tc>
      </w:tr>
      <w:tr>
        <w:tc>
          <w:tcPr>
            <w:tcW w:type="pct" w:w="1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Vertrieb</w:t>
            </w:r>
          </w:p>
        </w:tc>
        <w:tc>
          <w:tcPr>
            <w:tcW w:type="pct" w:w="3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Entsteht aus echtem Bedarf bezahlter Auftragseingang?</w:t>
            </w:r>
          </w:p>
        </w:tc>
        <w:tc>
          <w:tcPr>
            <w:tcW w:type="pct" w:w="3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Qualifizierte Pipeline, Angebotsquote, Vertragswert, Win Rate.</w:t>
            </w:r>
          </w:p>
        </w:tc>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wöchentlich / monatlich</w:t>
            </w:r>
          </w:p>
        </w:tc>
      </w:tr>
      <w:tr>
        <w:tc>
          <w:tcPr>
            <w:tcW w:type="pct" w:w="1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Delivery</w:t>
            </w:r>
          </w:p>
        </w:tc>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Wird der vereinbarte Nutzen zuverlässig und profitabel geliefert?</w:t>
            </w:r>
          </w:p>
        </w:tc>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Meilensteintreue, Ist-Tage, Deckungsbeitrag, Rework.</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je Projekt / monatlich</w:t>
            </w:r>
          </w:p>
        </w:tc>
      </w:tr>
      <w:tr>
        <w:tc>
          <w:tcPr>
            <w:tcW w:type="pct" w:w="1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Kunde</w:t>
            </w:r>
          </w:p>
        </w:tc>
        <w:tc>
          <w:tcPr>
            <w:tcW w:type="pct" w:w="30%"/>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Wird aus einer erfolgreichen Lieferung eine Referenz oder Folgebeauftragung?</w:t>
            </w:r>
          </w:p>
        </w:tc>
        <w:tc>
          <w:tcPr>
            <w:tcW w:type="pct" w:w="3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Abnahme, Zufriedenheit, Renewal-/Referral-Signal.</w:t>
            </w:r>
          </w:p>
        </w:tc>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nach Meilenstein / quartalsweise</w:t>
            </w:r>
          </w:p>
        </w:tc>
      </w:tr>
      <w:tr>
        <w:tc>
          <w:tcPr>
            <w:tcW w:type="pct" w:w="1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Wachstum</w:t>
            </w:r>
          </w:p>
        </w:tc>
        <w:tc>
          <w:tcPr>
            <w:tcW w:type="pct" w:w="30%"/>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Ist Standardisierung vor zusätzlicher Bindung ausreichend?</w:t>
            </w:r>
          </w:p>
        </w:tc>
        <w:tc>
          <w:tcPr>
            <w:tcW w:type="pct" w:w="3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Auslastung, Wiederholbarkeit, Partnerqualität, Kapazitätsreserve.</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monatlich / quartalsweise</w:t>
            </w:r>
          </w:p>
        </w:tc>
      </w:tr>
    </w:tbl>
    <w:p>
      <w:pPr>
        <w:spacing w:after="80" w:before="160"/>
      </w:pPr>
      <w:r>
        <w:rPr>
          <w:rFonts w:ascii="Georgia" w:cs="Georgia" w:eastAsia="Georgia" w:hAnsi="Georgia"/>
          <w:b/>
          <w:bCs/>
          <w:color w:val="1E3A5F"/>
          <w:sz w:val="20"/>
          <w:szCs w:val="20"/>
        </w:rPr>
        <w:t xml:space="preserve">Ampellogik</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Grün = innerhalb Zielkorridor. Gelb = Ursachenanalyse und klarer Eigentümer innerhalb von fünf Arbeitstagen. Rot = Entscheidung im Management-Review; neue langfristige Verpflichtungen werden bis zur Korrektur nicht eingegangen.</w:t>
            </w:r>
          </w:p>
          <w:p>
            <w:pPr>
              <w:spacing w:after="0" w:before="40"/>
            </w:pPr>
            <w:r>
              <w:rPr>
                <w:rFonts w:ascii="Calibri" w:cs="Calibri" w:eastAsia="Calibri" w:hAnsi="Calibri"/>
                <w:b/>
                <w:bCs/>
                <w:color w:val="6E6858"/>
                <w:spacing w:val="50"/>
                <w:sz w:val="16"/>
                <w:szCs w:val="16"/>
              </w:rPr>
              <w:t xml:space="preserve">AMAVIO AMPELLOGIK</w:t>
            </w:r>
          </w:p>
        </w:tc>
      </w:tr>
    </w:tbl>
    <w:p>
      <w:r>
        <w:br w:type="page"/>
      </w:r>
    </w:p>
    <w:p>
      <w:pPr>
        <w:spacing w:after="40" w:before="120"/>
      </w:pPr>
      <w:r>
        <w:rPr>
          <w:rFonts w:ascii="Calibri" w:cs="Calibri" w:eastAsia="Calibri" w:hAnsi="Calibri"/>
          <w:b/>
          <w:bCs/>
          <w:color w:val="C9A961"/>
          <w:spacing w:val="60"/>
          <w:sz w:val="16"/>
          <w:szCs w:val="16"/>
        </w:rPr>
        <w:t xml:space="preserve">02 · KERNKENNZAHLEN · LIQUIDITÄT &amp; KAUFMÄNNISCHE STEUERUNG</w:t>
      </w:r>
    </w:p>
    <w:p>
      <w:pPr>
        <w:spacing w:after="160" w:before="240"/>
      </w:pPr>
      <w:r>
        <w:rPr>
          <w:rFonts w:ascii="Georgia" w:cs="Georgia" w:eastAsia="Georgia" w:hAnsi="Georgia"/>
          <w:b/>
          <w:bCs/>
          <w:color w:val="1E3A5F"/>
          <w:sz w:val="40"/>
          <w:szCs w:val="40"/>
        </w:rPr>
        <w:t xml:space="preserve">Liquidität zuerst – Wachstum später.</w:t>
      </w:r>
    </w:p>
    <w:p>
      <w:pPr>
        <w:spacing w:after="80" w:before="80" w:line="320"/>
        <w:jc w:val="left"/>
      </w:pPr>
      <w:r>
        <w:rPr>
          <w:rFonts w:ascii="Calibri" w:cs="Calibri" w:eastAsia="Calibri" w:hAnsi="Calibri"/>
          <w:color w:val="0F1B2E"/>
          <w:sz w:val="21"/>
          <w:szCs w:val="21"/>
        </w:rPr>
        <w:t xml:space="preserve">Die Zahlen werden aus der Buchhaltung, dem 36-Monats-Finanzmodell und einem 13-Wochen-Ist-Forecast geführt. Plan- und Live-Sicht bleiben getrennt; der Modellstatus bleibt bis zur dokumentierten Startfinanzierung „CONDITIONAL".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340"/>
        <w:gridCol w:w="1620"/>
        <w:gridCol w:w="1620"/>
        <w:gridCol w:w="1980"/>
      </w:tblGrid>
      <w:tr>
        <w:trPr>
          <w:tblHeader/>
        </w:trPr>
        <w:tc>
          <w:tcPr>
            <w:tcW w:type="pct" w:w="1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KPI</w:t>
            </w:r>
          </w:p>
        </w:tc>
        <w:tc>
          <w:tcPr>
            <w:tcW w:type="pct" w:w="2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Definition / Formel</w:t>
            </w:r>
          </w:p>
        </w:tc>
        <w:tc>
          <w:tcPr>
            <w:tcW w:type="pct" w:w="1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Quelle &amp; Owner</w:t>
            </w:r>
          </w:p>
        </w:tc>
        <w:tc>
          <w:tcPr>
            <w:tcW w:type="pct" w:w="1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Warnschwelle</w:t>
            </w:r>
          </w:p>
        </w:tc>
        <w:tc>
          <w:tcPr>
            <w:tcW w:type="pct" w:w="2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Managementreaktion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Freie Liquidität</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Bankbestand + sichere Einzahlungen der nächsten 13 Wochen – fällige Auszahlungen – reservierte USt/Steuern.</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Bank, Buchhaltung, Forecast / Gründer</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Mindestliquidität: J1 10.000 €; J2 15.000 €; J3 25.000 €</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Ausgabenstopp, Zahlungsplan anpassen, keine neue Bindung; wöchentliche Prüfung.</w:t>
            </w:r>
          </w:p>
        </w:tc>
      </w:tr>
      <w:tr>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13-Wochen-Cash-Coverage</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Anzahl Wochen, in denen der Forecast ohne zusätzlichen Mittelzufluss positiv bleibt.</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Forecast / Gründer</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8 Wochen</w:t>
            </w:r>
          </w:p>
        </w:tc>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Forderungseinzug priorisieren; variable Kosten und Gründerbezug überprüfen.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Überfällige Forderungsquote</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Überfällige Nettoforderungen / fällige Nettoforderungen.</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Offene-Posten-Liste / Gründer</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über 10 % oder Einzelposten &gt; 14 Tage</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Mahnlauf; Kundenansprache; Delivery-Freigaben nur nach Vertrag.</w:t>
            </w:r>
          </w:p>
        </w:tc>
      </w:tr>
      <w:tr>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Umsatz vs. Plan</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Kumulierte fakturierte Nettoerlöse / kumulierter Planumsatz.</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Finanzmodell + Buchhaltung / Gründer</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rollierend &lt; 85 % Plan</w:t>
            </w:r>
          </w:p>
        </w:tc>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Pipeline, Angebots- und Kapazitätsplan aktualisieren; Kostenentscheidungen prüfen.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3-Monats-Umsatzquote</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Fakturierter Umsatz der letzten 3 Monate / Base-Case-Umsatz für denselben Zeitraum.</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Buchhaltung + Modell / Gründer</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60 %</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Downside-Automatik: Neueinstellung, Eigenentwicklung und Objektbindung stoppen; Replan binnen 10 Arbeitstagen.</w:t>
            </w:r>
          </w:p>
        </w:tc>
      </w:tr>
      <w:tr>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Projektdeckungsbeitrag</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Nettohonorar – direkt zurechenbare, nicht weiterberechnete Partner-/Deliverykosten.</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Projektakte + Buchhaltung / Gründer</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kalkuliertem Angebot oder negativ</w:t>
            </w:r>
          </w:p>
        </w:tc>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Scope, Change Requests, Preis und Partnerkosten sofort prüfen.</w:t>
            </w:r>
          </w:p>
        </w:tc>
      </w:tr>
    </w:tbl>
    <w:p>
      <w:r>
        <w:br w:type="page"/>
      </w:r>
    </w:p>
    <w:p>
      <w:pPr>
        <w:spacing w:after="40" w:before="120"/>
      </w:pPr>
      <w:r>
        <w:rPr>
          <w:rFonts w:ascii="Calibri" w:cs="Calibri" w:eastAsia="Calibri" w:hAnsi="Calibri"/>
          <w:b/>
          <w:bCs/>
          <w:color w:val="C9A961"/>
          <w:spacing w:val="60"/>
          <w:sz w:val="16"/>
          <w:szCs w:val="16"/>
        </w:rPr>
        <w:t xml:space="preserve">03 · KERNKENNZAHLEN · VERTRIEB &amp; NACHFRAGEBEWEIS</w:t>
      </w:r>
    </w:p>
    <w:p>
      <w:pPr>
        <w:spacing w:after="160" w:before="240"/>
      </w:pPr>
      <w:r>
        <w:rPr>
          <w:rFonts w:ascii="Georgia" w:cs="Georgia" w:eastAsia="Georgia" w:hAnsi="Georgia"/>
          <w:b/>
          <w:bCs/>
          <w:color w:val="1E3A5F"/>
          <w:sz w:val="40"/>
          <w:szCs w:val="40"/>
        </w:rPr>
        <w:t xml:space="preserve">Reichweite ist kein Ersatz für Kaufbereitschaft.</w:t>
      </w:r>
    </w:p>
    <w:p>
      <w:pPr>
        <w:spacing w:after="80" w:before="80" w:line="320"/>
        <w:jc w:val="left"/>
      </w:pPr>
      <w:r>
        <w:rPr>
          <w:rFonts w:ascii="Calibri" w:cs="Calibri" w:eastAsia="Calibri" w:hAnsi="Calibri"/>
          <w:color w:val="0F1B2E"/>
          <w:sz w:val="21"/>
          <w:szCs w:val="21"/>
        </w:rPr>
        <w:t xml:space="preserve">Ein Kontakt gilt nur dann als qualifiziert, wenn Bedarf, realistischer Zeitraum, Entscheider und Budget- oder Beschaffungsweg nachvollziehbar sind.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340"/>
        <w:gridCol w:w="1620"/>
        <w:gridCol w:w="1620"/>
        <w:gridCol w:w="1980"/>
      </w:tblGrid>
      <w:tr>
        <w:trPr>
          <w:tblHeader/>
        </w:trPr>
        <w:tc>
          <w:tcPr>
            <w:tcW w:type="pct" w:w="1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KPI</w:t>
            </w:r>
          </w:p>
        </w:tc>
        <w:tc>
          <w:tcPr>
            <w:tcW w:type="pct" w:w="2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Definition / Formel</w:t>
            </w:r>
          </w:p>
        </w:tc>
        <w:tc>
          <w:tcPr>
            <w:tcW w:type="pct" w:w="1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Quelle &amp; Owner</w:t>
            </w:r>
          </w:p>
        </w:tc>
        <w:tc>
          <w:tcPr>
            <w:tcW w:type="pct" w:w="1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Warnschwelle</w:t>
            </w:r>
          </w:p>
        </w:tc>
        <w:tc>
          <w:tcPr>
            <w:tcW w:type="pct" w:w="2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Managementreaktion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Qualifizierte Pipeline</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Summe erwarteter Nettovertragswerte aller qualifizierten Chancen, gewichtet nach dokumentierter Phase.</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 Gründer</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3× Umsatz-Ziel der nächsten 90 Tage</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Account-Liste schärfen, direkte Entscheideransprache, Referenz-/Angebotsmaterial verbessern.</w:t>
            </w:r>
          </w:p>
        </w:tc>
      </w:tr>
      <w:tr>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Qualifizierungsquote</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Qualifizierte Chancen / neu angelegte Chancen.</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 Gründer</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25 % über 2 Monate</w:t>
            </w:r>
          </w:p>
        </w:tc>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Lead-Kriterien und Kanäle anpassen; keine Zeit in unklare Anfragen investieren.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Angebotsquote</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Angebote mit freigegebenem Scope / qualifizierte Chancen.</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 Angebotsregister / Gründer</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50 % ohne erklärten Beschaffungsgrund</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Discovery, Bedarfsklärung und Entscheiderzugang nachschärfen.</w:t>
            </w:r>
          </w:p>
        </w:tc>
      </w:tr>
      <w:tr>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Win Rate</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Gewonnene Angebote / entschiedene Angebote. Erst ab n≥5 interpretieren.</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 Gründer</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25 % bei n≥5</w:t>
            </w:r>
          </w:p>
        </w:tc>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Verlustgründe codieren; Preis, Scope oder Zielsegment anpassen.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Vertragswert je Mandat</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Nettovertragswert / gewonnene Mandate; keine durchlaufenden Fremdkosten.</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Verträge / Gründer</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kalkuliertem Mindestwert</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Paketgrenzen, Zahlungstermine und Change-Request-Prozess prüfen.</w:t>
            </w:r>
          </w:p>
        </w:tc>
      </w:tr>
      <w:tr>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Auftragseingang mit Anzahlung</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Unterzeichnete Verträge mit fälliger oder eingegangener erster Rate.</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Vertrag + OPOS / Gründer</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gesicherter Auftragseingang über 6 Wochen</w:t>
            </w:r>
          </w:p>
        </w:tc>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Forecast konservativ führen; keine Vorleistung ohne Freigabe.</w:t>
            </w:r>
          </w:p>
        </w:tc>
      </w:tr>
    </w:tbl>
    <w:p>
      <w:r>
        <w:br w:type="page"/>
      </w:r>
    </w:p>
    <w:p>
      <w:pPr>
        <w:spacing w:after="40" w:before="120"/>
      </w:pPr>
      <w:r>
        <w:rPr>
          <w:rFonts w:ascii="Calibri" w:cs="Calibri" w:eastAsia="Calibri" w:hAnsi="Calibri"/>
          <w:b/>
          <w:bCs/>
          <w:color w:val="C9A961"/>
          <w:spacing w:val="60"/>
          <w:sz w:val="16"/>
          <w:szCs w:val="16"/>
        </w:rPr>
        <w:t xml:space="preserve">04 · KERNKENNZAHLEN · DELIVERY, QUALITÄT &amp; SKALIERUNGSREIFE</w:t>
      </w:r>
    </w:p>
    <w:p>
      <w:pPr>
        <w:spacing w:after="160" w:before="240"/>
      </w:pPr>
      <w:r>
        <w:rPr>
          <w:rFonts w:ascii="Georgia" w:cs="Georgia" w:eastAsia="Georgia" w:hAnsi="Georgia"/>
          <w:b/>
          <w:bCs/>
          <w:color w:val="1E3A5F"/>
          <w:sz w:val="40"/>
          <w:szCs w:val="40"/>
        </w:rPr>
        <w:t xml:space="preserve">Nur wiederholbare Delivery rechtfertigt Skalierung.</w:t>
      </w:r>
    </w:p>
    <w:p>
      <w:pPr>
        <w:spacing w:after="80" w:before="80" w:line="320"/>
        <w:jc w:val="left"/>
      </w:pPr>
      <w:r>
        <w:rPr>
          <w:rFonts w:ascii="Calibri" w:cs="Calibri" w:eastAsia="Calibri" w:hAnsi="Calibri"/>
          <w:color w:val="0F1B2E"/>
          <w:sz w:val="21"/>
          <w:szCs w:val="21"/>
        </w:rPr>
        <w:t xml:space="preserve">AMAVIO darf nur skalieren, wenn die operative Leistung nicht dauerhaft von ungeplanter Gründermehrarbeit oder unklaren Partnerleistungen getragen wird. Jede Lieferung wird deshalb sowohl fachlich als auch kaufmännisch nachkalkuliert.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340"/>
        <w:gridCol w:w="1620"/>
        <w:gridCol w:w="1620"/>
        <w:gridCol w:w="1980"/>
      </w:tblGrid>
      <w:tr>
        <w:trPr>
          <w:tblHeader/>
        </w:trPr>
        <w:tc>
          <w:tcPr>
            <w:tcW w:type="pct" w:w="1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KPI</w:t>
            </w:r>
          </w:p>
        </w:tc>
        <w:tc>
          <w:tcPr>
            <w:tcW w:type="pct" w:w="2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Definition / Formel</w:t>
            </w:r>
          </w:p>
        </w:tc>
        <w:tc>
          <w:tcPr>
            <w:tcW w:type="pct" w:w="1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Quelle &amp; Owner</w:t>
            </w:r>
          </w:p>
        </w:tc>
        <w:tc>
          <w:tcPr>
            <w:tcW w:type="pct" w:w="1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Warnschwelle</w:t>
            </w:r>
          </w:p>
        </w:tc>
        <w:tc>
          <w:tcPr>
            <w:tcW w:type="pct" w:w="2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Managementreaktion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Meilensteintreue</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Pünktlich abgenommene Meilensteine / fällige Meilensteine.</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Projektplan / Projektleitung</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90 %</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Ursache nach Kunde, Partner, AMAVIO oder externen Faktoren trennen; Terminplan korrigieren.</w:t>
            </w:r>
          </w:p>
        </w:tc>
      </w:tr>
      <w:tr>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Ist-Tage vs. Budget</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Tatsächlich gebuchte Delivery-Tage / im Angebot kalkulierte Tage.</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Zeiterfassung + Projektakte / Gründer</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über 110 %</w:t>
            </w:r>
          </w:p>
        </w:tc>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Scope einfrieren; Change Request oder interne Nachkalkulation; Wiederholbarkeit prüfen.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Rework-Quote</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Zusätzliche Arbeit zur Fehlerkorrektur / gesamte Delivery-Zeit.</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Projektabschluss / Gründer</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über 10 %</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Prozessschritt, Partner oder Briefing verbessern; Playbook aktualisieren.</w:t>
            </w:r>
          </w:p>
        </w:tc>
      </w:tr>
      <w:tr>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Kundenabnahme</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Abgenommene Meilensteine / zur Abnahme vorgelegte Meilensteine.</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Abnahmeprotokolle / Gründer</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95 %</w:t>
            </w:r>
          </w:p>
        </w:tc>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Offene Kriterien klären; keine Schlussrate ohne dokumentierte Abnahme voraussetzen.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Kundenzufriedenheit</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Mittelwert einer 1–5-Frage nach wesentlichem Meilenstein; erst ab n≥5 als Trend.</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Feedbackbogen / Gründer</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4,2 / 5</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Qualitatives Feedback auswerten; Korrekturplan mit Termin festlegen.</w:t>
            </w:r>
          </w:p>
        </w:tc>
      </w:tr>
      <w:tr>
        <w:tc>
          <w:tcPr>
            <w:tcW w:type="pct" w:w="1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Wiederholbare Workflows</w:t>
            </w:r>
          </w:p>
        </w:tc>
        <w:tc>
          <w:tcPr>
            <w:tcW w:type="pct" w:w="2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Anteil laufender Leistungen mit dokumentiertem Playbook, Template und Datenverantwortung.</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Operations-Review / Gründer</w:t>
            </w:r>
          </w:p>
        </w:tc>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 80 % vor Personalausbau</w:t>
            </w:r>
          </w:p>
        </w:tc>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neue Rolle oder digitale Entwicklung; Standardisierung priorisieren.</w:t>
            </w:r>
          </w:p>
        </w:tc>
      </w:tr>
      <w:tr>
        <w:tc>
          <w:tcPr>
            <w:tcW w:type="pct" w:w="1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Kapazitätsauslastung Gründer</w:t>
            </w:r>
          </w:p>
        </w:tc>
        <w:tc>
          <w:tcPr>
            <w:tcW w:type="pct" w:w="2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Geplante Delivery-Tage / verfügbare Delivery-Tage; J1 max. 102 Tage.</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Zeiterfassung + Planung / Gründer</w:t>
            </w:r>
          </w:p>
        </w:tc>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über 70 % dauerhaft oder über Plan</w:t>
            </w:r>
          </w:p>
        </w:tc>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Variable Partner nutzen, Projekte verschieben oder Preis/Scope anpassen.</w:t>
            </w:r>
          </w:p>
        </w:tc>
      </w:tr>
    </w:tbl>
    <w:p>
      <w:r>
        <w:br w:type="page"/>
      </w:r>
    </w:p>
    <w:p>
      <w:pPr>
        <w:spacing w:after="40" w:before="120"/>
      </w:pPr>
      <w:r>
        <w:rPr>
          <w:rFonts w:ascii="Calibri" w:cs="Calibri" w:eastAsia="Calibri" w:hAnsi="Calibri"/>
          <w:b/>
          <w:bCs/>
          <w:color w:val="C9A961"/>
          <w:spacing w:val="60"/>
          <w:sz w:val="16"/>
          <w:szCs w:val="16"/>
        </w:rPr>
        <w:t xml:space="preserve">05 · ROUTINE &amp; GATES</w:t>
      </w:r>
    </w:p>
    <w:p>
      <w:pPr>
        <w:spacing w:after="160" w:before="240"/>
      </w:pPr>
      <w:r>
        <w:rPr>
          <w:rFonts w:ascii="Georgia" w:cs="Georgia" w:eastAsia="Georgia" w:hAnsi="Georgia"/>
          <w:b/>
          <w:bCs/>
          <w:color w:val="1E3A5F"/>
          <w:sz w:val="40"/>
          <w:szCs w:val="40"/>
        </w:rPr>
        <w:t xml:space="preserve">Monatsroutine, Datendisziplin und Entscheidungsgates.</w:t>
      </w:r>
    </w:p>
    <w:p>
      <w:pPr>
        <w:spacing w:after="80" w:before="80" w:line="320"/>
        <w:jc w:val="left"/>
      </w:pPr>
      <w:r>
        <w:rPr>
          <w:rFonts w:ascii="Calibri" w:cs="Calibri" w:eastAsia="Calibri" w:hAnsi="Calibri"/>
          <w:color w:val="0F1B2E"/>
          <w:sz w:val="21"/>
          <w:szCs w:val="21"/>
        </w:rPr>
        <w:t xml:space="preserve">Das Cockpit wird in einem 60-Minuten-Management-Review geführt. Entscheidend ist nicht, jede Abweichung optisch zu glätten, sondern Ursache, finanzielle Wirkung, Verantwortlichen und Entscheidung nachvollziehbar festzuhalten.</w:t>
      </w:r>
    </w:p>
    <w:p>
      <w:pPr>
        <w:spacing w:after="80" w:before="160"/>
      </w:pPr>
      <w:r>
        <w:rPr>
          <w:rFonts w:ascii="Georgia" w:cs="Georgia" w:eastAsia="Georgia" w:hAnsi="Georgia"/>
          <w:b/>
          <w:bCs/>
          <w:color w:val="1E3A5F"/>
          <w:sz w:val="20"/>
          <w:szCs w:val="20"/>
        </w:rPr>
        <w:t xml:space="preserve">Routine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4140"/>
        <w:gridCol w:w="3240"/>
      </w:tblGrid>
      <w:tr>
        <w:trPr>
          <w:tblHeader/>
        </w:trPr>
        <w:tc>
          <w:tcPr>
            <w:tcW w:type="pct" w:w="18%"/>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Zeitpunkt</w:t>
            </w:r>
          </w:p>
        </w:tc>
        <w:tc>
          <w:tcPr>
            <w:tcW w:type="pct" w:w="4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Prüfung</w:t>
            </w:r>
          </w:p>
        </w:tc>
        <w:tc>
          <w:tcPr>
            <w:tcW w:type="pct" w:w="36%"/>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Ergebnis</w:t>
            </w:r>
          </w:p>
        </w:tc>
      </w:tr>
      <w:tr>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wöchentlich</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Bank, offene Forderungen, nächste 13 Wochen, kritische Projektmeilensteine.</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Aktualisierter Cash-Forecast und Liste der Eskalationen.</w:t>
            </w:r>
          </w:p>
        </w:tc>
      </w:tr>
      <w:tr>
        <w:tc>
          <w:tcPr>
            <w:tcW w:type="pct" w:w="18%"/>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monatlich</w:t>
            </w:r>
          </w:p>
        </w:tc>
        <w:tc>
          <w:tcPr>
            <w:tcW w:type="pct" w:w="4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KPI-Cockpit, Plan-/Ist-Abweichung, Pipeline, Delivery-Nachkalkulation, Risiko-Register.</w:t>
            </w:r>
          </w:p>
        </w:tc>
        <w:tc>
          <w:tcPr>
            <w:tcW w:type="pct" w:w="36%"/>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Entscheidungsprotokoll mit Maßnahme, Owner und Frist.</w:t>
            </w:r>
          </w:p>
        </w:tc>
      </w:tr>
      <w:tr>
        <w:tc>
          <w:tcPr>
            <w:tcW w:type="pct" w:w="18%"/>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quartalsweise</w:t>
            </w:r>
          </w:p>
        </w:tc>
        <w:tc>
          <w:tcPr>
            <w:tcW w:type="pct" w:w="4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Zielsegment, Preislogik, Partnerqualität, Standardisierung, Personal- und Objektgates.</w:t>
            </w:r>
          </w:p>
        </w:tc>
        <w:tc>
          <w:tcPr>
            <w:tcW w:type="pct" w:w="36%"/>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Go / Hold / No-Go für die nächste Entwicklungsstufe.</w:t>
            </w:r>
          </w:p>
        </w:tc>
      </w:tr>
    </w:tbl>
    <w:p>
      <w:pPr>
        <w:spacing w:after="80" w:before="160"/>
      </w:pPr>
      <w:r>
        <w:rPr>
          <w:rFonts w:ascii="Georgia" w:cs="Georgia" w:eastAsia="Georgia" w:hAnsi="Georgia"/>
          <w:b/>
          <w:bCs/>
          <w:color w:val="1E3A5F"/>
          <w:sz w:val="20"/>
          <w:szCs w:val="20"/>
        </w:rPr>
        <w:t xml:space="preserve">Skalierungsgates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4860"/>
        <w:gridCol w:w="2160"/>
      </w:tblGrid>
      <w:tr>
        <w:trPr>
          <w:tblHeader/>
        </w:trPr>
        <w:tc>
          <w:tcPr>
            <w:tcW w:type="pct" w:w="22%"/>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Gate</w:t>
            </w:r>
          </w:p>
        </w:tc>
        <w:tc>
          <w:tcPr>
            <w:tcW w:type="pct" w:w="54%"/>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Mindestbeleg</w:t>
            </w:r>
          </w:p>
        </w:tc>
        <w:tc>
          <w:tcPr>
            <w:tcW w:type="pct" w:w="24%"/>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Entscheidung</w:t>
            </w:r>
          </w:p>
        </w:tc>
      </w:tr>
      <w:tr>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Personal</w:t>
            </w:r>
          </w:p>
        </w:tc>
        <w:tc>
          <w:tcPr>
            <w:tcW w:type="pct" w:w="5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Delegierbare Arbeit, Auslastung wiederholt nahe 70 %, sechs Monate vollständige Personalkosten gesichert.</w:t>
            </w:r>
          </w:p>
        </w:tc>
        <w:tc>
          <w:tcPr>
            <w:tcW w:type="pct" w:w="2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Rolle freigeben oder variabel einkaufen.</w:t>
            </w:r>
          </w:p>
        </w:tc>
      </w:tr>
      <w:tr>
        <w:tc>
          <w:tcPr>
            <w:tcW w:type="pct" w:w="22%"/>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Digitales MVP</w:t>
            </w:r>
          </w:p>
        </w:tc>
        <w:tc>
          <w:tcPr>
            <w:tcW w:type="pct" w:w="5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drei wiederkehrende Kundenworkflows, manuelle Prozessdaten, klare Datenrollen, finanzierter Scope.</w:t>
            </w:r>
          </w:p>
        </w:tc>
        <w:tc>
          <w:tcPr>
            <w:tcW w:type="pct" w:w="24%"/>
            <w:tcBorders>
              <w:top w:val="none" w:color="FFFFFF" w:sz="0"/>
              <w:left w:val="none" w:color="FFFFFF" w:sz="0"/>
              <w:bottom w:val="single" w:color="ECE9E3" w:sz="2"/>
              <w:right w:val="none" w:color="FFFFFF" w:sz="0"/>
            </w:tcBorders>
            <w:shd w:fill="F5F5F2" w:color="F5F5F2"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MVP starten oder beim manuellen Playbook bleiben.</w:t>
            </w:r>
          </w:p>
        </w:tc>
      </w:tr>
      <w:tr>
        <w:tc>
          <w:tcPr>
            <w:tcW w:type="pct" w:w="22%"/>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Eigener Objektpilot</w:t>
            </w:r>
          </w:p>
        </w:tc>
        <w:tc>
          <w:tcPr>
            <w:tcW w:type="pct" w:w="5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Ankerkunden, zulässige Nutzung, separate Objektkalkulation, positiver 20%-Leerstands-Stresscase, sechs Fixkostenmonate Reserve.</w:t>
            </w:r>
          </w:p>
        </w:tc>
        <w:tc>
          <w:tcPr>
            <w:tcW w:type="pct" w:w="24%"/>
            <w:tcBorders>
              <w:top w:val="none" w:color="FFFFFF" w:sz="0"/>
              <w:left w:val="none" w:color="FFFFFF" w:sz="0"/>
              <w:bottom w:val="single" w:color="ECE9E3"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Objekt prüfen oder konsequent ablehnen.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F4F1EA" w:color="F4F1EA"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Datenschutz: Nur aggregierte Kennzahlen in Management- und externen Berichten verwenden. Bewohner-, Mitarbeiter- und Kundendaten bleiben in den dafür vorgesehenen, zugriffsberechtigten Systemen; das Cockpit ersetzt keine Datenschutzdokumentation.</w:t>
            </w:r>
          </w:p>
          <w:p>
            <w:pPr>
              <w:spacing w:after="0" w:before="40"/>
            </w:pPr>
            <w:r>
              <w:rPr>
                <w:rFonts w:ascii="Calibri" w:cs="Calibri" w:eastAsia="Calibri" w:hAnsi="Calibri"/>
                <w:b/>
                <w:bCs/>
                <w:color w:val="6E6858"/>
                <w:spacing w:val="50"/>
                <w:sz w:val="16"/>
                <w:szCs w:val="16"/>
              </w:rPr>
              <w:t xml:space="preserve">DSGVO-HINWEIS</w:t>
            </w:r>
          </w:p>
        </w:tc>
      </w:tr>
    </w:tbl>
    <w:sectPr>
      <w:headerReference w:type="default" r:id="rId7"/>
      <w:footerReference w:type="default" r:id="rId8"/>
      <w:pgSz w:w="11906" w:h="16838" w:orient="portrait"/>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6E6858"/>
        <w:sz w:val="14"/>
        <w:szCs w:val="14"/>
      </w:rPr>
      <w:t xml:space="preserve">AMAVIO Holding UG (haftungsbeschränkt) · Düsseldorf · v2.2</w:t>
    </w:r>
    <w:r>
      <w:rPr>
        <w:rFonts w:ascii="Calibri" w:cs="Calibri" w:eastAsia="Calibri" w:hAnsi="Calibri"/>
        <w:color w:val="6E6858"/>
        <w:sz w:val="14"/>
        <w:szCs w:val="14"/>
      </w:rPr>
      <w:t xml:space="preserve">                                                                                                                        Seite </w:t>
    </w:r>
    <w:r>
      <w:rPr>
        <w:rFonts w:ascii="Calibri" w:cs="Calibri" w:eastAsia="Calibri" w:hAnsi="Calibri"/>
        <w:b/>
        <w:bCs/>
        <w:color w:val="6E6858"/>
        <w:sz w:val="14"/>
        <w:szCs w:val="14"/>
      </w:rPr>
      <w:fldChar w:fldCharType="begin"/>
      <w:instrText xml:space="preserve">PAGE</w:instrText>
      <w:fldChar w:fldCharType="separate"/>
      <w:fldChar w:fldCharType="end"/>
    </w:r>
    <w:r>
      <w:rPr>
        <w:rFonts w:ascii="Calibri" w:cs="Calibri" w:eastAsia="Calibri" w:hAnsi="Calibri"/>
        <w:color w:val="6E6858"/>
        <w:sz w:val="14"/>
        <w:szCs w:val="14"/>
      </w:rPr>
      <w:t xml:space="preserve"> von </w:t>
    </w:r>
    <w:r>
      <w:rPr>
        <w:rFonts w:ascii="Calibri" w:cs="Calibri" w:eastAsia="Calibri" w:hAnsi="Calibri"/>
        <w:b/>
        <w:bCs/>
        <w:color w:val="6E685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4"/>
      </w:pBdr>
      <w:spacing w:after="0" w:before="0"/>
    </w:pPr>
    <w:r>
      <w:rPr>
        <w:rFonts w:ascii="Georgia" w:cs="Georgia" w:eastAsia="Georgia" w:hAnsi="Georgia"/>
        <w:b/>
        <w:bCs/>
        <w:color w:val="1E3A5F"/>
        <w:spacing w:val="60"/>
        <w:sz w:val="18"/>
        <w:szCs w:val="18"/>
      </w:rPr>
      <w:t xml:space="preserve">AMAVIO  ·  LIVING</w:t>
    </w:r>
    <w:r>
      <w:rPr>
        <w:rFonts w:ascii="Calibri" w:cs="Calibri" w:eastAsia="Calibri" w:hAnsi="Calibri"/>
        <w:color w:val="6E6858"/>
        <w:spacing w:val="40"/>
        <w:sz w:val="14"/>
        <w:szCs w:val="14"/>
      </w:rPr>
      <w:t xml:space="preserve">     WORKFORCE HOUSING &amp; INTEGRATION</w:t>
    </w:r>
    <w:r>
      <w:rPr>
        <w:rFonts w:ascii="Calibri" w:cs="Calibri" w:eastAsia="Calibri" w:hAnsi="Calibri"/>
        <w:color w:val="C9A961"/>
        <w:spacing w:val="40"/>
        <w:sz w:val="14"/>
        <w:szCs w:val="14"/>
      </w:rPr>
      <w:t xml:space="preserve">                                          ANLAGE 2 · KPI-STEUERUNGSCOCKPIT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B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AMAVIO Anlage 2 - KPI-Steuerungscockpit v2.2</dc:title>
  <dc:creator>AMAVIO Holding UG</dc:creator>
  <cp:lastModifiedBy>Un-named</cp:lastModifiedBy>
  <cp:revision>1</cp:revision>
  <dcterms:created xsi:type="dcterms:W3CDTF">2026-07-28T20:45:36.426Z</dcterms:created>
  <dcterms:modified xsi:type="dcterms:W3CDTF">2026-07-28T20:45:36.428Z</dcterms:modified>
</cp:coreProperties>
</file>

<file path=docProps/custom.xml><?xml version="1.0" encoding="utf-8"?>
<Properties xmlns="http://schemas.openxmlformats.org/officeDocument/2006/custom-properties" xmlns:vt="http://schemas.openxmlformats.org/officeDocument/2006/docPropsVTypes"/>
</file>