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color="1E3A5F" w:val="solid"/>
            <w:tcMar>
              <w:top w:type="dxa" w:w="800"/>
              <w:left w:type="dxa" w:w="500"/>
              <w:bottom w:type="dxa" w:w="600"/>
              <w:right w:type="dxa" w:w="500"/>
            </w:tcMar>
          </w:tcPr>
          <w:p>
            <w:pPr>
              <w:spacing w:after="240"/>
            </w:pPr>
            <w:r>
              <w:rPr>
                <w:rFonts w:ascii="Georgia" w:cs="Georgia" w:eastAsia="Georgia" w:hAnsi="Georgia"/>
                <w:b/>
                <w:bCs/>
                <w:color w:val="C9A961"/>
                <w:sz w:val="18"/>
                <w:szCs w:val="18"/>
              </w:rPr>
              <w:t xml:space="preserve">━━</w:t>
            </w:r>
          </w:p>
          <w:p>
            <w:pPr>
              <w:spacing w:after="300"/>
            </w:pPr>
            <w:r>
              <w:rPr>
                <w:rFonts w:ascii="Calibri" w:cs="Calibri" w:eastAsia="Calibri" w:hAnsi="Calibri"/>
                <w:b/>
                <w:bCs/>
                <w:color w:val="C9A961"/>
                <w:spacing w:val="80"/>
                <w:sz w:val="18"/>
                <w:szCs w:val="18"/>
              </w:rPr>
              <w:t xml:space="preserve">AMAVIO LIVING · ANLAGENPAKET 2026 · ANLAGE 3</w:t>
            </w:r>
          </w:p>
          <w:p>
            <w:pPr>
              <w:spacing w:after="300" w:line="40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6"/>
                <w:szCs w:val="56"/>
              </w:rPr>
              <w:t xml:space="preserve">Executive Summary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56"/>
                <w:szCs w:val="56"/>
              </w:rPr>
              <w:t xml:space="preserve">&amp; Q&amp;A</w:t>
            </w:r>
          </w:p>
          <w:p>
            <w:pPr>
              <w:spacing w:after="200" w:line="320"/>
            </w:pPr>
            <w:r>
              <w:rPr>
                <w:rFonts w:ascii="Calibri" w:cs="Calibri" w:eastAsia="Calibri" w:hAnsi="Calibri"/>
                <w:color w:val="C7CFDD"/>
                <w:sz w:val="22"/>
                <w:szCs w:val="22"/>
              </w:rPr>
              <w:t xml:space="preserve">Fünf-Minuten-Entscheidungsvorlage für Bank, Förderstelle und strategische B2B-Partner.</w:t>
            </w:r>
          </w:p>
          <w:p>
            <w:pPr>
              <w:spacing w:before="400"/>
            </w:pPr>
            <w:r>
              <w:rPr>
                <w:rFonts w:ascii="Calibri" w:cs="Calibri" w:eastAsia="Calibri" w:hAnsi="Calibri"/>
                <w:color w:val="A0AAB8"/>
                <w:sz w:val="16"/>
                <w:szCs w:val="16"/>
              </w:rPr>
              <w:t xml:space="preserve">AMAVIO Holding UG (haftungsbeschränkt) · Düsseldorf · v2.2</w:t>
            </w:r>
          </w:p>
        </w:tc>
      </w:tr>
    </w:tbl>
    <w:p>
      <w:r>
        <w:br w:type="pag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9A961"/>
          <w:spacing w:val="60"/>
          <w:sz w:val="16"/>
          <w:szCs w:val="16"/>
        </w:rPr>
        <w:t xml:space="preserve">01 · KURZFASSUNG</w:t>
      </w:r>
    </w:p>
    <w:p>
      <w:pPr>
        <w:spacing w:after="160" w:before="240"/>
      </w:pPr>
      <w:r>
        <w:rPr>
          <w:rFonts w:ascii="Georgia" w:cs="Georgia" w:eastAsia="Georgia" w:hAnsi="Georgia"/>
          <w:b/>
          <w:bCs/>
          <w:color w:val="1E3A5F"/>
          <w:sz w:val="40"/>
          <w:szCs w:val="40"/>
        </w:rPr>
        <w:t xml:space="preserve">Die Entscheidung in fünf Minuten.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0F1B2E"/>
          <w:sz w:val="21"/>
          <w:szCs w:val="21"/>
        </w:rPr>
        <w:t xml:space="preserve">AMAVIO startet nicht als kapitalintensiver Bestandshalter, sondern als Projekt- und Implementierungspartner für Arbeitgeber mit internationalem Fachkräftebedarf. Der Markteintritt konzentriert sich auf konkrete, bezahlte Mandate und dokumentierbare Delivery. Eigene Anmietung oder Objektbetrieb sind nur eine spätere, separat freizugebende Option.</w:t>
      </w:r>
    </w:p>
    <w:p>
      <w:pPr>
        <w:pBdr>
          <w:bottom w:val="single" w:color="C9A961" w:sz="8" w:space="1"/>
        </w:pBdr>
        <w:spacing w:after="80" w:before="8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6E6858"/>
          <w:sz w:val="21"/>
          <w:szCs w:val="21"/>
        </w:rPr>
        <w:t xml:space="preserve">AMAVIO Living löst eine operative Lücke nach der Personalgewinnung: Wohnraumbeschaffung, Bezugsfertigkeit, Einzug und Stabilisierung werden als verantwortete B2B-Leistung organisiert. Das Dokument ergänzt den ausführlichen Businessplan; es ersetzt weder dessen Nachweise noch eine rechtliche oder steuerliche Einzelfallprüfung.</w:t>
      </w:r>
    </w:p>
    <w:p>
      <w:pPr>
        <w:spacing w:after="80" w:before="160"/>
      </w:pPr>
      <w:r>
        <w:rPr>
          <w:rFonts w:ascii="Georgia" w:cs="Georgia" w:eastAsia="Georgia" w:hAnsi="Georgia"/>
          <w:b/>
          <w:bCs/>
          <w:color w:val="1E3A5F"/>
          <w:sz w:val="20"/>
          <w:szCs w:val="20"/>
        </w:rPr>
        <w:t xml:space="preserve">Fünf Entscheidungsdimensionen im Überblick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7020"/>
      </w:tblGrid>
      <w:tr>
        <w:trPr>
          <w:tblHeader/>
        </w:trPr>
        <w:tc>
          <w:tcPr>
            <w:tcW w:type="pct" w:w="22%"/>
            <w:tcBorders>
              <w:top w:val="single" w:color="1E3A5F" w:sz="4"/>
              <w:left w:val="none" w:color="1E3A5F" w:sz="0"/>
              <w:bottom w:val="single" w:color="C9A961" w:sz="8"/>
              <w:right w:val="none" w:color="1E3A5F" w:sz="0"/>
            </w:tcBorders>
            <w:shd w:fill="1E3A5F" w:color="1E3A5F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Entscheidungsdimension</w:t>
            </w:r>
          </w:p>
        </w:tc>
        <w:tc>
          <w:tcPr>
            <w:tcW w:type="pct" w:w="78%"/>
            <w:tcBorders>
              <w:top w:val="single" w:color="1E3A5F" w:sz="4"/>
              <w:left w:val="none" w:color="1E3A5F" w:sz="0"/>
              <w:bottom w:val="single" w:color="C9A961" w:sz="8"/>
              <w:right w:val="none" w:color="1E3A5F" w:sz="0"/>
            </w:tcBorders>
            <w:shd w:fill="1E3A5F" w:color="1E3A5F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AMAVIO-Antwort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Problem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Arbeitgeber gewinnen Fachkräfte, verlieren jedoch Zeit und Planbarkeit an fragmentierte Wohnraum-, Möblierungs-, Einzugs- und Ankommensprozesse.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Lösung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Ein Verantwortlicher verbindet Bedarf, Objekt-/Partnerbeschaffung, Bezugsfertigkeit, Einzug, Orientierung und Reporting in klaren Projektphasen.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Kunde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Zunächst Krankenhäuser, Pflegeanbieter und Recruitingpartner in NRW mit wiederkehrendem internationalem Personalbedarf.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Erlösmodell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Projekt-, Setup- und laufende Office-Honorare. Miete, Kaution, Möbel, Handwerk, Genehmigungen und sonstige Fremdkosten werden getrennt beauftragt bzw. vorfinanziert.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Risikosteuerung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Keine langfristige Bindung ohne dokumentierte Finanzierung, rechtliche Einordnung, Kundenscope, Datenrollen und eigene Projekt-/Objektkalkulation.</w:t>
            </w:r>
          </w:p>
        </w:tc>
      </w:tr>
    </w:tbl>
    <w:p>
      <w:r>
        <w:br w:type="pag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9A961"/>
          <w:spacing w:val="60"/>
          <w:sz w:val="16"/>
          <w:szCs w:val="16"/>
        </w:rPr>
        <w:t xml:space="preserve">02 · GESCHÄFTSMODELL</w:t>
      </w:r>
    </w:p>
    <w:p>
      <w:pPr>
        <w:spacing w:after="160" w:before="240"/>
      </w:pPr>
      <w:r>
        <w:rPr>
          <w:rFonts w:ascii="Georgia" w:cs="Georgia" w:eastAsia="Georgia" w:hAnsi="Georgia"/>
          <w:b/>
          <w:bCs/>
          <w:color w:val="1E3A5F"/>
          <w:sz w:val="40"/>
          <w:szCs w:val="40"/>
        </w:rPr>
        <w:t xml:space="preserve">Markteintritt und Nachweislogik.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0F1B2E"/>
          <w:sz w:val="21"/>
          <w:szCs w:val="21"/>
        </w:rPr>
        <w:t xml:space="preserve">Der erste Auftrag ist bewusst klein genug definiert, um mit Gründerkapazität sicher geliefert zu werden. Die früheste Skalierung erfolgt über standardisierte Mandate, wiederkehrende Office-Leistungen und qualifizierte Partner – nicht über einen vorzeitigen Aufbau fixer Objekt- oder Personalkosten.</w:t>
      </w:r>
    </w:p>
    <w:p>
      <w:pPr>
        <w:spacing w:after="80" w:before="160"/>
      </w:pPr>
      <w:r>
        <w:rPr>
          <w:rFonts w:ascii="Georgia" w:cs="Georgia" w:eastAsia="Georgia" w:hAnsi="Georgia"/>
          <w:b/>
          <w:bCs/>
          <w:color w:val="1E3A5F"/>
          <w:sz w:val="20"/>
          <w:szCs w:val="20"/>
        </w:rPr>
        <w:t xml:space="preserve">Warum jetzt?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0F1B2E"/>
          <w:sz w:val="21"/>
          <w:szCs w:val="21"/>
        </w:rPr>
        <w:t xml:space="preserve">Pflege, Gesundheit und weitere Engpassbereiche rekrutieren international; gleichzeitig ist Wohnraum in Ballungsräumen knapp. AMAVIO behauptet nicht, dieses Strukturproblem allein zu lösen. Es schafft für einzelne Arbeitgeber eine steuerbare Umsetzungsinfrastruktur.</w:t>
      </w:r>
    </w:p>
    <w:p>
      <w:pPr>
        <w:spacing w:after="80" w:before="160"/>
      </w:pPr>
      <w:r>
        <w:rPr>
          <w:rFonts w:ascii="Georgia" w:cs="Georgia" w:eastAsia="Georgia" w:hAnsi="Georgia"/>
          <w:b/>
          <w:bCs/>
          <w:color w:val="1E3A5F"/>
          <w:sz w:val="20"/>
          <w:szCs w:val="20"/>
        </w:rPr>
        <w:t xml:space="preserve">Vier Stufen mit klarer Erlös- und Risikologik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700"/>
        <w:gridCol w:w="2340"/>
        <w:gridCol w:w="2520"/>
      </w:tblGrid>
      <w:tr>
        <w:trPr>
          <w:tblHeader/>
        </w:trPr>
        <w:tc>
          <w:tcPr>
            <w:tcW w:type="pct" w:w="16%"/>
            <w:tcBorders>
              <w:top w:val="single" w:color="1E3A5F" w:sz="4"/>
              <w:left w:val="none" w:color="1E3A5F" w:sz="0"/>
              <w:bottom w:val="single" w:color="C9A961" w:sz="8"/>
              <w:right w:val="none" w:color="1E3A5F" w:sz="0"/>
            </w:tcBorders>
            <w:shd w:fill="1E3A5F" w:color="1E3A5F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Stufe</w:t>
            </w:r>
          </w:p>
        </w:tc>
        <w:tc>
          <w:tcPr>
            <w:tcW w:type="pct" w:w="30%"/>
            <w:tcBorders>
              <w:top w:val="single" w:color="1E3A5F" w:sz="4"/>
              <w:left w:val="none" w:color="1E3A5F" w:sz="0"/>
              <w:bottom w:val="single" w:color="C9A961" w:sz="8"/>
              <w:right w:val="none" w:color="1E3A5F" w:sz="0"/>
            </w:tcBorders>
            <w:shd w:fill="1E3A5F" w:color="1E3A5F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Leistung</w:t>
            </w:r>
          </w:p>
        </w:tc>
        <w:tc>
          <w:tcPr>
            <w:tcW w:type="pct" w:w="26%"/>
            <w:tcBorders>
              <w:top w:val="single" w:color="1E3A5F" w:sz="4"/>
              <w:left w:val="none" w:color="1E3A5F" w:sz="0"/>
              <w:bottom w:val="single" w:color="C9A961" w:sz="8"/>
              <w:right w:val="none" w:color="1E3A5F" w:sz="0"/>
            </w:tcBorders>
            <w:shd w:fill="1E3A5F" w:color="1E3A5F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Erlös- und Risikologik</w:t>
            </w:r>
          </w:p>
        </w:tc>
        <w:tc>
          <w:tcPr>
            <w:tcW w:type="pct" w:w="28%"/>
            <w:tcBorders>
              <w:top w:val="single" w:color="1E3A5F" w:sz="4"/>
              <w:left w:val="none" w:color="1E3A5F" w:sz="0"/>
              <w:bottom w:val="single" w:color="C9A961" w:sz="8"/>
              <w:right w:val="none" w:color="1E3A5F" w:sz="0"/>
            </w:tcBorders>
            <w:shd w:fill="1E3A5F" w:color="1E3A5F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Nachweis vor nächster Stufe</w:t>
            </w:r>
          </w:p>
        </w:tc>
      </w:tr>
      <w:tr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1. Blueprint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Bedarf, Standort- und Wohnraumstrategie, Optionen, Business Case und Projektplan.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Festpreis; klare Entscheidungsvorlage, keine Objektgarantie.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Abnahme, Ist-/Plan-Nachkalkulation und Kundenfeedback.</w:t>
            </w:r>
          </w:p>
        </w:tc>
      </w:tr>
      <w:tr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2. Launch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Objekt-/Partnerkoordination, Bezugsfertigkeit, Einzug und Stabilisierung.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Meilensteinvergütung; Fremdkosten transparent getrennt.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Pünktliche Abnahme, Deckungsbeitrag, dokumentierte Wiederholbarkeit.</w:t>
            </w:r>
          </w:p>
        </w:tc>
      </w:tr>
      <w:tr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3. Housing &amp; Arrival Office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Definierte laufende Koordination, Reporting und Standardaufgaben.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Monatliche Grundgebühr plus klar bepreiste Mengentreiber.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Wiederkehrende Nachfrage, stabile Delivery und Daten-/Prozessqualität.</w:t>
            </w:r>
          </w:p>
        </w:tc>
      </w:tr>
      <w:tr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4. Selektiver Objektpilot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Eigene Anmietung bzw. Betreiberrolle – nicht Teil des Basiscase.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Separate Objektrechnung und Finanzierung; keine Quersubventionierung durch Servicehonorare.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Ankerkunden, rechtliche Freigabe, 20%-Leerstands-Stresscase, sechs Monate Reserve.</w:t>
            </w:r>
          </w:p>
        </w:tc>
      </w:tr>
    </w:tbl>
    <w:p>
      <w:r>
        <w:br w:type="pag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9A961"/>
          <w:spacing w:val="60"/>
          <w:sz w:val="16"/>
          <w:szCs w:val="16"/>
        </w:rPr>
        <w:t xml:space="preserve">03 · GRÜNDER- UND DELIVERY-FIT</w:t>
      </w:r>
    </w:p>
    <w:p>
      <w:pPr>
        <w:spacing w:after="160" w:before="240"/>
      </w:pPr>
      <w:r>
        <w:rPr>
          <w:rFonts w:ascii="Georgia" w:cs="Georgia" w:eastAsia="Georgia" w:hAnsi="Georgia"/>
          <w:b/>
          <w:bCs/>
          <w:color w:val="1E3A5F"/>
          <w:sz w:val="40"/>
          <w:szCs w:val="40"/>
        </w:rPr>
        <w:t xml:space="preserve">Warum die Startphase stark auf die Gründerkombination angewiesen ist.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0F1B2E"/>
          <w:sz w:val="21"/>
          <w:szCs w:val="21"/>
        </w:rPr>
        <w:t xml:space="preserve">Zaki Amawi verbindet Immobilienakquisition, B2B-Kundenarbeit, internationales Healthcare-Recruiting sowie praktische Projekt- und Wohnraumkoordination. Diese Kombination ist für die Startphase entscheidend: AMAVIO verkauft keine abstrakte Plattformidee, sondern verantwortet zunächst eine operativ anspruchsvolle Schnittstelle zwischen Arbeitgeber, Bewohnern, Eigentümern und Dienstleistern.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961" w:color="C9A961" w:val="solid"/>
          </w:tcPr>
          <w:p>
            <w:r>
              <w:t xml:space="preserve"/>
            </w:r>
          </w:p>
        </w:tc>
        <w:tc>
          <w:tcPr>
            <w:tcW w:type="pct" w:w="9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color="F4F1EA" w:val="solid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 w:line="320"/>
            </w:pPr>
            <w:r>
              <w:rPr>
                <w:rFonts w:ascii="Georgia" w:cs="Georgia" w:eastAsia="Georgia" w:hAnsi="Georgia"/>
                <w:color w:val="1E3A5F"/>
                <w:sz w:val="24"/>
                <w:szCs w:val="24"/>
              </w:rPr>
              <w:t xml:space="preserve">Der erste Marktbeweis ist kein Deck und keine Marktzahl – sondern ein bezahltes, abgenommenes Mandat mit dokumentierter Wiederholbarkeit.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6E6858"/>
                <w:spacing w:val="50"/>
                <w:sz w:val="16"/>
                <w:szCs w:val="16"/>
              </w:rPr>
              <w:t xml:space="preserve">AMAVIO STARTLOGIK</w:t>
            </w:r>
          </w:p>
        </w:tc>
      </w:tr>
    </w:tbl>
    <w:p>
      <w:r>
        <w:br w:type="pag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9A961"/>
          <w:spacing w:val="60"/>
          <w:sz w:val="16"/>
          <w:szCs w:val="16"/>
        </w:rPr>
        <w:t xml:space="preserve">04 · FINANZIELLE BASELINE</w:t>
      </w:r>
    </w:p>
    <w:p>
      <w:pPr>
        <w:spacing w:after="160" w:before="240"/>
      </w:pPr>
      <w:r>
        <w:rPr>
          <w:rFonts w:ascii="Georgia" w:cs="Georgia" w:eastAsia="Georgia" w:hAnsi="Georgia"/>
          <w:b/>
          <w:bCs/>
          <w:color w:val="1E3A5F"/>
          <w:sz w:val="40"/>
          <w:szCs w:val="40"/>
        </w:rPr>
        <w:t xml:space="preserve">Kapitalarme Baseline mit dokumentierter Kapitaldisziplin.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0F1B2E"/>
          <w:sz w:val="21"/>
          <w:szCs w:val="21"/>
        </w:rPr>
        <w:t xml:space="preserve">Die Finanzplanung bildet ausschließlich das kapitalarme Projekt- und Servicemodell. Sie enthält editierbare Annahmen, Vertragswerte, Zahlungsprofile, monatlichen Cashflow, P&amp;L, Szenarien und Modellchecks. Plan- und Live-Sicht sind getrennt.</w:t>
      </w:r>
    </w:p>
    <w:p>
      <w:pPr>
        <w:spacing w:after="80" w:before="160"/>
      </w:pPr>
      <w:r>
        <w:rPr>
          <w:rFonts w:ascii="Georgia" w:cs="Georgia" w:eastAsia="Georgia" w:hAnsi="Georgia"/>
          <w:b/>
          <w:bCs/>
          <w:color w:val="1E3A5F"/>
          <w:sz w:val="20"/>
          <w:szCs w:val="20"/>
        </w:rPr>
        <w:t xml:space="preserve">Base-Case in einem Blick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4"/>
            </w:tcBorders>
            <w:shd w:fill="1E3A5F" w:color="1E3A5F" w:val="solid"/>
            <w:tcMar>
              <w:top w:type="dxa" w:w="220"/>
              <w:left w:type="dxa" w:w="220"/>
              <w:bottom w:type="dxa" w:w="2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93.500 €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C9A961"/>
                <w:spacing w:val="60"/>
                <w:sz w:val="16"/>
                <w:szCs w:val="16"/>
              </w:rPr>
              <w:t xml:space="preserve">UMSATZ J1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C7CFDD"/>
                <w:sz w:val="16"/>
                <w:szCs w:val="16"/>
              </w:rPr>
              <w:t xml:space="preserve">Base Case · unter Gründerkapazität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4"/>
            </w:tcBorders>
            <w:shd w:fill="F4F1EA" w:color="F4F1EA" w:val="solid"/>
            <w:tcMar>
              <w:top w:type="dxa" w:w="220"/>
              <w:left w:type="dxa" w:w="220"/>
              <w:bottom w:type="dxa" w:w="2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1E3A5F"/>
                <w:sz w:val="40"/>
                <w:szCs w:val="40"/>
              </w:rPr>
              <w:t xml:space="preserve">269.000 €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C9A961"/>
                <w:spacing w:val="60"/>
                <w:sz w:val="16"/>
                <w:szCs w:val="16"/>
              </w:rPr>
              <w:t xml:space="preserve">UMSATZ J2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E6858"/>
                <w:sz w:val="16"/>
                <w:szCs w:val="16"/>
              </w:rPr>
              <w:t xml:space="preserve">Base Case · wiederholbare Delivery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color="1E3A5F" w:val="solid"/>
            <w:tcMar>
              <w:top w:type="dxa" w:w="220"/>
              <w:left w:type="dxa" w:w="220"/>
              <w:bottom w:type="dxa" w:w="2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442.000 €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C9A961"/>
                <w:spacing w:val="60"/>
                <w:sz w:val="16"/>
                <w:szCs w:val="16"/>
              </w:rPr>
              <w:t xml:space="preserve">UMSATZ J3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C7CFDD"/>
                <w:sz w:val="16"/>
                <w:szCs w:val="16"/>
              </w:rPr>
              <w:t xml:space="preserve">Base Case · Standardisierung</w:t>
            </w:r>
          </w:p>
        </w:tc>
      </w:tr>
    </w:tbl>
    <w:p>
      <w:pPr>
        <w:spacing w:after="60" w:before="120" w:line="320"/>
        <w:jc w:val="left"/>
      </w:pPr>
      <w:r>
        <w:rPr>
          <w:rFonts w:ascii="Calibri" w:cs="Calibri" w:eastAsia="Calibri" w:hAnsi="Calibri"/>
          <w:color w:val="0F1B2E"/>
          <w:sz w:val="21"/>
          <w:szCs w:val="21"/>
        </w:rPr>
        <w:t xml:space="preserve"> 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4"/>
            </w:tcBorders>
            <w:shd w:fill="1E3A5F" w:color="1E3A5F" w:val="solid"/>
            <w:tcMar>
              <w:top w:type="dxa" w:w="220"/>
              <w:left w:type="dxa" w:w="220"/>
              <w:bottom w:type="dxa" w:w="2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34.950 €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C9A961"/>
                <w:spacing w:val="60"/>
                <w:sz w:val="16"/>
                <w:szCs w:val="16"/>
              </w:rPr>
              <w:t xml:space="preserve">EBITDA J1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C7CFDD"/>
                <w:sz w:val="16"/>
                <w:szCs w:val="16"/>
              </w:rPr>
              <w:t xml:space="preserve">Base Case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4"/>
            </w:tcBorders>
            <w:shd w:fill="F4F1EA" w:color="F4F1EA" w:val="solid"/>
            <w:tcMar>
              <w:top w:type="dxa" w:w="220"/>
              <w:left w:type="dxa" w:w="220"/>
              <w:bottom w:type="dxa" w:w="2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1E3A5F"/>
                <w:sz w:val="40"/>
                <w:szCs w:val="40"/>
              </w:rPr>
              <w:t xml:space="preserve">120.320 €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C9A961"/>
                <w:spacing w:val="60"/>
                <w:sz w:val="16"/>
                <w:szCs w:val="16"/>
              </w:rPr>
              <w:t xml:space="preserve">EBITDA J2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E6858"/>
                <w:sz w:val="16"/>
                <w:szCs w:val="16"/>
              </w:rPr>
              <w:t xml:space="preserve">Base Case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color="1E3A5F" w:val="solid"/>
            <w:tcMar>
              <w:top w:type="dxa" w:w="220"/>
              <w:left w:type="dxa" w:w="220"/>
              <w:bottom w:type="dxa" w:w="2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169.300 €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C9A961"/>
                <w:spacing w:val="60"/>
                <w:sz w:val="16"/>
                <w:szCs w:val="16"/>
              </w:rPr>
              <w:t xml:space="preserve">EBITDA J3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C7CFDD"/>
                <w:sz w:val="16"/>
                <w:szCs w:val="16"/>
              </w:rPr>
              <w:t xml:space="preserve">Base Case</w:t>
            </w:r>
          </w:p>
        </w:tc>
      </w:tr>
    </w:tbl>
    <w:p>
      <w:pPr>
        <w:spacing w:after="80" w:before="160"/>
      </w:pPr>
      <w:r>
        <w:rPr>
          <w:rFonts w:ascii="Georgia" w:cs="Georgia" w:eastAsia="Georgia" w:hAnsi="Georgia"/>
          <w:b/>
          <w:bCs/>
          <w:color w:val="1E3A5F"/>
          <w:sz w:val="20"/>
          <w:szCs w:val="20"/>
        </w:rPr>
        <w:t xml:space="preserve">Alle Kernkennzahlen als Prüftabelle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1800"/>
      </w:tblGrid>
      <w:tr>
        <w:trPr>
          <w:tblHeader/>
        </w:trPr>
        <w:tc>
          <w:tcPr>
            <w:tcW w:type="pct" w:w="40%"/>
            <w:tcBorders>
              <w:top w:val="single" w:color="1E3A5F" w:sz="4"/>
              <w:left w:val="none" w:color="1E3A5F" w:sz="0"/>
              <w:bottom w:val="single" w:color="C9A961" w:sz="8"/>
              <w:right w:val="none" w:color="1E3A5F" w:sz="0"/>
            </w:tcBorders>
            <w:shd w:fill="1E3A5F" w:color="1E3A5F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Kennzahl</w:t>
            </w:r>
          </w:p>
        </w:tc>
        <w:tc>
          <w:tcPr>
            <w:tcW w:type="pct" w:w="20%"/>
            <w:tcBorders>
              <w:top w:val="single" w:color="1E3A5F" w:sz="4"/>
              <w:left w:val="none" w:color="1E3A5F" w:sz="0"/>
              <w:bottom w:val="single" w:color="C9A961" w:sz="8"/>
              <w:right w:val="none" w:color="1E3A5F" w:sz="0"/>
            </w:tcBorders>
            <w:shd w:fill="1E3A5F" w:color="1E3A5F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Planjahr 1</w:t>
            </w:r>
          </w:p>
        </w:tc>
        <w:tc>
          <w:tcPr>
            <w:tcW w:type="pct" w:w="20%"/>
            <w:tcBorders>
              <w:top w:val="single" w:color="1E3A5F" w:sz="4"/>
              <w:left w:val="none" w:color="1E3A5F" w:sz="0"/>
              <w:bottom w:val="single" w:color="C9A961" w:sz="8"/>
              <w:right w:val="none" w:color="1E3A5F" w:sz="0"/>
            </w:tcBorders>
            <w:shd w:fill="1E3A5F" w:color="1E3A5F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Planjahr 2</w:t>
            </w:r>
          </w:p>
        </w:tc>
        <w:tc>
          <w:tcPr>
            <w:tcW w:type="pct" w:w="20%"/>
            <w:tcBorders>
              <w:top w:val="single" w:color="1E3A5F" w:sz="4"/>
              <w:left w:val="none" w:color="1E3A5F" w:sz="0"/>
              <w:bottom w:val="single" w:color="C9A961" w:sz="8"/>
              <w:right w:val="none" w:color="1E3A5F" w:sz="0"/>
            </w:tcBorders>
            <w:shd w:fill="1E3A5F" w:color="1E3A5F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Planjahr 3</w:t>
            </w:r>
          </w:p>
        </w:tc>
      </w:tr>
      <w:tr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Netto-Serviceumsatz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93.500 €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269.000 €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442.000 €</w:t>
            </w:r>
          </w:p>
        </w:tc>
      </w:tr>
      <w:tr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EBITDA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34.950 €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120.320 €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169.300 €</w:t>
            </w:r>
          </w:p>
        </w:tc>
      </w:tr>
      <w:tr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Ergebnis vor Steuern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32.950 €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117.320 €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164.300 €</w:t>
            </w:r>
          </w:p>
        </w:tc>
      </w:tr>
      <w:tr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Planergebnis nach 30%-Steuerreserve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23.065 €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82.124 €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115.010 €</w:t>
            </w:r>
          </w:p>
        </w:tc>
      </w:tr>
      <w:tr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Direkte externe Kostenquote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10 %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12 %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15 %</w:t>
            </w:r>
          </w:p>
        </w:tc>
      </w:tr>
      <w:tr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Geplanter Geschäftsführerbezug brutto / Monat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2.500 €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3.500 €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5.000 €</w:t>
            </w:r>
          </w:p>
        </w:tc>
      </w:tr>
    </w:tbl>
    <w:p>
      <w:r>
        <w:br w:type="pag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9A961"/>
          <w:spacing w:val="60"/>
          <w:sz w:val="16"/>
          <w:szCs w:val="16"/>
        </w:rPr>
        <w:t xml:space="preserve">05 · KAPITAL &amp; RISIKO</w:t>
      </w:r>
    </w:p>
    <w:p>
      <w:pPr>
        <w:spacing w:after="160" w:before="240"/>
      </w:pPr>
      <w:r>
        <w:rPr>
          <w:rFonts w:ascii="Georgia" w:cs="Georgia" w:eastAsia="Georgia" w:hAnsi="Georgia"/>
          <w:b/>
          <w:bCs/>
          <w:color w:val="1E3A5F"/>
          <w:sz w:val="40"/>
          <w:szCs w:val="40"/>
        </w:rPr>
        <w:t xml:space="preserve">Kapital- und Risikopunkte im Klartext.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0F1B2E"/>
          <w:sz w:val="21"/>
          <w:szCs w:val="21"/>
        </w:rPr>
        <w:t xml:space="preserve">Die Antworten sind bewusst präzise: Sie unterscheiden dokumentierte Fakten, Planannahmen und noch offene Freigaben. Das stärkt die Prüfbarkeit stärker als überzogene Zusagen.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7020"/>
      </w:tblGrid>
      <w:tr>
        <w:trPr>
          <w:tblHeader/>
        </w:trPr>
        <w:tc>
          <w:tcPr>
            <w:tcW w:type="pct" w:w="22%"/>
            <w:tcBorders>
              <w:top w:val="single" w:color="1E3A5F" w:sz="4"/>
              <w:left w:val="none" w:color="1E3A5F" w:sz="0"/>
              <w:bottom w:val="single" w:color="C9A961" w:sz="8"/>
              <w:right w:val="none" w:color="1E3A5F" w:sz="0"/>
            </w:tcBorders>
            <w:shd w:fill="1E3A5F" w:color="1E3A5F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Kapital-/Risikopunkt</w:t>
            </w:r>
          </w:p>
        </w:tc>
        <w:tc>
          <w:tcPr>
            <w:tcW w:type="pct" w:w="78%"/>
            <w:tcBorders>
              <w:top w:val="single" w:color="1E3A5F" w:sz="4"/>
              <w:left w:val="none" w:color="1E3A5F" w:sz="0"/>
              <w:bottom w:val="single" w:color="C9A961" w:sz="8"/>
              <w:right w:val="none" w:color="1E3A5F" w:sz="0"/>
            </w:tcBorders>
            <w:shd w:fill="1E3A5F" w:color="1E3A5F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Status / Aussage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Startkapitalbedarf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25.000 €: 10.200 € unmittelbar anlaufende Aufwendungen und Arbeitsmittel sowie 14.800 € Betriebsmittel- und Risikoreserve. Der Betrag ist kein Objekt-CAPEX-Budget. Der Launch-Preis bleibt davon getrennt bei 29.500 € netto zzgl. Fremdkosten.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Startfinanzierung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25.000 € Planrahmen inklusive 500 € Stammkapital. Der dokumentierte Mittelzufluss steht im Modell derzeit auf 0 €; Live-Freigabe bleibt deshalb „CONDITIONAL". Die verbleibenden Mittel müssen als Eigenkapitalzuführung oder dokumentiertes Gesellschafterdarlehen nachgewiesen werden.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Downside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45 % der Base-Case-Umsätze; fixe Kosten bleiben konservativ bestehen. Das Ergebnis wäre negativ. Bei &lt;60 % des rollierenden Drei-Monats-Base-Case oder unter freier Mindestliquidität greift ein Ausgaben-, Personal- und Objektbindungsstopp.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Wachstumsannahme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269.000 € bzw. 442.000 € setzen bezahlte, delegierbare Delivery, Projektkoordination und dokumentierte Standardisierung voraus; ohne diese Belege wird der Umsatzpfad reduziert.</w:t>
            </w:r>
          </w:p>
        </w:tc>
      </w:tr>
    </w:tbl>
    <w:p>
      <w:r>
        <w:br w:type="pag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9A961"/>
          <w:spacing w:val="60"/>
          <w:sz w:val="16"/>
          <w:szCs w:val="16"/>
        </w:rPr>
        <w:t xml:space="preserve">06 · Q&amp;A</w:t>
      </w:r>
    </w:p>
    <w:p>
      <w:pPr>
        <w:spacing w:after="160" w:before="240"/>
      </w:pPr>
      <w:r>
        <w:rPr>
          <w:rFonts w:ascii="Georgia" w:cs="Georgia" w:eastAsia="Georgia" w:hAnsi="Georgia"/>
          <w:b/>
          <w:bCs/>
          <w:color w:val="1E3A5F"/>
          <w:sz w:val="40"/>
          <w:szCs w:val="40"/>
        </w:rPr>
        <w:t xml:space="preserve">Kritische Fragen und belastbare Antworten.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0F1B2E"/>
          <w:sz w:val="21"/>
          <w:szCs w:val="21"/>
        </w:rPr>
        <w:t xml:space="preserve">Jede Antwort trennt dokumentierte Fakten, Planannahmen und offene Gates.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pct" w:w="30%"/>
            <w:tcBorders>
              <w:top w:val="single" w:color="1E3A5F" w:sz="4"/>
              <w:left w:val="none" w:color="1E3A5F" w:sz="0"/>
              <w:bottom w:val="single" w:color="C9A961" w:sz="8"/>
              <w:right w:val="none" w:color="1E3A5F" w:sz="0"/>
            </w:tcBorders>
            <w:shd w:fill="1E3A5F" w:color="1E3A5F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Frage</w:t>
            </w:r>
          </w:p>
        </w:tc>
        <w:tc>
          <w:tcPr>
            <w:tcW w:type="pct" w:w="70%"/>
            <w:tcBorders>
              <w:top w:val="single" w:color="1E3A5F" w:sz="4"/>
              <w:left w:val="none" w:color="1E3A5F" w:sz="0"/>
              <w:bottom w:val="single" w:color="C9A961" w:sz="8"/>
              <w:right w:val="none" w:color="1E3A5F" w:sz="0"/>
            </w:tcBorders>
            <w:shd w:fill="1E3A5F" w:color="1E3A5F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8"/>
                <w:szCs w:val="18"/>
              </w:rPr>
              <w:t xml:space="preserve">Antwort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Warum braucht ein Arbeitgeber AMAVIO statt eines Maklers oder einer internen HR-Rolle?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AMAVIO verbindet Bedarf, Beschaffung, Bezugsfertigkeit, Einzug und Stabilisierung in einem verantworteten Projektprozess. Die Leistung umfasst nicht nur die Wohnungssuche; sie entlastet mehrere interne und externe Schnittstellen. Rechtlich regulierte Vermittlung wird nur nach geklärter § 34c-Einordnung oder über passende Partner erbracht.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Wie ist Nachfrage belegt?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Der Businessplan belegt strukturelle Nachfrage nach Fachkräfte- und Beschäftigtenwohnen. Individuelle Umsätze werden jedoch erst nach qualifizierter Pipeline, Angebot, LOI oder Vertrag als belastbar behandelt. Der erste Marktbeweis ist ein bezahltes, abgenommenes Mandat – nicht eine allgemeine Marktzahl.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Wofür werden 25.000 € Startfinanzierung benötigt?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Für die professionelle Vertriebs-, Vertrags-, System- und Delivery-Basis sowie Liquiditätsreserve. Das Basismodell übernimmt keine Mieten, Kautionen, Möbel oder Umbaukosten für Kunden. Die Mittel dürfen nicht als Ersatz für eine separate Objektfinanzierung verwendet werden.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Ist die Finanzierung bereits gesichert?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Der Planrahmen beträgt 25.000 €. Laut Finanzmodell ist der dokumentierte Mittelzufluss noch nicht erfasst; der operative Modellstatus ist deshalb CONDITIONAL. Vor Verpflichtungen werden Banknachweis und rechtlich/steuerlich passende Einbringungsdokumente benötigt.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Warum ist die Umsatzplanung plausibel?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Planjahr 1 ist mit 93.500 € unter der rechnerischen Gründerkapazität von 117.000–126.000 € bei 130–140 fakturierbaren Tagen. Die operative Planung begrenzt J1 auf 102 fakturierbare Tage. Folgejahre sind kein Automatismus; sie sind an Kapazitäts- und Personalgates gebunden.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Was passiert, wenn Umsatz oder Einzahlungen verzögert sind?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Der Downside rechnet mit 45 % Umsatz bei unveränderten Fixkosten. Bei Unterschreitung der festgelegten Umsatz- oder Liquiditätsschwelle werden Neueinstellungen, Eigenentwicklung und Objektbindung gestoppt und innerhalb von zehn Arbeitstagen Umsatz, Kosten, Gründerbezug und Kapazität neu geplant.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Warum kein eigener Objektbestand im Start?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Eigene Anmietung oder Betrieb schaffen Miet-, Leerstands-, Kautions-, CAPEX- und Nutzungsrisiken. AMAVIO will diese Risiken erst bei Ankerkunden, zulässiger Nutzung, separater Objektkalkulation, positiver Stressrechnung und Reserve eingehen.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0"/>
                <w:szCs w:val="20"/>
              </w:rPr>
              <w:t xml:space="preserve">Ist ein Gründungszuschuss fest eingeplant?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CE9E3" w:sz="2"/>
              <w:right w:val="none" w:color="FFFFFF" w:sz="0"/>
            </w:tcBorders>
            <w:shd w:fill="F5F5F2" w:color="F5F5F2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B2E"/>
                <w:sz w:val="19"/>
                <w:szCs w:val="19"/>
              </w:rPr>
              <w:t xml:space="preserve">Nein. Er wird weder als Umsatz noch als sicherer Mittelzufluss verbucht. Eine positive Tragfähigkeitsbescheinigung ist eine separate Voraussetzung bzw. Prüfung durch eine fachkundige Stelle; der Businessplan ersetzt sie nicht.</w:t>
            </w:r>
          </w:p>
        </w:tc>
      </w:tr>
    </w:tbl>
    <w:p>
      <w:r>
        <w:br w:type="pag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9A961"/>
          <w:spacing w:val="60"/>
          <w:sz w:val="16"/>
          <w:szCs w:val="16"/>
        </w:rPr>
        <w:t xml:space="preserve">07 · ENTSCHEIDUNGSBITTE</w:t>
      </w:r>
    </w:p>
    <w:p>
      <w:pPr>
        <w:spacing w:after="160" w:before="240"/>
      </w:pPr>
      <w:r>
        <w:rPr>
          <w:rFonts w:ascii="Georgia" w:cs="Georgia" w:eastAsia="Georgia" w:hAnsi="Georgia"/>
          <w:b/>
          <w:bCs/>
          <w:color w:val="1E3A5F"/>
          <w:sz w:val="40"/>
          <w:szCs w:val="40"/>
        </w:rPr>
        <w:t xml:space="preserve">Der nächste sinnvolle Schritt.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961" w:color="C9A961" w:val="solid"/>
          </w:tcPr>
          <w:p>
            <w:r>
              <w:t xml:space="preserve"/>
            </w:r>
          </w:p>
        </w:tc>
        <w:tc>
          <w:tcPr>
            <w:tcW w:type="pct" w:w="9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color="F4F1EA" w:val="solid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 w:line="320"/>
            </w:pPr>
            <w:r>
              <w:rPr>
                <w:rFonts w:ascii="Georgia" w:cs="Georgia" w:eastAsia="Georgia" w:hAnsi="Georgia"/>
                <w:color w:val="1E3A5F"/>
                <w:sz w:val="24"/>
                <w:szCs w:val="24"/>
              </w:rPr>
              <w:t xml:space="preserve">Der nächste sinnvolle Schritt ist keine offene Kapital- oder Objektzusage, sondern die Prüfung der Startreife anhand des Datenraum-Index: Mittelzufluss dokumentieren, Rechts-/Datenschutz-/Vertragsrollen freigeben, qualifizierte Pipeline führen und ein erstes klar begrenztes Mandat zum Abschluss bringen.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6E6858"/>
                <w:spacing w:val="50"/>
                <w:sz w:val="16"/>
                <w:szCs w:val="16"/>
              </w:rPr>
              <w:t xml:space="preserve">AMAVIO NEXT STEP · v2.2</w:t>
            </w:r>
          </w:p>
        </w:tc>
      </w:tr>
    </w:tbl>
    <w:p>
      <w:pPr>
        <w:spacing w:after="80" w:before="200" w:line="320"/>
        <w:jc w:val="left"/>
      </w:pPr>
      <w:r>
        <w:rPr>
          <w:rFonts w:ascii="Calibri" w:cs="Calibri" w:eastAsia="Calibri" w:hAnsi="Calibri"/>
          <w:color w:val="0F1B2E"/>
          <w:sz w:val="21"/>
          <w:szCs w:val="21"/>
        </w:rPr>
        <w:t xml:space="preserve"> 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9A961" w:sz="8"/>
              <w:left w:val="none" w:color="FFFFFF" w:sz="0"/>
              <w:bottom w:val="single" w:color="ECE9E3" w:sz="4"/>
              <w:right w:val="single" w:color="FFFFFF" w:sz="4"/>
            </w:tcBorders>
            <w:shd w:fill="F4F1EA" w:color="F4F1EA" w:val="solid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C9A961"/>
                <w:sz w:val="36"/>
                <w:szCs w:val="36"/>
              </w:rPr>
              <w:t xml:space="preserve">01</w:t>
            </w:r>
          </w:p>
          <w:p>
            <w:pPr>
              <w:spacing w:after="80" w:before="40" w:line="260"/>
            </w:pPr>
            <w:r>
              <w:rPr>
                <w:rFonts w:ascii="Georgia" w:cs="Georgia" w:eastAsia="Georgia" w:hAnsi="Georgia"/>
                <w:b/>
                <w:bCs/>
                <w:color w:val="1E3A5F"/>
                <w:sz w:val="22"/>
                <w:szCs w:val="22"/>
              </w:rPr>
              <w:t xml:space="preserve">Mittelzufluss</w:t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F1B2E"/>
                <w:sz w:val="18"/>
                <w:szCs w:val="18"/>
              </w:rPr>
              <w:t xml:space="preserve">Bankbeleg + Gesellschafterbeschluss dokumentieren.</w:t>
            </w:r>
          </w:p>
        </w:tc>
        <w:tc>
          <w:tcPr>
            <w:tcW w:type="pct" w:w="25%"/>
            <w:tcBorders>
              <w:top w:val="single" w:color="C9A961" w:sz="8"/>
              <w:left w:val="none" w:color="FFFFFF" w:sz="0"/>
              <w:bottom w:val="single" w:color="ECE9E3" w:sz="4"/>
              <w:right w:val="single" w:color="FFFFFF" w:sz="4"/>
            </w:tcBorders>
            <w:shd w:fill="F4F1EA" w:color="F4F1EA" w:val="solid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C9A961"/>
                <w:sz w:val="36"/>
                <w:szCs w:val="36"/>
              </w:rPr>
              <w:t xml:space="preserve">02</w:t>
            </w:r>
          </w:p>
          <w:p>
            <w:pPr>
              <w:spacing w:after="80" w:before="40" w:line="260"/>
            </w:pPr>
            <w:r>
              <w:rPr>
                <w:rFonts w:ascii="Georgia" w:cs="Georgia" w:eastAsia="Georgia" w:hAnsi="Georgia"/>
                <w:b/>
                <w:bCs/>
                <w:color w:val="1E3A5F"/>
                <w:sz w:val="22"/>
                <w:szCs w:val="22"/>
              </w:rPr>
              <w:t xml:space="preserve">Rechte &amp; DSGVO</w:t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F1B2E"/>
                <w:sz w:val="18"/>
                <w:szCs w:val="18"/>
              </w:rPr>
              <w:t xml:space="preserve">§ 34c-Rolle, Datenrollen, Verträge freigeben.</w:t>
            </w:r>
          </w:p>
        </w:tc>
        <w:tc>
          <w:tcPr>
            <w:tcW w:type="pct" w:w="25%"/>
            <w:tcBorders>
              <w:top w:val="single" w:color="C9A961" w:sz="8"/>
              <w:left w:val="none" w:color="FFFFFF" w:sz="0"/>
              <w:bottom w:val="single" w:color="ECE9E3" w:sz="4"/>
              <w:right w:val="single" w:color="FFFFFF" w:sz="4"/>
            </w:tcBorders>
            <w:shd w:fill="F4F1EA" w:color="F4F1EA" w:val="solid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C9A961"/>
                <w:sz w:val="36"/>
                <w:szCs w:val="36"/>
              </w:rPr>
              <w:t xml:space="preserve">03</w:t>
            </w:r>
          </w:p>
          <w:p>
            <w:pPr>
              <w:spacing w:after="80" w:before="40" w:line="260"/>
            </w:pPr>
            <w:r>
              <w:rPr>
                <w:rFonts w:ascii="Georgia" w:cs="Georgia" w:eastAsia="Georgia" w:hAnsi="Georgia"/>
                <w:b/>
                <w:bCs/>
                <w:color w:val="1E3A5F"/>
                <w:sz w:val="22"/>
                <w:szCs w:val="22"/>
              </w:rPr>
              <w:t xml:space="preserve">Pipeline</w:t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F1B2E"/>
                <w:sz w:val="18"/>
                <w:szCs w:val="18"/>
              </w:rPr>
              <w:t xml:space="preserve">Qualifizierte B2B-Kontakte führen und pflegen.</w:t>
            </w:r>
          </w:p>
        </w:tc>
        <w:tc>
          <w:tcPr>
            <w:tcW w:type="pct" w:w="25%"/>
            <w:tcBorders>
              <w:top w:val="single" w:color="C9A961" w:sz="8"/>
              <w:left w:val="none" w:color="FFFFFF" w:sz="0"/>
              <w:bottom w:val="single" w:color="ECE9E3" w:sz="4"/>
              <w:right w:val="none" w:color="FFFFFF" w:sz="0"/>
            </w:tcBorders>
            <w:shd w:fill="F4F1EA" w:color="F4F1EA" w:val="solid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C9A961"/>
                <w:sz w:val="36"/>
                <w:szCs w:val="36"/>
              </w:rPr>
              <w:t xml:space="preserve">04</w:t>
            </w:r>
          </w:p>
          <w:p>
            <w:pPr>
              <w:spacing w:after="80" w:before="40" w:line="260"/>
            </w:pPr>
            <w:r>
              <w:rPr>
                <w:rFonts w:ascii="Georgia" w:cs="Georgia" w:eastAsia="Georgia" w:hAnsi="Georgia"/>
                <w:b/>
                <w:bCs/>
                <w:color w:val="1E3A5F"/>
                <w:sz w:val="22"/>
                <w:szCs w:val="22"/>
              </w:rPr>
              <w:t xml:space="preserve">Mandat</w:t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F1B2E"/>
                <w:sz w:val="18"/>
                <w:szCs w:val="18"/>
              </w:rPr>
              <w:t xml:space="preserve">Ein begrenztes, bezahltes Mandat zum Abschluss bringen.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bri" w:cs="Calibri" w:eastAsia="Calibri" w:hAnsi="Calibri"/>
        <w:color w:val="6E6858"/>
        <w:sz w:val="14"/>
        <w:szCs w:val="14"/>
      </w:rPr>
      <w:t xml:space="preserve">AMAVIO Holding UG (haftungsbeschränkt) · Düsseldorf · v2.2</w:t>
    </w:r>
    <w:r>
      <w:rPr>
        <w:rFonts w:ascii="Calibri" w:cs="Calibri" w:eastAsia="Calibri" w:hAnsi="Calibri"/>
        <w:color w:val="6E6858"/>
        <w:sz w:val="14"/>
        <w:szCs w:val="14"/>
      </w:rPr>
      <w:t xml:space="preserve">                                                                                                                        Seite </w:t>
    </w:r>
    <w:r>
      <w:rPr>
        <w:rFonts w:ascii="Calibri" w:cs="Calibri" w:eastAsia="Calibri" w:hAnsi="Calibri"/>
        <w:b/>
        <w:bCs/>
        <w:color w:val="6E685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E6858"/>
        <w:sz w:val="14"/>
        <w:szCs w:val="14"/>
      </w:rPr>
      <w:t xml:space="preserve"> von </w:t>
    </w:r>
    <w:r>
      <w:rPr>
        <w:rFonts w:ascii="Calibri" w:cs="Calibri" w:eastAsia="Calibri" w:hAnsi="Calibri"/>
        <w:b/>
        <w:bCs/>
        <w:color w:val="6E685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961" w:sz="6" w:space="4"/>
      </w:pBdr>
      <w:spacing w:after="0" w:before="0"/>
    </w:pPr>
    <w:r>
      <w:rPr>
        <w:rFonts w:ascii="Georgia" w:cs="Georgia" w:eastAsia="Georgia" w:hAnsi="Georgia"/>
        <w:b/>
        <w:bCs/>
        <w:color w:val="1E3A5F"/>
        <w:spacing w:val="60"/>
        <w:sz w:val="18"/>
        <w:szCs w:val="18"/>
      </w:rPr>
      <w:t xml:space="preserve">AMAVIO  ·  LIVING</w:t>
    </w:r>
    <w:r>
      <w:rPr>
        <w:rFonts w:ascii="Calibri" w:cs="Calibri" w:eastAsia="Calibri" w:hAnsi="Calibri"/>
        <w:color w:val="6E6858"/>
        <w:spacing w:val="40"/>
        <w:sz w:val="14"/>
        <w:szCs w:val="14"/>
      </w:rPr>
      <w:t xml:space="preserve">     WORKFORCE HOUSING &amp; INTEGRATION</w:t>
    </w:r>
    <w:r>
      <w:rPr>
        <w:rFonts w:ascii="Calibri" w:cs="Calibri" w:eastAsia="Calibri" w:hAnsi="Calibri"/>
        <w:color w:val="C9A961"/>
        <w:spacing w:val="40"/>
        <w:sz w:val="14"/>
        <w:szCs w:val="14"/>
      </w:rPr>
      <w:t xml:space="preserve">                                          ANLAGE 3 · EXECUTIVE SUMMARY &amp; Q&amp;A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B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AMAVIO Anlage 3 - Executive Summary &amp; Q&amp;A v2.2</dc:title>
  <dc:creator>AMAVIO Holding UG</dc:creator>
  <cp:lastModifiedBy>Un-named</cp:lastModifiedBy>
  <cp:revision>1</cp:revision>
  <dcterms:created xsi:type="dcterms:W3CDTF">2026-07-28T20:45:36.880Z</dcterms:created>
  <dcterms:modified xsi:type="dcterms:W3CDTF">2026-07-28T20:45:36.881Z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