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1E3A5F" w:color="1E3A5F" w:val="solid"/>
            <w:tcMar>
              <w:top w:type="dxa" w:w="800"/>
              <w:left w:type="dxa" w:w="500"/>
              <w:bottom w:type="dxa" w:w="600"/>
              <w:right w:type="dxa" w:w="500"/>
            </w:tcMar>
          </w:tcPr>
          <w:p>
            <w:pPr>
              <w:spacing w:after="240"/>
            </w:pPr>
            <w:r>
              <w:rPr>
                <w:rFonts w:ascii="Georgia" w:cs="Georgia" w:eastAsia="Georgia" w:hAnsi="Georgia"/>
                <w:b/>
                <w:bCs/>
                <w:color w:val="C9A961"/>
                <w:sz w:val="18"/>
                <w:szCs w:val="18"/>
              </w:rPr>
              <w:t xml:space="preserve">━━</w:t>
            </w:r>
          </w:p>
          <w:p>
            <w:pPr>
              <w:spacing w:after="300"/>
            </w:pPr>
            <w:r>
              <w:rPr>
                <w:rFonts w:ascii="Calibri" w:cs="Calibri" w:eastAsia="Calibri" w:hAnsi="Calibri"/>
                <w:b/>
                <w:bCs/>
                <w:color w:val="C9A961"/>
                <w:spacing w:val="80"/>
                <w:sz w:val="18"/>
                <w:szCs w:val="18"/>
              </w:rPr>
              <w:t xml:space="preserve">AMAVIO · EINREICHUNGS- UND NACHWEISPAKET · VERTRAULICH</w:t>
            </w:r>
          </w:p>
          <w:p>
            <w:pPr>
              <w:spacing w:after="300" w:line="400"/>
            </w:pPr>
            <w:r>
              <w:rPr>
                <w:rFonts w:ascii="Georgia" w:cs="Georgia" w:eastAsia="Georgia" w:hAnsi="Georgia"/>
                <w:b/>
                <w:bCs/>
                <w:color w:val="FFFFFF"/>
                <w:sz w:val="56"/>
                <w:szCs w:val="56"/>
              </w:rPr>
              <w:t xml:space="preserve">Anlagen- &amp;</w:t>
            </w:r>
            <w:r>
              <w:br/>
            </w:r>
            <w:r>
              <w:rPr>
                <w:rFonts w:ascii="Georgia" w:cs="Georgia" w:eastAsia="Georgia" w:hAnsi="Georgia"/>
                <w:b/>
                <w:bCs/>
                <w:color w:val="FFFFFF"/>
                <w:sz w:val="56"/>
                <w:szCs w:val="56"/>
              </w:rPr>
              <w:t xml:space="preserve">Nachweispaket.</w:t>
            </w:r>
          </w:p>
          <w:p>
            <w:pPr>
              <w:spacing w:after="200" w:line="320"/>
            </w:pPr>
            <w:r>
              <w:rPr>
                <w:rFonts w:ascii="Calibri" w:cs="Calibri" w:eastAsia="Calibri" w:hAnsi="Calibri"/>
                <w:color w:val="C7CFDD"/>
                <w:sz w:val="22"/>
                <w:szCs w:val="22"/>
              </w:rPr>
              <w:t xml:space="preserve">Gründungschronologie · Qualifikationsportfolio · Tätigkeitsabgrenzung · Einreichungsregister.</w:t>
            </w:r>
          </w:p>
          <w:p>
            <w:pPr>
              <w:spacing w:before="400"/>
            </w:pPr>
            <w:r>
              <w:rPr>
                <w:rFonts w:ascii="Calibri" w:cs="Calibri" w:eastAsia="Calibri" w:hAnsi="Calibri"/>
                <w:color w:val="A0AAB8"/>
                <w:sz w:val="16"/>
                <w:szCs w:val="16"/>
              </w:rPr>
              <w:t xml:space="preserve">AMAVIO Holding UG · Zaki Amawi · Stand: 28. Juli 2026 · v2.2</w:t>
            </w:r>
          </w:p>
        </w:tc>
      </w:tr>
    </w:tbl>
    <w:p>
      <w:r>
        <w:br w:type="page"/>
      </w:r>
    </w:p>
    <w:p>
      <w:pPr>
        <w:spacing w:after="40" w:before="120"/>
      </w:pPr>
      <w:r>
        <w:rPr>
          <w:rFonts w:ascii="Calibri" w:cs="Calibri" w:eastAsia="Calibri" w:hAnsi="Calibri"/>
          <w:b/>
          <w:bCs/>
          <w:color w:val="C9A961"/>
          <w:spacing w:val="60"/>
          <w:sz w:val="16"/>
          <w:szCs w:val="16"/>
        </w:rPr>
        <w:t xml:space="preserve">DOKUMENTZWECK</w:t>
      </w:r>
    </w:p>
    <w:p>
      <w:pPr>
        <w:spacing w:after="160" w:before="240"/>
      </w:pPr>
      <w:r>
        <w:rPr>
          <w:rFonts w:ascii="Georgia" w:cs="Georgia" w:eastAsia="Georgia" w:hAnsi="Georgia"/>
          <w:b/>
          <w:bCs/>
          <w:color w:val="1E3A5F"/>
          <w:sz w:val="40"/>
          <w:szCs w:val="40"/>
        </w:rPr>
        <w:t xml:space="preserve">Was dieses Paket leistet – und was nicht.</w:t>
      </w:r>
    </w:p>
    <w:p>
      <w:pPr>
        <w:spacing w:after="80" w:before="80" w:line="320"/>
        <w:jc w:val="left"/>
      </w:pPr>
      <w:r>
        <w:rPr>
          <w:rFonts w:ascii="Calibri" w:cs="Calibri" w:eastAsia="Calibri" w:hAnsi="Calibri"/>
          <w:color w:val="0F1B2E"/>
          <w:sz w:val="21"/>
          <w:szCs w:val="21"/>
        </w:rPr>
        <w:t xml:space="preserve">Dieses Paket schließt die persönlichen, organisatorischen und gewerberechtlichen Nachweise des Businessplans. Kapitalnachweis und LOI gelten nach Gründerangabe als vorhanden; ihre inhaltliche Prüfung wurde auf ausdrücklichen Wunsch übersprungen und ist nicht Gegenstand dieses Dokuments.</w:t>
      </w:r>
    </w:p>
    <w:p>
      <w:pPr>
        <w:spacing w:after="80" w:before="160"/>
      </w:pPr>
      <w:r>
        <w:rPr>
          <w:rFonts w:ascii="Georgia" w:cs="Georgia" w:eastAsia="Georgia" w:hAnsi="Georgia"/>
          <w:b/>
          <w:bCs/>
          <w:color w:val="1E3A5F"/>
          <w:sz w:val="20"/>
          <w:szCs w:val="20"/>
        </w:rPr>
        <w:t xml:space="preserve">Inhalts- und Entscheidungsübersicht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0"/>
        <w:gridCol w:w="3060"/>
        <w:gridCol w:w="5220"/>
      </w:tblGrid>
      <w:tr>
        <w:trPr>
          <w:tblHeader/>
        </w:trPr>
        <w:tc>
          <w:tcPr>
            <w:tcW w:type="pct" w:w="8%"/>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Teil</w:t>
            </w:r>
          </w:p>
        </w:tc>
        <w:tc>
          <w:tcPr>
            <w:tcW w:type="pct" w:w="34%"/>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Prüffeld</w:t>
            </w:r>
          </w:p>
        </w:tc>
        <w:tc>
          <w:tcPr>
            <w:tcW w:type="pct" w:w="58%"/>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Leitfrage</w:t>
            </w:r>
          </w:p>
        </w:tc>
      </w:tr>
      <w:tr>
        <w:tc>
          <w:tcPr>
            <w:tcW w:type="pct" w:w="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1</w:t>
            </w:r>
          </w:p>
        </w:tc>
        <w:tc>
          <w:tcPr>
            <w:tcW w:type="pct" w:w="34%"/>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Einreichungsstatus und Restpunkte</w:t>
            </w:r>
          </w:p>
        </w:tc>
        <w:tc>
          <w:tcPr>
            <w:tcW w:type="pct" w:w="5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Was ist fertig, was muss nur noch nachgetragen werden?</w:t>
            </w:r>
          </w:p>
        </w:tc>
      </w:tr>
      <w:tr>
        <w:tc>
          <w:tcPr>
            <w:tcW w:type="pct" w:w="8%"/>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2</w:t>
            </w:r>
          </w:p>
        </w:tc>
        <w:tc>
          <w:tcPr>
            <w:tcW w:type="pct" w:w="34%"/>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Gründungschronologie</w:t>
            </w:r>
          </w:p>
        </w:tc>
        <w:tc>
          <w:tcPr>
            <w:tcW w:type="pct" w:w="58%"/>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Wie werden Gründung, Arbeitslosigkeit und hauptberuflicher Start abgegrenzt?</w:t>
            </w:r>
          </w:p>
        </w:tc>
      </w:tr>
      <w:tr>
        <w:tc>
          <w:tcPr>
            <w:tcW w:type="pct" w:w="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3</w:t>
            </w:r>
          </w:p>
        </w:tc>
        <w:tc>
          <w:tcPr>
            <w:tcW w:type="pct" w:w="34%"/>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Qualifikations- und Erfahrungsportfolio</w:t>
            </w:r>
          </w:p>
        </w:tc>
        <w:tc>
          <w:tcPr>
            <w:tcW w:type="pct" w:w="5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Warum ist Zaki Amawi fachlich und unternehmerisch geeignet?</w:t>
            </w:r>
          </w:p>
        </w:tc>
      </w:tr>
      <w:tr>
        <w:tc>
          <w:tcPr>
            <w:tcW w:type="pct" w:w="8%"/>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4</w:t>
            </w:r>
          </w:p>
        </w:tc>
        <w:tc>
          <w:tcPr>
            <w:tcW w:type="pct" w:w="34%"/>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Tätigkeitsabgrenzung</w:t>
            </w:r>
          </w:p>
        </w:tc>
        <w:tc>
          <w:tcPr>
            <w:tcW w:type="pct" w:w="58%"/>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Wie bleibt AMAVIO Projektentwickler statt klassischer Makler?</w:t>
            </w:r>
          </w:p>
        </w:tc>
      </w:tr>
      <w:tr>
        <w:tc>
          <w:tcPr>
            <w:tcW w:type="pct" w:w="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5</w:t>
            </w:r>
          </w:p>
        </w:tc>
        <w:tc>
          <w:tcPr>
            <w:tcW w:type="pct" w:w="34%"/>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Anlagen- und Empfängerregister</w:t>
            </w:r>
          </w:p>
        </w:tc>
        <w:tc>
          <w:tcPr>
            <w:tcW w:type="pct" w:w="5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Welche Unterlage erhält welche Stelle?</w:t>
            </w:r>
          </w:p>
        </w:tc>
      </w:tr>
      <w:tr>
        <w:tc>
          <w:tcPr>
            <w:tcW w:type="pct" w:w="8%"/>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6</w:t>
            </w:r>
          </w:p>
        </w:tc>
        <w:tc>
          <w:tcPr>
            <w:tcW w:type="pct" w:w="34%"/>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Gesamtprüfung und Einreichungsfreigabe</w:t>
            </w:r>
          </w:p>
        </w:tc>
        <w:tc>
          <w:tcPr>
            <w:tcW w:type="pct" w:w="58%"/>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Welche Bedingungen gelten vor dem Versand?</w:t>
            </w:r>
          </w:p>
        </w:tc>
      </w:tr>
    </w:tbl>
    <w:p>
      <w:r>
        <w:br w:type="page"/>
      </w:r>
    </w:p>
    <w:p>
      <w:pPr>
        <w:spacing w:after="40" w:before="120"/>
      </w:pPr>
      <w:r>
        <w:rPr>
          <w:rFonts w:ascii="Calibri" w:cs="Calibri" w:eastAsia="Calibri" w:hAnsi="Calibri"/>
          <w:b/>
          <w:bCs/>
          <w:color w:val="C9A961"/>
          <w:spacing w:val="60"/>
          <w:sz w:val="16"/>
          <w:szCs w:val="16"/>
        </w:rPr>
        <w:t xml:space="preserve">01 · EINREICHUNGSSTATUS</w:t>
      </w:r>
    </w:p>
    <w:p>
      <w:pPr>
        <w:spacing w:after="160" w:before="240"/>
      </w:pPr>
      <w:r>
        <w:rPr>
          <w:rFonts w:ascii="Georgia" w:cs="Georgia" w:eastAsia="Georgia" w:hAnsi="Georgia"/>
          <w:b/>
          <w:bCs/>
          <w:color w:val="1E3A5F"/>
          <w:sz w:val="40"/>
          <w:szCs w:val="40"/>
        </w:rPr>
        <w:t xml:space="preserve">Was fertig ist. Was noch fehlt.</w:t>
      </w:r>
    </w:p>
    <w:p>
      <w:pPr>
        <w:spacing w:after="80" w:before="80" w:line="320"/>
        <w:jc w:val="left"/>
      </w:pPr>
      <w:r>
        <w:rPr>
          <w:rFonts w:ascii="Calibri" w:cs="Calibri" w:eastAsia="Calibri" w:hAnsi="Calibri"/>
          <w:color w:val="0F1B2E"/>
          <w:sz w:val="21"/>
          <w:szCs w:val="21"/>
        </w:rPr>
        <w:t xml:space="preserve">Der Businessplan, das 36-Monats-Finanzmodell, der Executive-Gründerlebenslauf und die private Bedarfsrechnung liegen in konsistenten Fassungen vor. Die Einreichungslogik trennt persönliche Lebenshaltung, Unternehmensliquidität, Förderleistungen und spätere Objektinvestitionen. Kapitalnachweis und LOI werden in das Register aufgenommen, aber nicht bewertet.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40"/>
        <w:gridCol w:w="2340"/>
        <w:gridCol w:w="3420"/>
      </w:tblGrid>
      <w:tr>
        <w:trPr>
          <w:tblHeader/>
        </w:trPr>
        <w:tc>
          <w:tcPr>
            <w:tcW w:type="pct" w:w="36%"/>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Unterlage / Punkt</w:t>
            </w:r>
          </w:p>
        </w:tc>
        <w:tc>
          <w:tcPr>
            <w:tcW w:type="pct" w:w="26%"/>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Status</w:t>
            </w:r>
          </w:p>
        </w:tc>
        <w:tc>
          <w:tcPr>
            <w:tcW w:type="pct" w:w="38%"/>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Konsequenz</w:t>
            </w:r>
          </w:p>
        </w:tc>
      </w:tr>
      <w:tr>
        <w:tc>
          <w:tcPr>
            <w:tcW w:type="pct" w:w="3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Businessplan Master 2026</w:t>
            </w:r>
          </w:p>
        </w:tc>
        <w:tc>
          <w:tcPr>
            <w:tcW w:type="pct" w:w="2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fertig</w:t>
            </w:r>
          </w:p>
        </w:tc>
        <w:tc>
          <w:tcPr>
            <w:tcW w:type="pct" w:w="3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inhaltlich und visuell geprüft (v2.2)</w:t>
            </w:r>
          </w:p>
        </w:tc>
      </w:tr>
      <w:tr>
        <w:tc>
          <w:tcPr>
            <w:tcW w:type="pct" w:w="3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Finanzmodell Version 1.8</w:t>
            </w:r>
          </w:p>
        </w:tc>
        <w:tc>
          <w:tcPr>
            <w:tcW w:type="pct" w:w="2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fertig</w:t>
            </w:r>
          </w:p>
        </w:tc>
        <w:tc>
          <w:tcPr>
            <w:tcW w:type="pct" w:w="38%"/>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36 Monate, Szenarien, Privatbedarf, Modellstatus PASS (recalc, cache)</w:t>
            </w:r>
          </w:p>
        </w:tc>
      </w:tr>
      <w:tr>
        <w:tc>
          <w:tcPr>
            <w:tcW w:type="pct" w:w="3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Executive-Gründerlebenslauf</w:t>
            </w:r>
          </w:p>
        </w:tc>
        <w:tc>
          <w:tcPr>
            <w:tcW w:type="pct" w:w="2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fertig</w:t>
            </w:r>
          </w:p>
        </w:tc>
        <w:tc>
          <w:tcPr>
            <w:tcW w:type="pct" w:w="3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kein Bachelor; starke, belastbare Key Facts</w:t>
            </w:r>
          </w:p>
        </w:tc>
      </w:tr>
      <w:tr>
        <w:tc>
          <w:tcPr>
            <w:tcW w:type="pct" w:w="3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Private Bedarfsrechnung</w:t>
            </w:r>
          </w:p>
        </w:tc>
        <w:tc>
          <w:tcPr>
            <w:tcW w:type="pct" w:w="2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fertig</w:t>
            </w:r>
          </w:p>
        </w:tc>
        <w:tc>
          <w:tcPr>
            <w:tcW w:type="pct" w:w="38%"/>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2.048,33 EUR empfohlener Monatsbedarf</w:t>
            </w:r>
          </w:p>
        </w:tc>
      </w:tr>
      <w:tr>
        <w:tc>
          <w:tcPr>
            <w:tcW w:type="pct" w:w="3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Gründungschronologie</w:t>
            </w:r>
          </w:p>
        </w:tc>
        <w:tc>
          <w:tcPr>
            <w:tcW w:type="pct" w:w="2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fertig in diesem Paket</w:t>
            </w:r>
          </w:p>
        </w:tc>
        <w:tc>
          <w:tcPr>
            <w:tcW w:type="pct" w:w="3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Startdatum der Hauptberuflichkeit noch einzutragen</w:t>
            </w:r>
          </w:p>
        </w:tc>
      </w:tr>
      <w:tr>
        <w:tc>
          <w:tcPr>
            <w:tcW w:type="pct" w:w="3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Qualifikationsnachweise</w:t>
            </w:r>
          </w:p>
        </w:tc>
        <w:tc>
          <w:tcPr>
            <w:tcW w:type="pct" w:w="2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als vorhanden unterstellt</w:t>
            </w:r>
          </w:p>
        </w:tc>
        <w:tc>
          <w:tcPr>
            <w:tcW w:type="pct" w:w="38%"/>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Zeugnisse/Zertifikate beifügen</w:t>
            </w:r>
          </w:p>
        </w:tc>
      </w:tr>
      <w:tr>
        <w:tc>
          <w:tcPr>
            <w:tcW w:type="pct" w:w="3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Kapitalnachweis</w:t>
            </w:r>
          </w:p>
        </w:tc>
        <w:tc>
          <w:tcPr>
            <w:tcW w:type="pct" w:w="2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vorhanden</w:t>
            </w:r>
          </w:p>
        </w:tc>
        <w:tc>
          <w:tcPr>
            <w:tcW w:type="pct" w:w="3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Prüfung übersprungen</w:t>
            </w:r>
          </w:p>
        </w:tc>
      </w:tr>
      <w:tr>
        <w:tc>
          <w:tcPr>
            <w:tcW w:type="pct" w:w="3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LOI</w:t>
            </w:r>
          </w:p>
        </w:tc>
        <w:tc>
          <w:tcPr>
            <w:tcW w:type="pct" w:w="2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vorhanden</w:t>
            </w:r>
          </w:p>
        </w:tc>
        <w:tc>
          <w:tcPr>
            <w:tcW w:type="pct" w:w="38%"/>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Prüfung übersprungen</w:t>
            </w:r>
          </w:p>
        </w:tc>
      </w:tr>
      <w:tr>
        <w:tc>
          <w:tcPr>
            <w:tcW w:type="pct" w:w="3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BA-Antrag / GZ 04</w:t>
            </w:r>
          </w:p>
        </w:tc>
        <w:tc>
          <w:tcPr>
            <w:tcW w:type="pct" w:w="2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offen</w:t>
            </w:r>
          </w:p>
        </w:tc>
        <w:tc>
          <w:tcPr>
            <w:tcW w:type="pct" w:w="3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amtliche Formulare personalisieren und unterschreiben</w:t>
            </w:r>
          </w:p>
        </w:tc>
      </w:tr>
      <w:tr>
        <w:tc>
          <w:tcPr>
            <w:tcW w:type="pct" w:w="3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Leistungshöhe / KV-PV-Beitrag</w:t>
            </w:r>
          </w:p>
        </w:tc>
        <w:tc>
          <w:tcPr>
            <w:tcW w:type="pct" w:w="2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offen</w:t>
            </w:r>
          </w:p>
        </w:tc>
        <w:tc>
          <w:tcPr>
            <w:tcW w:type="pct" w:w="38%"/>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in Privatbedarf nachtragen</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
            <w:tcBorders>
              <w:top w:val="none" w:color="FFFFFF" w:sz="0"/>
              <w:left w:val="none" w:color="FFFFFF" w:sz="0"/>
              <w:bottom w:val="none" w:color="FFFFFF" w:sz="0"/>
              <w:right w:val="none" w:color="FFFFFF" w:sz="0"/>
            </w:tcBorders>
            <w:shd w:fill="C9A961" w:color="C9A961" w:val="solid"/>
          </w:tcPr>
          <w:p>
            <w:r>
              <w:t xml:space="preserve"/>
            </w:r>
          </w:p>
        </w:tc>
        <w:tc>
          <w:tcPr>
            <w:tcW w:type="pct" w:w="97%"/>
            <w:tcBorders>
              <w:top w:val="none" w:color="FFFFFF" w:sz="0"/>
              <w:left w:val="none" w:color="FFFFFF" w:sz="0"/>
              <w:bottom w:val="none" w:color="FFFFFF" w:sz="0"/>
              <w:right w:val="none" w:color="FFFFFF" w:sz="0"/>
            </w:tcBorders>
            <w:shd w:fill="F4F1EA" w:color="F4F1EA" w:val="solid"/>
            <w:tcMar>
              <w:top w:type="dxa" w:w="200"/>
              <w:left w:type="dxa" w:w="300"/>
              <w:bottom w:type="dxa" w:w="200"/>
              <w:right w:type="dxa" w:w="300"/>
            </w:tcMar>
          </w:tcPr>
          <w:p>
            <w:pPr>
              <w:spacing w:after="60" w:before="0" w:line="320"/>
            </w:pPr>
            <w:r>
              <w:rPr>
                <w:rFonts w:ascii="Georgia" w:cs="Georgia" w:eastAsia="Georgia" w:hAnsi="Georgia"/>
                <w:color w:val="1E3A5F"/>
                <w:sz w:val="24"/>
                <w:szCs w:val="24"/>
              </w:rPr>
              <w:t xml:space="preserve">Ein „fertig" bestätigt Inhalt und Form. Ein „vorhanden" bestätigt nur die Gründerangabe. Kapitalnachweis und LOI erhalten deshalb keinen Prüfvermerk und keine Aussage zu Vollständigkeit, Gültigkeit, Bindungswirkung oder Vertraulichkeit.</w:t>
            </w:r>
          </w:p>
          <w:p>
            <w:pPr>
              <w:spacing w:after="0" w:before="40"/>
            </w:pPr>
            <w:r>
              <w:rPr>
                <w:rFonts w:ascii="Calibri" w:cs="Calibri" w:eastAsia="Calibri" w:hAnsi="Calibri"/>
                <w:b/>
                <w:bCs/>
                <w:color w:val="6E6858"/>
                <w:spacing w:val="50"/>
                <w:sz w:val="16"/>
                <w:szCs w:val="16"/>
              </w:rPr>
              <w:t xml:space="preserve">FREIGABELOGIK</w:t>
            </w:r>
          </w:p>
        </w:tc>
      </w:tr>
    </w:tbl>
    <w:p>
      <w:r>
        <w:br w:type="page"/>
      </w:r>
    </w:p>
    <w:p>
      <w:pPr>
        <w:spacing w:after="40" w:before="120"/>
      </w:pPr>
      <w:r>
        <w:rPr>
          <w:rFonts w:ascii="Calibri" w:cs="Calibri" w:eastAsia="Calibri" w:hAnsi="Calibri"/>
          <w:b/>
          <w:bCs/>
          <w:color w:val="C9A961"/>
          <w:spacing w:val="60"/>
          <w:sz w:val="16"/>
          <w:szCs w:val="16"/>
        </w:rPr>
        <w:t xml:space="preserve">02 · GRÜNDUNGSCHRONOLOGIE</w:t>
      </w:r>
    </w:p>
    <w:p>
      <w:pPr>
        <w:spacing w:after="160" w:before="240"/>
      </w:pPr>
      <w:r>
        <w:rPr>
          <w:rFonts w:ascii="Georgia" w:cs="Georgia" w:eastAsia="Georgia" w:hAnsi="Georgia"/>
          <w:b/>
          <w:bCs/>
          <w:color w:val="1E3A5F"/>
          <w:sz w:val="40"/>
          <w:szCs w:val="40"/>
        </w:rPr>
        <w:t xml:space="preserve">Chronologie mit klaren Abgrenzungen.</w:t>
      </w:r>
    </w:p>
    <w:p>
      <w:pPr>
        <w:spacing w:after="80" w:before="80" w:line="320"/>
        <w:jc w:val="left"/>
      </w:pPr>
      <w:r>
        <w:rPr>
          <w:rFonts w:ascii="Calibri" w:cs="Calibri" w:eastAsia="Calibri" w:hAnsi="Calibri"/>
          <w:color w:val="0F1B2E"/>
          <w:sz w:val="21"/>
          <w:szCs w:val="21"/>
        </w:rPr>
        <w:t xml:space="preserve">Die Chronologie soll nachvollziehbar zeigen, dass gesellschaftsrechtliche Vorbereitung, Handelsregistereintragung und die förderrechtlich relevante Aufnahme einer hauptberuflichen Selbstständigkeit nicht automatisch dasselbe Ereignis sind. Entscheidend bleiben die tatsächlichen Umstände, insbesondere Zeitumfang, operative Tätigkeit und Einnahmen. Nach Angaben der Bundesagentur gilt eine Selbstständigkeit für den Gründungszuschuss als hauptberuflich, wenn sie mindestens 15 Stunden wöchentlich umfasst; das konkrete Startdatum ist mit der Vermittlungsfachkraft abzustimmen.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4320"/>
      </w:tblGrid>
      <w:tr>
        <w:trPr>
          <w:tblHeader/>
        </w:trPr>
        <w:tc>
          <w:tcPr>
            <w:tcW w:type="pct" w:w="20%"/>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Zeitpunkt</w:t>
            </w:r>
          </w:p>
        </w:tc>
        <w:tc>
          <w:tcPr>
            <w:tcW w:type="pct" w:w="32%"/>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Ereignis</w:t>
            </w:r>
          </w:p>
        </w:tc>
        <w:tc>
          <w:tcPr>
            <w:tcW w:type="pct" w:w="48%"/>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Einordnung</w:t>
            </w:r>
          </w:p>
        </w:tc>
      </w:tr>
      <w:tr>
        <w:tc>
          <w:tcPr>
            <w:tcW w:type="pct" w:w="20%"/>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bis Juni 2026</w:t>
            </w:r>
          </w:p>
        </w:tc>
        <w:tc>
          <w:tcPr>
            <w:tcW w:type="pct" w:w="32%"/>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Beschäftigung bei TERN</w:t>
            </w:r>
          </w:p>
        </w:tc>
        <w:tc>
          <w:tcPr>
            <w:tcW w:type="pct" w:w="4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laufendes Arbeitsverhältnis; Unternehmensidee und Vorbereitung im Übergang</w:t>
            </w:r>
          </w:p>
        </w:tc>
      </w:tr>
      <w:tr>
        <w:tc>
          <w:tcPr>
            <w:tcW w:type="pct" w:w="20%"/>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16.06.2026</w:t>
            </w:r>
          </w:p>
        </w:tc>
        <w:tc>
          <w:tcPr>
            <w:tcW w:type="pct" w:w="32%"/>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Erster Termin Agentur für Arbeit</w:t>
            </w:r>
          </w:p>
        </w:tc>
        <w:tc>
          <w:tcPr>
            <w:tcW w:type="pct" w:w="48%"/>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frühzeitiger Kontakt und berufliche Orientierung</w:t>
            </w:r>
          </w:p>
        </w:tc>
      </w:tr>
      <w:tr>
        <w:tc>
          <w:tcPr>
            <w:tcW w:type="pct" w:w="20%"/>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30.06.2026</w:t>
            </w:r>
          </w:p>
        </w:tc>
        <w:tc>
          <w:tcPr>
            <w:tcW w:type="pct" w:w="32%"/>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Ende des Arbeitsverhältnisses</w:t>
            </w:r>
          </w:p>
        </w:tc>
        <w:tc>
          <w:tcPr>
            <w:tcW w:type="pct" w:w="4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einvernehmliche Beendigung vor wirtschaftlichem Hintergrund und Neuorientierung</w:t>
            </w:r>
          </w:p>
        </w:tc>
      </w:tr>
      <w:tr>
        <w:tc>
          <w:tcPr>
            <w:tcW w:type="pct" w:w="20%"/>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02.07.2026</w:t>
            </w:r>
          </w:p>
        </w:tc>
        <w:tc>
          <w:tcPr>
            <w:tcW w:type="pct" w:w="32%"/>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Handelsregistereintragung AMAVIO</w:t>
            </w:r>
          </w:p>
        </w:tc>
        <w:tc>
          <w:tcPr>
            <w:tcW w:type="pct" w:w="48%"/>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rechtliche Existenz der UG; kein automatisch festgelegter Förderbeginn</w:t>
            </w:r>
          </w:p>
        </w:tc>
      </w:tr>
      <w:tr>
        <w:tc>
          <w:tcPr>
            <w:tcW w:type="pct" w:w="20%"/>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09.07.2026</w:t>
            </w:r>
          </w:p>
        </w:tc>
        <w:tc>
          <w:tcPr>
            <w:tcW w:type="pct" w:w="32%"/>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Beratungsgespräch Agentur für Arbeit</w:t>
            </w:r>
          </w:p>
        </w:tc>
        <w:tc>
          <w:tcPr>
            <w:tcW w:type="pct" w:w="4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Selbstständigkeitsabsicht und Gründungszuschuss thematisiert</w:t>
            </w:r>
          </w:p>
        </w:tc>
      </w:tr>
      <w:tr>
        <w:tc>
          <w:tcPr>
            <w:tcW w:type="pct" w:w="20%"/>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Juli 2026</w:t>
            </w:r>
          </w:p>
        </w:tc>
        <w:tc>
          <w:tcPr>
            <w:tcW w:type="pct" w:w="32%"/>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Startklar- und Nachweisphase</w:t>
            </w:r>
          </w:p>
        </w:tc>
        <w:tc>
          <w:tcPr>
            <w:tcW w:type="pct" w:w="48%"/>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Businessplan, Finanzmodell, CV, Partner- und Angebotsstruktur</w:t>
            </w:r>
          </w:p>
        </w:tc>
      </w:tr>
      <w:tr>
        <w:tc>
          <w:tcPr>
            <w:tcW w:type="pct" w:w="20%"/>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25.07.2026</w:t>
            </w:r>
          </w:p>
        </w:tc>
        <w:tc>
          <w:tcPr>
            <w:tcW w:type="pct" w:w="32%"/>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Private Bedarfsrechnung</w:t>
            </w:r>
          </w:p>
        </w:tc>
        <w:tc>
          <w:tcPr>
            <w:tcW w:type="pct" w:w="4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Lebenshaltung und soziale Sicherung vollständig separat geplant</w:t>
            </w:r>
          </w:p>
        </w:tc>
      </w:tr>
      <w:tr>
        <w:tc>
          <w:tcPr>
            <w:tcW w:type="pct" w:w="20%"/>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Aug.–Sep. 2026</w:t>
            </w:r>
          </w:p>
        </w:tc>
        <w:tc>
          <w:tcPr>
            <w:tcW w:type="pct" w:w="32%"/>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geplante Startklar-Phase</w:t>
            </w:r>
          </w:p>
        </w:tc>
        <w:tc>
          <w:tcPr>
            <w:tcW w:type="pct" w:w="48%"/>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im Basiscase 0 EUR Umsatz; keine vorweggenommene Objektbindung</w:t>
            </w:r>
          </w:p>
        </w:tc>
      </w:tr>
      <w:tr>
        <w:tc>
          <w:tcPr>
            <w:tcW w:type="pct" w:w="20%"/>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frühestens Okt. 2026</w:t>
            </w:r>
          </w:p>
        </w:tc>
        <w:tc>
          <w:tcPr>
            <w:tcW w:type="pct" w:w="32%"/>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erste geplante Meilensteinzahlung</w:t>
            </w:r>
          </w:p>
        </w:tc>
        <w:tc>
          <w:tcPr>
            <w:tcW w:type="pct" w:w="4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nur nach Auftrag und vertraglich vereinbarter Zahlung</w:t>
            </w:r>
          </w:p>
        </w:tc>
      </w:tr>
      <w:tr>
        <w:tc>
          <w:tcPr>
            <w:tcW w:type="pct" w:w="20%"/>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einzutragen</w:t>
            </w:r>
          </w:p>
        </w:tc>
        <w:tc>
          <w:tcPr>
            <w:tcW w:type="pct" w:w="32%"/>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hauptberufliche Aufnahme</w:t>
            </w:r>
          </w:p>
        </w:tc>
        <w:tc>
          <w:tcPr>
            <w:tcW w:type="pct" w:w="48%"/>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verbindliches Datum mit Agentur abstimmen; nicht rückwirkend erfinden</w:t>
            </w:r>
          </w:p>
        </w:tc>
      </w:tr>
    </w:tbl>
    <w:p>
      <w:pPr>
        <w:spacing w:after="80" w:before="160"/>
      </w:pPr>
      <w:r>
        <w:rPr>
          <w:rFonts w:ascii="Georgia" w:cs="Georgia" w:eastAsia="Georgia" w:hAnsi="Georgia"/>
          <w:b/>
          <w:bCs/>
          <w:color w:val="1E3A5F"/>
          <w:sz w:val="20"/>
          <w:szCs w:val="20"/>
        </w:rPr>
        <w:t xml:space="preserve">2.1 Sachliche Erklärung zur bereits gegründeten UG</w:t>
      </w:r>
    </w:p>
    <w:p>
      <w:pPr>
        <w:spacing w:after="80" w:before="80" w:line="320"/>
        <w:jc w:val="left"/>
      </w:pPr>
      <w:r>
        <w:rPr>
          <w:rFonts w:ascii="Calibri" w:cs="Calibri" w:eastAsia="Calibri" w:hAnsi="Calibri"/>
          <w:color w:val="0F1B2E"/>
          <w:sz w:val="21"/>
          <w:szCs w:val="21"/>
        </w:rPr>
        <w:t xml:space="preserve">Die Gesellschaft wurde im Zuge der beruflichen Neuorientierung rechtlich vorbereitet und am 2. Juli 2026 in das Handelsregister eingetragen. Die frühe Gründung diente der Herstellung einer belastbaren Rechts-, Vertrags- und Planungsgrundlage. Der Basiscase sieht für August und September 2026 keine Umsätze vor. Operative Kundenmandate beginnen erst nach geklärtem Leistungsumfang, Vertragsabschluss und Meilensteinzahlung. Aus der Registereintragung allein wird deshalb in dieser Chronologie kein Datum der hauptberuflichen Tätigkeitsaufnahme abgeleitet.</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
            <w:tcBorders>
              <w:top w:val="none" w:color="FFFFFF" w:sz="0"/>
              <w:left w:val="none" w:color="FFFFFF" w:sz="0"/>
              <w:bottom w:val="none" w:color="FFFFFF" w:sz="0"/>
              <w:right w:val="none" w:color="FFFFFF" w:sz="0"/>
            </w:tcBorders>
            <w:shd w:fill="C9A961" w:color="C9A961" w:val="solid"/>
          </w:tcPr>
          <w:p>
            <w:r>
              <w:t xml:space="preserve"/>
            </w:r>
          </w:p>
        </w:tc>
        <w:tc>
          <w:tcPr>
            <w:tcW w:type="pct" w:w="97%"/>
            <w:tcBorders>
              <w:top w:val="none" w:color="FFFFFF" w:sz="0"/>
              <w:left w:val="none" w:color="FFFFFF" w:sz="0"/>
              <w:bottom w:val="none" w:color="FFFFFF" w:sz="0"/>
              <w:right w:val="none" w:color="FFFFFF" w:sz="0"/>
            </w:tcBorders>
            <w:shd w:fill="F4F1EA" w:color="F4F1EA" w:val="solid"/>
            <w:tcMar>
              <w:top w:type="dxa" w:w="200"/>
              <w:left w:type="dxa" w:w="300"/>
              <w:bottom w:type="dxa" w:w="200"/>
              <w:right w:type="dxa" w:w="300"/>
            </w:tcMar>
          </w:tcPr>
          <w:p>
            <w:pPr>
              <w:spacing w:after="60" w:before="0" w:line="320"/>
            </w:pPr>
            <w:r>
              <w:rPr>
                <w:rFonts w:ascii="Georgia" w:cs="Georgia" w:eastAsia="Georgia" w:hAnsi="Georgia"/>
                <w:color w:val="1E3A5F"/>
                <w:sz w:val="24"/>
                <w:szCs w:val="24"/>
              </w:rPr>
              <w:t xml:space="preserve">Gegenüber der Agentur werden tatsächliche Stunden, Tätigkeiten, Rechnungen und Einnahmen vollständig und wahrheitsgemäß angegeben. Die Chronologie ist keine Feststellung des Leistungsanspruchs. Das konkrete Startdatum muss vor Einreichung mit der zuständigen Vermittlungsfachkraft dokumentiert werden.</w:t>
            </w:r>
          </w:p>
          <w:p>
            <w:pPr>
              <w:spacing w:after="0" w:before="40"/>
            </w:pPr>
            <w:r>
              <w:rPr>
                <w:rFonts w:ascii="Calibri" w:cs="Calibri" w:eastAsia="Calibri" w:hAnsi="Calibri"/>
                <w:b/>
                <w:bCs/>
                <w:color w:val="6E6858"/>
                <w:spacing w:val="50"/>
                <w:sz w:val="16"/>
                <w:szCs w:val="16"/>
              </w:rPr>
              <w:t xml:space="preserve">WAHRHEITS- UND ABSTIMMUNGSREGEL</w:t>
            </w:r>
          </w:p>
        </w:tc>
      </w:tr>
    </w:tbl>
    <w:p>
      <w:pPr>
        <w:spacing w:after="80" w:before="160"/>
      </w:pPr>
      <w:r>
        <w:rPr>
          <w:rFonts w:ascii="Georgia" w:cs="Georgia" w:eastAsia="Georgia" w:hAnsi="Georgia"/>
          <w:b/>
          <w:bCs/>
          <w:color w:val="1E3A5F"/>
          <w:sz w:val="20"/>
          <w:szCs w:val="20"/>
        </w:rPr>
        <w:t xml:space="preserve">2.2 Formulierung für eine ergänzende Erklärung</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
            <w:tcBorders>
              <w:top w:val="none" w:color="FFFFFF" w:sz="0"/>
              <w:left w:val="none" w:color="FFFFFF" w:sz="0"/>
              <w:bottom w:val="none" w:color="FFFFFF" w:sz="0"/>
              <w:right w:val="none" w:color="FFFFFF" w:sz="0"/>
            </w:tcBorders>
            <w:shd w:fill="C9A961" w:color="C9A961" w:val="solid"/>
          </w:tcPr>
          <w:p>
            <w:r>
              <w:t xml:space="preserve"/>
            </w:r>
          </w:p>
        </w:tc>
        <w:tc>
          <w:tcPr>
            <w:tcW w:type="pct" w:w="97%"/>
            <w:tcBorders>
              <w:top w:val="none" w:color="FFFFFF" w:sz="0"/>
              <w:left w:val="none" w:color="FFFFFF" w:sz="0"/>
              <w:bottom w:val="none" w:color="FFFFFF" w:sz="0"/>
              <w:right w:val="none" w:color="FFFFFF" w:sz="0"/>
            </w:tcBorders>
            <w:shd w:fill="F4F1EA" w:color="F4F1EA" w:val="solid"/>
            <w:tcMar>
              <w:top w:type="dxa" w:w="200"/>
              <w:left w:type="dxa" w:w="300"/>
              <w:bottom w:type="dxa" w:w="200"/>
              <w:right w:type="dxa" w:w="300"/>
            </w:tcMar>
          </w:tcPr>
          <w:p>
            <w:pPr>
              <w:spacing w:after="60" w:before="0" w:line="320"/>
            </w:pPr>
            <w:r>
              <w:rPr>
                <w:rFonts w:ascii="Georgia" w:cs="Georgia" w:eastAsia="Georgia" w:hAnsi="Georgia"/>
                <w:color w:val="1E3A5F"/>
                <w:sz w:val="24"/>
                <w:szCs w:val="24"/>
              </w:rPr>
              <w:t xml:space="preserve">Die AMAVIO Holding UG wurde während meiner beruflichen Übergangsphase vorbereitet und am 02.07.2026 in das Handelsregister eingetragen. Die Eintragung diente zunächst der rechtlichen und organisatorischen Vorbereitung meines Vorhabens. Nach dem Ende meines Arbeitsverhältnisses am 30.06.2026 habe ich die Planungs- und Antragsunterlagen ausgearbeitet und meine Selbstständigkeitsabsicht am 09.07.2026 mit meiner Vermittlungsfachkraft besprochen. Im Finanzplan sind August und September 2026 bewusst ohne Umsatz angesetzt. Das Datum der hauptberuflichen Aufnahme möchte ich transparent mit der Agentur abstimmen; sämtliche tatsächlichen Tätigkeiten, Zeitumfänge und Einnahmen lege ich offen.</w:t>
            </w:r>
          </w:p>
          <w:p>
            <w:pPr>
              <w:spacing w:after="0" w:before="40"/>
            </w:pPr>
            <w:r>
              <w:rPr>
                <w:rFonts w:ascii="Calibri" w:cs="Calibri" w:eastAsia="Calibri" w:hAnsi="Calibri"/>
                <w:b/>
                <w:bCs/>
                <w:color w:val="6E6858"/>
                <w:spacing w:val="50"/>
                <w:sz w:val="16"/>
                <w:szCs w:val="16"/>
              </w:rPr>
              <w:t xml:space="preserve">TEXTBAUSTEIN · ergänzende Erklärung</w:t>
            </w:r>
          </w:p>
        </w:tc>
      </w:tr>
    </w:tbl>
    <w:p>
      <w:r>
        <w:br w:type="page"/>
      </w:r>
    </w:p>
    <w:p>
      <w:pPr>
        <w:spacing w:after="40" w:before="120"/>
      </w:pPr>
      <w:r>
        <w:rPr>
          <w:rFonts w:ascii="Calibri" w:cs="Calibri" w:eastAsia="Calibri" w:hAnsi="Calibri"/>
          <w:b/>
          <w:bCs/>
          <w:color w:val="C9A961"/>
          <w:spacing w:val="60"/>
          <w:sz w:val="16"/>
          <w:szCs w:val="16"/>
        </w:rPr>
        <w:t xml:space="preserve">03 · QUALIFIKATIONS- UND ERFAHRUNGSPORTFOLIO</w:t>
      </w:r>
    </w:p>
    <w:p>
      <w:pPr>
        <w:spacing w:after="160" w:before="240"/>
      </w:pPr>
      <w:r>
        <w:rPr>
          <w:rFonts w:ascii="Georgia" w:cs="Georgia" w:eastAsia="Georgia" w:hAnsi="Georgia"/>
          <w:b/>
          <w:bCs/>
          <w:color w:val="1E3A5F"/>
          <w:sz w:val="40"/>
          <w:szCs w:val="40"/>
        </w:rPr>
        <w:t xml:space="preserve">Warum die Gründereignung ohne Bachelor tragfähig ist.</w:t>
      </w:r>
    </w:p>
    <w:p>
      <w:pPr>
        <w:spacing w:after="80" w:before="80" w:line="320"/>
        <w:jc w:val="left"/>
      </w:pPr>
      <w:r>
        <w:rPr>
          <w:rFonts w:ascii="Calibri" w:cs="Calibri" w:eastAsia="Calibri" w:hAnsi="Calibri"/>
          <w:color w:val="0F1B2E"/>
          <w:sz w:val="21"/>
          <w:szCs w:val="21"/>
        </w:rPr>
        <w:t xml:space="preserve">Die Gründereignung beruht nicht auf einem akademischen Abschluss. Der frühere Bachelorhinweis war falsch und ist aus allen aktuellen Fassungen entfernt. Die Eignung entsteht aus einer kaufmännischen Ausbildung, IHK-Qualifikationen und einer ungewöhnlich passenden Kombination aus Immobilien-Sourcing, internationalem Marktaufbau, Enterprise Sales, Healthcare, Property Management, Führung und AI-/Workflow-Engineering.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780"/>
        <w:gridCol w:w="2880"/>
      </w:tblGrid>
      <w:tr>
        <w:trPr>
          <w:tblHeader/>
        </w:trPr>
        <w:tc>
          <w:tcPr>
            <w:tcW w:type="pct" w:w="26%"/>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Kompetenzfeld</w:t>
            </w:r>
          </w:p>
        </w:tc>
        <w:tc>
          <w:tcPr>
            <w:tcW w:type="pct" w:w="42%"/>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Substanz</w:t>
            </w:r>
          </w:p>
        </w:tc>
        <w:tc>
          <w:tcPr>
            <w:tcW w:type="pct" w:w="32%"/>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Bezug</w:t>
            </w:r>
          </w:p>
        </w:tc>
      </w:tr>
      <w:tr>
        <w:tc>
          <w:tcPr>
            <w:tcW w:type="pct" w:w="2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Immobilien &amp; Projektentwicklung</w:t>
            </w:r>
          </w:p>
        </w:tc>
        <w:tc>
          <w:tcPr>
            <w:tcW w:type="pct" w:w="42%"/>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Sourcing, Bewertung, Verhandlung, Marktaufbau, Wohnraumbeschaffung</w:t>
            </w:r>
          </w:p>
        </w:tc>
        <w:tc>
          <w:tcPr>
            <w:tcW w:type="pct" w:w="32%"/>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INSTA IMMO, Manchester, ca. 25 Wohnungen</w:t>
            </w:r>
          </w:p>
        </w:tc>
      </w:tr>
      <w:tr>
        <w:tc>
          <w:tcPr>
            <w:tcW w:type="pct" w:w="2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Enterprise Sales</w:t>
            </w:r>
          </w:p>
        </w:tc>
        <w:tc>
          <w:tcPr>
            <w:tcW w:type="pct" w:w="42%"/>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Akquise, C-Level-Kommunikation, Vertragsverhandlung, Pipeline-Steuerung</w:t>
            </w:r>
          </w:p>
        </w:tc>
        <w:tc>
          <w:tcPr>
            <w:tcW w:type="pct" w:w="32%"/>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mehr als zehn gewonnene Klinik-/Gesundheitspartner</w:t>
            </w:r>
          </w:p>
        </w:tc>
      </w:tr>
      <w:tr>
        <w:tc>
          <w:tcPr>
            <w:tcW w:type="pct" w:w="2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Healthcare &amp; internationale Fachkräfte</w:t>
            </w:r>
          </w:p>
        </w:tc>
        <w:tc>
          <w:tcPr>
            <w:tcW w:type="pct" w:w="42%"/>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Klinikbedarf, Recruiting-Schnittstellen, Ankunft und Integration</w:t>
            </w:r>
          </w:p>
        </w:tc>
        <w:tc>
          <w:tcPr>
            <w:tcW w:type="pct" w:w="32%"/>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TERN Group / TERN Deutschland</w:t>
            </w:r>
          </w:p>
        </w:tc>
      </w:tr>
      <w:tr>
        <w:tc>
          <w:tcPr>
            <w:tcW w:type="pct" w:w="2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Operations &amp; Führung</w:t>
            </w:r>
          </w:p>
        </w:tc>
        <w:tc>
          <w:tcPr>
            <w:tcW w:type="pct" w:w="42%"/>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Teamführung, KPI-Steuerung, Property Management, Schnittstellen</w:t>
            </w:r>
          </w:p>
        </w:tc>
        <w:tc>
          <w:tcPr>
            <w:tcW w:type="pct" w:w="32%"/>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Sales, Operations, Compliance, Immigration</w:t>
            </w:r>
          </w:p>
        </w:tc>
      </w:tr>
      <w:tr>
        <w:tc>
          <w:tcPr>
            <w:tcW w:type="pct" w:w="2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KI &amp; Engineering</w:t>
            </w:r>
          </w:p>
        </w:tc>
        <w:tc>
          <w:tcPr>
            <w:tcW w:type="pct" w:w="42%"/>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Prompt Engineering, Low-Code, Automation, Workflow- und MVP-Design</w:t>
            </w:r>
          </w:p>
        </w:tc>
        <w:tc>
          <w:tcPr>
            <w:tcW w:type="pct" w:w="32%"/>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TernMed Assistant, 2. Platz TernXperiment 2026</w:t>
            </w:r>
          </w:p>
        </w:tc>
      </w:tr>
      <w:tr>
        <w:tc>
          <w:tcPr>
            <w:tcW w:type="pct" w:w="2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Kaufmännische Basis</w:t>
            </w:r>
          </w:p>
        </w:tc>
        <w:tc>
          <w:tcPr>
            <w:tcW w:type="pct" w:w="42%"/>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Dienstleistung, Organisation, Versicherung, Risiko- und Dokumentationsverständnis</w:t>
            </w:r>
          </w:p>
        </w:tc>
        <w:tc>
          <w:tcPr>
            <w:tcW w:type="pct" w:w="32%"/>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Hotelkaufmann, IHK-Weiterbildungen</w:t>
            </w:r>
          </w:p>
        </w:tc>
      </w:tr>
    </w:tbl>
    <w:p>
      <w:pPr>
        <w:spacing w:after="80" w:before="160"/>
      </w:pPr>
      <w:r>
        <w:rPr>
          <w:rFonts w:ascii="Georgia" w:cs="Georgia" w:eastAsia="Georgia" w:hAnsi="Georgia"/>
          <w:b/>
          <w:bCs/>
          <w:color w:val="1E3A5F"/>
          <w:sz w:val="20"/>
          <w:szCs w:val="20"/>
        </w:rPr>
        <w:t xml:space="preserve">3.1 Belegbare Karriere- und Leistungsarchitektur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1440"/>
        <w:gridCol w:w="2340"/>
        <w:gridCol w:w="3240"/>
      </w:tblGrid>
      <w:tr>
        <w:trPr>
          <w:tblHeader/>
        </w:trPr>
        <w:tc>
          <w:tcPr>
            <w:tcW w:type="pct" w:w="22%"/>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Station</w:t>
            </w:r>
          </w:p>
        </w:tc>
        <w:tc>
          <w:tcPr>
            <w:tcW w:type="pct" w:w="16%"/>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Zeitraum</w:t>
            </w:r>
          </w:p>
        </w:tc>
        <w:tc>
          <w:tcPr>
            <w:tcW w:type="pct" w:w="26%"/>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Rolle</w:t>
            </w:r>
          </w:p>
        </w:tc>
        <w:tc>
          <w:tcPr>
            <w:tcW w:type="pct" w:w="36%"/>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Gründungsrelevanz</w:t>
            </w:r>
          </w:p>
        </w:tc>
      </w:tr>
      <w:tr>
        <w:tc>
          <w:tcPr>
            <w:tcW w:type="pct" w:w="22%"/>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AMAVIO Holding UG</w:t>
            </w:r>
          </w:p>
        </w:tc>
        <w:tc>
          <w:tcPr>
            <w:tcW w:type="pct" w:w="1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seit 07/2026</w:t>
            </w:r>
          </w:p>
        </w:tc>
        <w:tc>
          <w:tcPr>
            <w:tcW w:type="pct" w:w="2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Gründer/Geschäftsführer</w:t>
            </w:r>
          </w:p>
        </w:tc>
        <w:tc>
          <w:tcPr>
            <w:tcW w:type="pct" w:w="3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Geschäftsmodell, Produktarchitektur, Go-to-Market, Finanzierung, Partnerstruktur</w:t>
            </w:r>
          </w:p>
        </w:tc>
      </w:tr>
      <w:tr>
        <w:tc>
          <w:tcPr>
            <w:tcW w:type="pct" w:w="22%"/>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TERN Group / TERN Deutschland</w:t>
            </w:r>
          </w:p>
        </w:tc>
        <w:tc>
          <w:tcPr>
            <w:tcW w:type="pct" w:w="1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12/2023–06/2026</w:t>
            </w:r>
          </w:p>
        </w:tc>
        <w:tc>
          <w:tcPr>
            <w:tcW w:type="pct" w:w="2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zuletzt Senior Director Sales &amp; Head of Client Partnerships – Clinics</w:t>
            </w:r>
          </w:p>
        </w:tc>
        <w:tc>
          <w:tcPr>
            <w:tcW w:type="pct" w:w="3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Marktaufbau, 10+ B2B-Kunden, Teamführung, Property Management, AI-MVP</w:t>
            </w:r>
          </w:p>
        </w:tc>
      </w:tr>
      <w:tr>
        <w:tc>
          <w:tcPr>
            <w:tcW w:type="pct" w:w="22%"/>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INSTA IMMO GmbH</w:t>
            </w:r>
          </w:p>
        </w:tc>
        <w:tc>
          <w:tcPr>
            <w:tcW w:type="pct" w:w="1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02/2022–02/2024</w:t>
            </w:r>
          </w:p>
        </w:tc>
        <w:tc>
          <w:tcPr>
            <w:tcW w:type="pct" w:w="2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Associate Sourcing Manager</w:t>
            </w:r>
          </w:p>
        </w:tc>
        <w:tc>
          <w:tcPr>
            <w:tcW w:type="pct" w:w="3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institutionelles Sourcing, Bewertung, Verhandlung, Manchester-Marktaufbau</w:t>
            </w:r>
          </w:p>
        </w:tc>
      </w:tr>
      <w:tr>
        <w:tc>
          <w:tcPr>
            <w:tcW w:type="pct" w:w="22%"/>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CENTURY 21 Immobilien</w:t>
            </w:r>
          </w:p>
        </w:tc>
        <w:tc>
          <w:tcPr>
            <w:tcW w:type="pct" w:w="1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02/2021–02/2022</w:t>
            </w:r>
          </w:p>
        </w:tc>
        <w:tc>
          <w:tcPr>
            <w:tcW w:type="pct" w:w="2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Office Manager</w:t>
            </w:r>
          </w:p>
        </w:tc>
        <w:tc>
          <w:tcPr>
            <w:tcW w:type="pct" w:w="3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Immobilienorganisation, Reporting, Daten und Buchhaltungsschnittstelle</w:t>
            </w:r>
          </w:p>
        </w:tc>
      </w:tr>
      <w:tr>
        <w:tc>
          <w:tcPr>
            <w:tcW w:type="pct" w:w="22%"/>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Barmenia / ARAG</w:t>
            </w:r>
          </w:p>
        </w:tc>
        <w:tc>
          <w:tcPr>
            <w:tcW w:type="pct" w:w="1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07/2020–12/2022</w:t>
            </w:r>
          </w:p>
        </w:tc>
        <w:tc>
          <w:tcPr>
            <w:tcW w:type="pct" w:w="2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Versicherungsvertrieb und Beratung</w:t>
            </w:r>
          </w:p>
        </w:tc>
        <w:tc>
          <w:tcPr>
            <w:tcW w:type="pct" w:w="3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Kundenbestand, Beratung, Kranken- und Sachversicherung</w:t>
            </w:r>
          </w:p>
        </w:tc>
      </w:tr>
    </w:tbl>
    <w:p>
      <w:pPr>
        <w:spacing w:after="80" w:before="160"/>
      </w:pPr>
      <w:r>
        <w:rPr>
          <w:rFonts w:ascii="Georgia" w:cs="Georgia" w:eastAsia="Georgia" w:hAnsi="Georgia"/>
          <w:b/>
          <w:bCs/>
          <w:color w:val="1E3A5F"/>
          <w:sz w:val="20"/>
          <w:szCs w:val="20"/>
        </w:rPr>
        <w:t xml:space="preserve">3.2 Key Facts mit zulässiger Aussagegrenze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40"/>
        <w:gridCol w:w="3780"/>
        <w:gridCol w:w="3780"/>
      </w:tblGrid>
      <w:tr>
        <w:trPr>
          <w:tblHeader/>
        </w:trPr>
        <w:tc>
          <w:tcPr>
            <w:tcW w:type="pct" w:w="16%"/>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Key Fact</w:t>
            </w:r>
          </w:p>
        </w:tc>
        <w:tc>
          <w:tcPr>
            <w:tcW w:type="pct" w:w="42%"/>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Professionelle Formulierung</w:t>
            </w:r>
          </w:p>
        </w:tc>
        <w:tc>
          <w:tcPr>
            <w:tcW w:type="pct" w:w="42%"/>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Nicht überzeichnen</w:t>
            </w:r>
          </w:p>
        </w:tc>
      </w:tr>
      <w:tr>
        <w:tc>
          <w:tcPr>
            <w:tcW w:type="pct" w:w="1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 500 Mio. €</w:t>
            </w:r>
          </w:p>
        </w:tc>
        <w:tc>
          <w:tcPr>
            <w:tcW w:type="pct" w:w="42%"/>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kumuliertes Immobilien-Sourcing- und Transaktionsumfeld</w:t>
            </w:r>
          </w:p>
        </w:tc>
        <w:tc>
          <w:tcPr>
            <w:tcW w:type="pct" w:w="42%"/>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nicht als allein erworbenes oder verkauftes Eigenvolumen darstellen</w:t>
            </w:r>
          </w:p>
        </w:tc>
      </w:tr>
      <w:tr>
        <w:tc>
          <w:tcPr>
            <w:tcW w:type="pct" w:w="1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10+ B2B-Kunden</w:t>
            </w:r>
          </w:p>
        </w:tc>
        <w:tc>
          <w:tcPr>
            <w:tcW w:type="pct" w:w="42%"/>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neu gewonnene Klinik- und Gesundheitspartner</w:t>
            </w:r>
          </w:p>
        </w:tc>
        <w:tc>
          <w:tcPr>
            <w:tcW w:type="pct" w:w="42%"/>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Kundenliste nur soweit freigabefähig; sonst anonymisiert</w:t>
            </w:r>
          </w:p>
        </w:tc>
      </w:tr>
      <w:tr>
        <w:tc>
          <w:tcPr>
            <w:tcW w:type="pct" w:w="1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 25 Wohnungen</w:t>
            </w:r>
          </w:p>
        </w:tc>
        <w:tc>
          <w:tcPr>
            <w:tcW w:type="pct" w:w="42%"/>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beschafft und operativ koordiniert</w:t>
            </w:r>
          </w:p>
        </w:tc>
        <w:tc>
          <w:tcPr>
            <w:tcW w:type="pct" w:w="42%"/>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Bestand/Projekte anonymisiert nachweisbar</w:t>
            </w:r>
          </w:p>
        </w:tc>
      </w:tr>
      <w:tr>
        <w:tc>
          <w:tcPr>
            <w:tcW w:type="pct" w:w="1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2. Platz AI-MVP</w:t>
            </w:r>
          </w:p>
        </w:tc>
        <w:tc>
          <w:tcPr>
            <w:tcW w:type="pct" w:w="42%"/>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TernMed Assistant beim TernXperiment 2026</w:t>
            </w:r>
          </w:p>
        </w:tc>
        <w:tc>
          <w:tcPr>
            <w:tcW w:type="pct" w:w="42%"/>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Auszeichnung oder interne Bestätigung beifügen</w:t>
            </w:r>
          </w:p>
        </w:tc>
      </w:tr>
      <w:tr>
        <w:tc>
          <w:tcPr>
            <w:tcW w:type="pct" w:w="1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Manchester</w:t>
            </w:r>
          </w:p>
        </w:tc>
        <w:tc>
          <w:tcPr>
            <w:tcW w:type="pct" w:w="42%"/>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grenzüberschreitender Marktaufbau und Deal-Sourcing</w:t>
            </w:r>
          </w:p>
        </w:tc>
        <w:tc>
          <w:tcPr>
            <w:tcW w:type="pct" w:w="42%"/>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Rolle innerhalb INSTA IMMO, kein eigenständiges Unternehmen</w:t>
            </w:r>
          </w:p>
        </w:tc>
      </w:tr>
    </w:tbl>
    <w:p>
      <w:pPr>
        <w:spacing w:after="80" w:before="160"/>
      </w:pPr>
      <w:r>
        <w:rPr>
          <w:rFonts w:ascii="Georgia" w:cs="Georgia" w:eastAsia="Georgia" w:hAnsi="Georgia"/>
          <w:b/>
          <w:bCs/>
          <w:color w:val="1E3A5F"/>
          <w:sz w:val="20"/>
          <w:szCs w:val="20"/>
        </w:rPr>
        <w:t xml:space="preserve">3.3 Qualifikationsnachweise – als vorhanden unterstellt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0"/>
        <w:gridCol w:w="3780"/>
        <w:gridCol w:w="4500"/>
      </w:tblGrid>
      <w:tr>
        <w:trPr>
          <w:tblHeader/>
        </w:trPr>
        <w:tc>
          <w:tcPr>
            <w:tcW w:type="pct" w:w="8%"/>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Code</w:t>
            </w:r>
          </w:p>
        </w:tc>
        <w:tc>
          <w:tcPr>
            <w:tcW w:type="pct" w:w="42%"/>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Nachweis</w:t>
            </w:r>
          </w:p>
        </w:tc>
        <w:tc>
          <w:tcPr>
            <w:tcW w:type="pct" w:w="50%"/>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Belegte Eignung</w:t>
            </w:r>
          </w:p>
        </w:tc>
      </w:tr>
      <w:tr>
        <w:tc>
          <w:tcPr>
            <w:tcW w:type="pct" w:w="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Q01</w:t>
            </w:r>
          </w:p>
        </w:tc>
        <w:tc>
          <w:tcPr>
            <w:tcW w:type="pct" w:w="42%"/>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Ausbildungs-/Prüfungszeugnis Hotelkaufmann</w:t>
            </w:r>
          </w:p>
        </w:tc>
        <w:tc>
          <w:tcPr>
            <w:tcW w:type="pct" w:w="50%"/>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kaufmännische und serviceorientierte Grundqualifikation</w:t>
            </w:r>
          </w:p>
        </w:tc>
      </w:tr>
      <w:tr>
        <w:tc>
          <w:tcPr>
            <w:tcW w:type="pct" w:w="8%"/>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Q02</w:t>
            </w:r>
          </w:p>
        </w:tc>
        <w:tc>
          <w:tcPr>
            <w:tcW w:type="pct" w:w="42%"/>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Weiterbildung Immobilienmakler (IHK), 2021</w:t>
            </w:r>
          </w:p>
        </w:tc>
        <w:tc>
          <w:tcPr>
            <w:tcW w:type="pct" w:w="50%"/>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Immobilien-, Markt-, Objekt- und Rechtsgrundlagen</w:t>
            </w:r>
          </w:p>
        </w:tc>
      </w:tr>
      <w:tr>
        <w:tc>
          <w:tcPr>
            <w:tcW w:type="pct" w:w="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Q03</w:t>
            </w:r>
          </w:p>
        </w:tc>
        <w:tc>
          <w:tcPr>
            <w:tcW w:type="pct" w:w="42%"/>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Versicherungsfachmann (IHK), 2020–2021</w:t>
            </w:r>
          </w:p>
        </w:tc>
        <w:tc>
          <w:tcPr>
            <w:tcW w:type="pct" w:w="50%"/>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Beratungs-, Produkt-, Rechts- und Risikogrundlagen</w:t>
            </w:r>
          </w:p>
        </w:tc>
      </w:tr>
      <w:tr>
        <w:tc>
          <w:tcPr>
            <w:tcW w:type="pct" w:w="8%"/>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Q04</w:t>
            </w:r>
          </w:p>
        </w:tc>
        <w:tc>
          <w:tcPr>
            <w:tcW w:type="pct" w:w="42%"/>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Arbeitszeugnis / Tätigkeitsnachweis INSTA IMMO</w:t>
            </w:r>
          </w:p>
        </w:tc>
        <w:tc>
          <w:tcPr>
            <w:tcW w:type="pct" w:w="50%"/>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Sourcing, Bewertung, Verhandlung, UK-Marktaufbau</w:t>
            </w:r>
          </w:p>
        </w:tc>
      </w:tr>
      <w:tr>
        <w:tc>
          <w:tcPr>
            <w:tcW w:type="pct" w:w="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Q05</w:t>
            </w:r>
          </w:p>
        </w:tc>
        <w:tc>
          <w:tcPr>
            <w:tcW w:type="pct" w:w="42%"/>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Arbeitszeugnis / Tätigkeitsnachweis TERN</w:t>
            </w:r>
          </w:p>
        </w:tc>
        <w:tc>
          <w:tcPr>
            <w:tcW w:type="pct" w:w="50%"/>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Sales, Healthcare, Führung, Property Management</w:t>
            </w:r>
          </w:p>
        </w:tc>
      </w:tr>
      <w:tr>
        <w:tc>
          <w:tcPr>
            <w:tcW w:type="pct" w:w="8%"/>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Q06</w:t>
            </w:r>
          </w:p>
        </w:tc>
        <w:tc>
          <w:tcPr>
            <w:tcW w:type="pct" w:w="42%"/>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Nachweis TernMed Assistant / TernXperiment</w:t>
            </w:r>
          </w:p>
        </w:tc>
        <w:tc>
          <w:tcPr>
            <w:tcW w:type="pct" w:w="50%"/>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KI-, Produkt- und Innovationskompetenz</w:t>
            </w:r>
          </w:p>
        </w:tc>
      </w:tr>
      <w:tr>
        <w:tc>
          <w:tcPr>
            <w:tcW w:type="pct" w:w="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Q07</w:t>
            </w:r>
          </w:p>
        </w:tc>
        <w:tc>
          <w:tcPr>
            <w:tcW w:type="pct" w:w="42%"/>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optionale Referenzschreiben</w:t>
            </w:r>
          </w:p>
        </w:tc>
        <w:tc>
          <w:tcPr>
            <w:tcW w:type="pct" w:w="50%"/>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Kunden-, Partner- oder Führungsperspektive</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
            <w:tcBorders>
              <w:top w:val="none" w:color="FFFFFF" w:sz="0"/>
              <w:left w:val="none" w:color="FFFFFF" w:sz="0"/>
              <w:bottom w:val="none" w:color="FFFFFF" w:sz="0"/>
              <w:right w:val="none" w:color="FFFFFF" w:sz="0"/>
            </w:tcBorders>
            <w:shd w:fill="C9A961" w:color="C9A961" w:val="solid"/>
          </w:tcPr>
          <w:p>
            <w:r>
              <w:t xml:space="preserve"/>
            </w:r>
          </w:p>
        </w:tc>
        <w:tc>
          <w:tcPr>
            <w:tcW w:type="pct" w:w="97%"/>
            <w:tcBorders>
              <w:top w:val="none" w:color="FFFFFF" w:sz="0"/>
              <w:left w:val="none" w:color="FFFFFF" w:sz="0"/>
              <w:bottom w:val="none" w:color="FFFFFF" w:sz="0"/>
              <w:right w:val="none" w:color="FFFFFF" w:sz="0"/>
            </w:tcBorders>
            <w:shd w:fill="F4F1EA" w:color="F4F1EA" w:val="solid"/>
            <w:tcMar>
              <w:top w:type="dxa" w:w="200"/>
              <w:left w:type="dxa" w:w="300"/>
              <w:bottom w:type="dxa" w:w="200"/>
              <w:right w:type="dxa" w:w="300"/>
            </w:tcMar>
          </w:tcPr>
          <w:p>
            <w:pPr>
              <w:spacing w:after="60" w:before="0" w:line="320"/>
            </w:pPr>
            <w:r>
              <w:rPr>
                <w:rFonts w:ascii="Georgia" w:cs="Georgia" w:eastAsia="Georgia" w:hAnsi="Georgia"/>
                <w:color w:val="1E3A5F"/>
                <w:sz w:val="24"/>
                <w:szCs w:val="24"/>
              </w:rPr>
              <w:t xml:space="preserve">Der Lebenslauf darf starke Leistungsangaben enthalten. Das Portfolio trennt jedoch Zeugnisfakten, Gründerangaben und vertrauliche Leistungskennzahlen. Ein fehlender Bachelor wird weder angedeutet noch durch eine irreführende Bildungsformulierung ersetzt.</w:t>
            </w:r>
          </w:p>
          <w:p>
            <w:pPr>
              <w:spacing w:after="0" w:before="40"/>
            </w:pPr>
            <w:r>
              <w:rPr>
                <w:rFonts w:ascii="Calibri" w:cs="Calibri" w:eastAsia="Calibri" w:hAnsi="Calibri"/>
                <w:b/>
                <w:bCs/>
                <w:color w:val="6E6858"/>
                <w:spacing w:val="50"/>
                <w:sz w:val="16"/>
                <w:szCs w:val="16"/>
              </w:rPr>
              <w:t xml:space="preserve">NACHWEISSTANDARD</w:t>
            </w:r>
          </w:p>
        </w:tc>
      </w:tr>
    </w:tbl>
    <w:p>
      <w:r>
        <w:br w:type="page"/>
      </w:r>
    </w:p>
    <w:p>
      <w:pPr>
        <w:spacing w:after="40" w:before="120"/>
      </w:pPr>
      <w:r>
        <w:rPr>
          <w:rFonts w:ascii="Calibri" w:cs="Calibri" w:eastAsia="Calibri" w:hAnsi="Calibri"/>
          <w:b/>
          <w:bCs/>
          <w:color w:val="C9A961"/>
          <w:spacing w:val="60"/>
          <w:sz w:val="16"/>
          <w:szCs w:val="16"/>
        </w:rPr>
        <w:t xml:space="preserve">04 · TÄTIGKEITSABGRENZUNG</w:t>
      </w:r>
    </w:p>
    <w:p>
      <w:pPr>
        <w:spacing w:after="160" w:before="240"/>
      </w:pPr>
      <w:r>
        <w:rPr>
          <w:rFonts w:ascii="Georgia" w:cs="Georgia" w:eastAsia="Georgia" w:hAnsi="Georgia"/>
          <w:b/>
          <w:bCs/>
          <w:color w:val="1E3A5F"/>
          <w:sz w:val="40"/>
          <w:szCs w:val="40"/>
        </w:rPr>
        <w:t xml:space="preserve">Projektentwicklung statt Maklertätigkeit.</w:t>
      </w:r>
    </w:p>
    <w:p>
      <w:pPr>
        <w:spacing w:after="80" w:before="80" w:line="320"/>
        <w:jc w:val="left"/>
      </w:pPr>
      <w:r>
        <w:rPr>
          <w:rFonts w:ascii="Calibri" w:cs="Calibri" w:eastAsia="Calibri" w:hAnsi="Calibri"/>
          <w:color w:val="0F1B2E"/>
          <w:sz w:val="21"/>
          <w:szCs w:val="21"/>
        </w:rPr>
        <w:t xml:space="preserve">AMAVIO positioniert sich als Projektentwicklungs- und Umsetzungspartner für arbeitgebergestützte Wohn- und Integrationslösungen. Die Berufsbezeichnung entscheidet jedoch nicht über eine Erlaubnispflicht. Maßgeblich ist die tatsächlich angebotene und vertraglich ausgeübte Tätigkeit. § 34c GewO erfasst unter anderem die Vermittlung oder den Nachweis konkreter Gelegenheiten zum Abschluss von Verträgen über Grundstücke, Gewerbe- oder Wohnräume, bestimmte Bauträger- und Baubetreuertätigkeiten sowie die Wohnimmobilienverwaltung für Dritte.</w:t>
      </w:r>
    </w:p>
    <w:p>
      <w:pPr>
        <w:spacing w:after="80" w:before="160"/>
      </w:pPr>
      <w:r>
        <w:rPr>
          <w:rFonts w:ascii="Georgia" w:cs="Georgia" w:eastAsia="Georgia" w:hAnsi="Georgia"/>
          <w:b/>
          <w:bCs/>
          <w:color w:val="1E3A5F"/>
          <w:sz w:val="20"/>
          <w:szCs w:val="20"/>
        </w:rPr>
        <w:t xml:space="preserve">4.1 Erlaubnisfreie beziehungsweise risikoarme Kernleistungen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60"/>
        <w:gridCol w:w="2520"/>
        <w:gridCol w:w="3420"/>
      </w:tblGrid>
      <w:tr>
        <w:trPr>
          <w:tblHeader/>
        </w:trPr>
        <w:tc>
          <w:tcPr>
            <w:tcW w:type="pct" w:w="34%"/>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Leistung</w:t>
            </w:r>
          </w:p>
        </w:tc>
        <w:tc>
          <w:tcPr>
            <w:tcW w:type="pct" w:w="28%"/>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Kernbereich</w:t>
            </w:r>
          </w:p>
        </w:tc>
        <w:tc>
          <w:tcPr>
            <w:tcW w:type="pct" w:w="38%"/>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Grenze</w:t>
            </w:r>
          </w:p>
        </w:tc>
      </w:tr>
      <w:tr>
        <w:tc>
          <w:tcPr>
            <w:tcW w:type="pct" w:w="34%"/>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Bedarfs- und Standortanalyse</w:t>
            </w:r>
          </w:p>
        </w:tc>
        <w:tc>
          <w:tcPr>
            <w:tcW w:type="pct" w:w="2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ja</w:t>
            </w:r>
          </w:p>
        </w:tc>
        <w:tc>
          <w:tcPr>
            <w:tcW w:type="pct" w:w="3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Markt-, Kapazitäts-, Pendel- und Zielgruppenanalyse ohne konkreten Vertragsnachweis</w:t>
            </w:r>
          </w:p>
        </w:tc>
      </w:tr>
      <w:tr>
        <w:tc>
          <w:tcPr>
            <w:tcW w:type="pct" w:w="34%"/>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Wohn- und Betreiberkonzeption</w:t>
            </w:r>
          </w:p>
        </w:tc>
        <w:tc>
          <w:tcPr>
            <w:tcW w:type="pct" w:w="28%"/>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ja</w:t>
            </w:r>
          </w:p>
        </w:tc>
        <w:tc>
          <w:tcPr>
            <w:tcW w:type="pct" w:w="38%"/>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Nutzungs-, Prozess-, Service- und Wirtschaftlichkeitskonzept</w:t>
            </w:r>
          </w:p>
        </w:tc>
      </w:tr>
      <w:tr>
        <w:tc>
          <w:tcPr>
            <w:tcW w:type="pct" w:w="34%"/>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Projekt- und Implementierungsmanagement</w:t>
            </w:r>
          </w:p>
        </w:tc>
        <w:tc>
          <w:tcPr>
            <w:tcW w:type="pct" w:w="2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ja, mit Grenzen</w:t>
            </w:r>
          </w:p>
        </w:tc>
        <w:tc>
          <w:tcPr>
            <w:tcW w:type="pct" w:w="3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keine Rechts-, Steuer-, Architekten- oder Ingenieurleistung</w:t>
            </w:r>
          </w:p>
        </w:tc>
      </w:tr>
      <w:tr>
        <w:tc>
          <w:tcPr>
            <w:tcW w:type="pct" w:w="34%"/>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Möblierungs- und Einzugskoordination</w:t>
            </w:r>
          </w:p>
        </w:tc>
        <w:tc>
          <w:tcPr>
            <w:tcW w:type="pct" w:w="28%"/>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ja</w:t>
            </w:r>
          </w:p>
        </w:tc>
        <w:tc>
          <w:tcPr>
            <w:tcW w:type="pct" w:w="38%"/>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Lieferantenkoordination; Kunde schließt Fremdverträge direkt</w:t>
            </w:r>
          </w:p>
        </w:tc>
      </w:tr>
      <w:tr>
        <w:tc>
          <w:tcPr>
            <w:tcW w:type="pct" w:w="34%"/>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Arrival- und Integrationsmanagement</w:t>
            </w:r>
          </w:p>
        </w:tc>
        <w:tc>
          <w:tcPr>
            <w:tcW w:type="pct" w:w="2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ja</w:t>
            </w:r>
          </w:p>
        </w:tc>
        <w:tc>
          <w:tcPr>
            <w:tcW w:type="pct" w:w="3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Onboarding, Orientierung, Termin- und Prozesskoordination</w:t>
            </w:r>
          </w:p>
        </w:tc>
      </w:tr>
      <w:tr>
        <w:tc>
          <w:tcPr>
            <w:tcW w:type="pct" w:w="34%"/>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Digitale Workflows und Plattform</w:t>
            </w:r>
          </w:p>
        </w:tc>
        <w:tc>
          <w:tcPr>
            <w:tcW w:type="pct" w:w="28%"/>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ja</w:t>
            </w:r>
          </w:p>
        </w:tc>
        <w:tc>
          <w:tcPr>
            <w:tcW w:type="pct" w:w="38%"/>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Produkt-, Daten- und Automatisierungsentwicklung</w:t>
            </w:r>
          </w:p>
        </w:tc>
      </w:tr>
      <w:tr>
        <w:tc>
          <w:tcPr>
            <w:tcW w:type="pct" w:w="34%"/>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Anmietung und Untervermietung im eigenen Namen</w:t>
            </w:r>
          </w:p>
        </w:tc>
        <w:tc>
          <w:tcPr>
            <w:tcW w:type="pct" w:w="2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grundsätzlich kein Maklernachweis</w:t>
            </w:r>
          </w:p>
        </w:tc>
        <w:tc>
          <w:tcPr>
            <w:tcW w:type="pct" w:w="3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AMAVIO ist selbst Vertragspartei und trägt das eigene Vertragsrisiko</w:t>
            </w:r>
          </w:p>
        </w:tc>
      </w:tr>
    </w:tbl>
    <w:p>
      <w:pPr>
        <w:spacing w:after="80" w:before="160"/>
      </w:pPr>
      <w:r>
        <w:rPr>
          <w:rFonts w:ascii="Georgia" w:cs="Georgia" w:eastAsia="Georgia" w:hAnsi="Georgia"/>
          <w:b/>
          <w:bCs/>
          <w:color w:val="1E3A5F"/>
          <w:sz w:val="20"/>
          <w:szCs w:val="20"/>
        </w:rPr>
        <w:t xml:space="preserve">4.2 Tätigkeiten mit § 34c-Risiko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1260"/>
        <w:gridCol w:w="4140"/>
      </w:tblGrid>
      <w:tr>
        <w:trPr>
          <w:tblHeader/>
        </w:trPr>
        <w:tc>
          <w:tcPr>
            <w:tcW w:type="pct" w:w="40%"/>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Tätigkeit</w:t>
            </w:r>
          </w:p>
        </w:tc>
        <w:tc>
          <w:tcPr>
            <w:tcW w:type="pct" w:w="14%"/>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Risiko</w:t>
            </w:r>
          </w:p>
        </w:tc>
        <w:tc>
          <w:tcPr>
            <w:tcW w:type="pct" w:w="46%"/>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Begründung</w:t>
            </w:r>
          </w:p>
        </w:tc>
      </w:tr>
      <w:tr>
        <w:tc>
          <w:tcPr>
            <w:tcW w:type="pct" w:w="40%"/>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Konkrete Wohnung/Objektchance an Kunden nachweisen</w:t>
            </w:r>
          </w:p>
        </w:tc>
        <w:tc>
          <w:tcPr>
            <w:tcW w:type="pct" w:w="14%"/>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hoch</w:t>
            </w:r>
          </w:p>
        </w:tc>
        <w:tc>
          <w:tcPr>
            <w:tcW w:type="pct" w:w="4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kann Nachweis einer Abschlussgelegenheit sein</w:t>
            </w:r>
          </w:p>
        </w:tc>
      </w:tr>
      <w:tr>
        <w:tc>
          <w:tcPr>
            <w:tcW w:type="pct" w:w="40%"/>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Eigentümer und Kunde bis zum Mietvertragsabschluss zusammenführen</w:t>
            </w:r>
          </w:p>
        </w:tc>
        <w:tc>
          <w:tcPr>
            <w:tcW w:type="pct" w:w="14%"/>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hoch</w:t>
            </w:r>
          </w:p>
        </w:tc>
        <w:tc>
          <w:tcPr>
            <w:tcW w:type="pct" w:w="4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kann gewerbsmäßige Vermittlung sein</w:t>
            </w:r>
          </w:p>
        </w:tc>
      </w:tr>
      <w:tr>
        <w:tc>
          <w:tcPr>
            <w:tcW w:type="pct" w:w="40%"/>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Erfolgsabhängige Vergütung bei Mietvertragsabschluss</w:t>
            </w:r>
          </w:p>
        </w:tc>
        <w:tc>
          <w:tcPr>
            <w:tcW w:type="pct" w:w="14%"/>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sehr hoch</w:t>
            </w:r>
          </w:p>
        </w:tc>
        <w:tc>
          <w:tcPr>
            <w:tcW w:type="pct" w:w="4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typische Maklernähe; ohne Klärung ausgeschlossen</w:t>
            </w:r>
          </w:p>
        </w:tc>
      </w:tr>
      <w:tr>
        <w:tc>
          <w:tcPr>
            <w:tcW w:type="pct" w:w="40%"/>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Mietverhältnisse für fremde Eigentümer verwalten</w:t>
            </w:r>
          </w:p>
        </w:tc>
        <w:tc>
          <w:tcPr>
            <w:tcW w:type="pct" w:w="14%"/>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hoch</w:t>
            </w:r>
          </w:p>
        </w:tc>
        <w:tc>
          <w:tcPr>
            <w:tcW w:type="pct" w:w="4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mögliche Wohnimmobilienverwaltung für Dritte</w:t>
            </w:r>
          </w:p>
        </w:tc>
      </w:tr>
      <w:tr>
        <w:tc>
          <w:tcPr>
            <w:tcW w:type="pct" w:w="40%"/>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Mieten/Kautionen für Dritte einziehen oder verwalten</w:t>
            </w:r>
          </w:p>
        </w:tc>
        <w:tc>
          <w:tcPr>
            <w:tcW w:type="pct" w:w="14%"/>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hoch</w:t>
            </w:r>
          </w:p>
        </w:tc>
        <w:tc>
          <w:tcPr>
            <w:tcW w:type="pct" w:w="4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Verwaltungs-, Haftungs- und Fremdgeldrisiko</w:t>
            </w:r>
          </w:p>
        </w:tc>
      </w:tr>
      <w:tr>
        <w:tc>
          <w:tcPr>
            <w:tcW w:type="pct" w:w="40%"/>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Bauvorhaben im fremden Namen und für fremde Rechnung wirtschaftlich steuern</w:t>
            </w:r>
          </w:p>
        </w:tc>
        <w:tc>
          <w:tcPr>
            <w:tcW w:type="pct" w:w="14%"/>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hoch</w:t>
            </w:r>
          </w:p>
        </w:tc>
        <w:tc>
          <w:tcPr>
            <w:tcW w:type="pct" w:w="4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mögliche Baubetreuung nach § 34c</w:t>
            </w:r>
          </w:p>
        </w:tc>
      </w:tr>
      <w:tr>
        <w:tc>
          <w:tcPr>
            <w:tcW w:type="pct" w:w="40%"/>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Als Bauherr Erwerber-/Mieterwerte zur Projektdurchführung verwenden</w:t>
            </w:r>
          </w:p>
        </w:tc>
        <w:tc>
          <w:tcPr>
            <w:tcW w:type="pct" w:w="14%"/>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hoch</w:t>
            </w:r>
          </w:p>
        </w:tc>
        <w:tc>
          <w:tcPr>
            <w:tcW w:type="pct" w:w="4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mögliche Bauträgertätigkeit</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
            <w:tcBorders>
              <w:top w:val="none" w:color="FFFFFF" w:sz="0"/>
              <w:left w:val="none" w:color="FFFFFF" w:sz="0"/>
              <w:bottom w:val="none" w:color="FFFFFF" w:sz="0"/>
              <w:right w:val="none" w:color="FFFFFF" w:sz="0"/>
            </w:tcBorders>
            <w:shd w:fill="C9A961" w:color="C9A961" w:val="solid"/>
          </w:tcPr>
          <w:p>
            <w:r>
              <w:t xml:space="preserve"/>
            </w:r>
          </w:p>
        </w:tc>
        <w:tc>
          <w:tcPr>
            <w:tcW w:type="pct" w:w="97%"/>
            <w:tcBorders>
              <w:top w:val="none" w:color="FFFFFF" w:sz="0"/>
              <w:left w:val="none" w:color="FFFFFF" w:sz="0"/>
              <w:bottom w:val="none" w:color="FFFFFF" w:sz="0"/>
              <w:right w:val="none" w:color="FFFFFF" w:sz="0"/>
            </w:tcBorders>
            <w:shd w:fill="F4F1EA" w:color="F4F1EA" w:val="solid"/>
            <w:tcMar>
              <w:top w:type="dxa" w:w="200"/>
              <w:left w:type="dxa" w:w="300"/>
              <w:bottom w:type="dxa" w:w="200"/>
              <w:right w:type="dxa" w:w="300"/>
            </w:tcMar>
          </w:tcPr>
          <w:p>
            <w:pPr>
              <w:spacing w:after="60" w:before="0" w:line="320"/>
            </w:pPr>
            <w:r>
              <w:rPr>
                <w:rFonts w:ascii="Georgia" w:cs="Georgia" w:eastAsia="Georgia" w:hAnsi="Georgia"/>
                <w:color w:val="1E3A5F"/>
                <w:sz w:val="24"/>
                <w:szCs w:val="24"/>
              </w:rPr>
              <w:t xml:space="preserve">Sobald AMAVIO eine konkrete Vertragsgelegenheit für Wohn- oder Gewerberäume nachweist, den Abschluss vermittelt, fremde Mietverhältnisse verwaltet, Fremdgelder hält oder Bauvorhaben wirtschaftlich im fremden Namen und auf fremde Rechnung vorbereitet oder durchführt, wird die Leistung vor Angebot und Vertrag gestoppt. Sie wird nur nach schriftlicher gewerberechtlicher Einordnung, erforderlicher Erlaubnis oder über einen entsprechend zugelassenen Partner ausgeführt.</w:t>
            </w:r>
          </w:p>
          <w:p>
            <w:pPr>
              <w:spacing w:after="0" w:before="40"/>
            </w:pPr>
            <w:r>
              <w:rPr>
                <w:rFonts w:ascii="Calibri" w:cs="Calibri" w:eastAsia="Calibri" w:hAnsi="Calibri"/>
                <w:b/>
                <w:bCs/>
                <w:color w:val="6E6858"/>
                <w:spacing w:val="50"/>
                <w:sz w:val="16"/>
                <w:szCs w:val="16"/>
              </w:rPr>
              <w:t xml:space="preserve">VERBINDLICHE STOP-REGEL</w:t>
            </w:r>
          </w:p>
        </w:tc>
      </w:tr>
    </w:tbl>
    <w:p>
      <w:pPr>
        <w:spacing w:after="80" w:before="160"/>
      </w:pPr>
      <w:r>
        <w:rPr>
          <w:rFonts w:ascii="Georgia" w:cs="Georgia" w:eastAsia="Georgia" w:hAnsi="Georgia"/>
          <w:b/>
          <w:bCs/>
          <w:color w:val="1E3A5F"/>
          <w:sz w:val="20"/>
          <w:szCs w:val="20"/>
        </w:rPr>
        <w:t xml:space="preserve">4.3 Vertrags- und Prozessleitplanken</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gridCol w:w="100"/>
      </w:tblGrid>
      <w:tr>
        <w:tc>
          <w:tcPr>
            <w:tcW w:type="pct" w:w="25%"/>
            <w:tcBorders>
              <w:top w:val="single" w:color="C9A961" w:sz="8"/>
              <w:left w:val="none" w:color="FFFFFF" w:sz="0"/>
              <w:bottom w:val="single" w:color="ECE9E3" w:sz="4"/>
              <w:right w:val="single" w:color="FFFFFF" w:sz="4"/>
            </w:tcBorders>
            <w:shd w:fill="F4F1EA" w:color="F4F1EA"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01</w:t>
            </w:r>
          </w:p>
          <w:p>
            <w:pPr>
              <w:spacing w:after="80" w:before="40" w:line="260"/>
            </w:pPr>
            <w:r>
              <w:rPr>
                <w:rFonts w:ascii="Georgia" w:cs="Georgia" w:eastAsia="Georgia" w:hAnsi="Georgia"/>
                <w:b/>
                <w:bCs/>
                <w:color w:val="1E3A5F"/>
                <w:sz w:val="18"/>
                <w:szCs w:val="18"/>
              </w:rPr>
              <w:t xml:space="preserve">Keine Vermittlungszusage</w:t>
            </w:r>
          </w:p>
          <w:p>
            <w:pPr>
              <w:spacing w:after="0" w:before="0" w:line="240"/>
            </w:pPr>
            <w:r>
              <w:rPr>
                <w:rFonts w:ascii="Calibri" w:cs="Calibri" w:eastAsia="Calibri" w:hAnsi="Calibri"/>
                <w:color w:val="0F1B2E"/>
                <w:sz w:val="16"/>
                <w:szCs w:val="16"/>
              </w:rPr>
              <w:t xml:space="preserve">Angebote versprechen keine Vermittlung oder den Nachweis eines konkreten Mietvertrags.</w:t>
            </w:r>
          </w:p>
        </w:tc>
        <w:tc>
          <w:tcPr>
            <w:tcW w:type="pct" w:w="25%"/>
            <w:tcBorders>
              <w:top w:val="single" w:color="C9A961" w:sz="8"/>
              <w:left w:val="none" w:color="FFFFFF" w:sz="0"/>
              <w:bottom w:val="single" w:color="ECE9E3" w:sz="4"/>
              <w:right w:val="single" w:color="FFFFFF" w:sz="4"/>
            </w:tcBorders>
            <w:shd w:fill="F4F1EA" w:color="F4F1EA"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02</w:t>
            </w:r>
          </w:p>
          <w:p>
            <w:pPr>
              <w:spacing w:after="80" w:before="40" w:line="260"/>
            </w:pPr>
            <w:r>
              <w:rPr>
                <w:rFonts w:ascii="Georgia" w:cs="Georgia" w:eastAsia="Georgia" w:hAnsi="Georgia"/>
                <w:b/>
                <w:bCs/>
                <w:color w:val="1E3A5F"/>
                <w:sz w:val="18"/>
                <w:szCs w:val="18"/>
              </w:rPr>
              <w:t xml:space="preserve">Keine Erfolgsprovision</w:t>
            </w:r>
          </w:p>
          <w:p>
            <w:pPr>
              <w:spacing w:after="0" w:before="0" w:line="240"/>
            </w:pPr>
            <w:r>
              <w:rPr>
                <w:rFonts w:ascii="Calibri" w:cs="Calibri" w:eastAsia="Calibri" w:hAnsi="Calibri"/>
                <w:color w:val="0F1B2E"/>
                <w:sz w:val="16"/>
                <w:szCs w:val="16"/>
              </w:rPr>
              <w:t xml:space="preserve">Vergütung für definierte Analyse-, Konzept- und Projektleistungen, nicht für Vertragsabschluss.</w:t>
            </w:r>
          </w:p>
        </w:tc>
        <w:tc>
          <w:tcPr>
            <w:tcW w:type="pct" w:w="25%"/>
            <w:tcBorders>
              <w:top w:val="single" w:color="C9A961" w:sz="8"/>
              <w:left w:val="none" w:color="FFFFFF" w:sz="0"/>
              <w:bottom w:val="single" w:color="ECE9E3" w:sz="4"/>
              <w:right w:val="single" w:color="FFFFFF" w:sz="4"/>
            </w:tcBorders>
            <w:shd w:fill="F4F1EA" w:color="F4F1EA"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03</w:t>
            </w:r>
          </w:p>
          <w:p>
            <w:pPr>
              <w:spacing w:after="80" w:before="40" w:line="260"/>
            </w:pPr>
            <w:r>
              <w:rPr>
                <w:rFonts w:ascii="Georgia" w:cs="Georgia" w:eastAsia="Georgia" w:hAnsi="Georgia"/>
                <w:b/>
                <w:bCs/>
                <w:color w:val="1E3A5F"/>
                <w:sz w:val="18"/>
                <w:szCs w:val="18"/>
              </w:rPr>
              <w:t xml:space="preserve">Direkte Fremdverträge</w:t>
            </w:r>
          </w:p>
          <w:p>
            <w:pPr>
              <w:spacing w:after="0" w:before="0" w:line="240"/>
            </w:pPr>
            <w:r>
              <w:rPr>
                <w:rFonts w:ascii="Calibri" w:cs="Calibri" w:eastAsia="Calibri" w:hAnsi="Calibri"/>
                <w:color w:val="0F1B2E"/>
                <w:sz w:val="16"/>
                <w:szCs w:val="16"/>
              </w:rPr>
              <w:t xml:space="preserve">Eigentümer, Kunde, Handwerker, Architekt schließen Verträge direkt.</w:t>
            </w:r>
          </w:p>
        </w:tc>
        <w:tc>
          <w:tcPr>
            <w:tcW w:type="pct" w:w="25%"/>
            <w:tcBorders>
              <w:top w:val="single" w:color="C9A961" w:sz="8"/>
              <w:left w:val="none" w:color="FFFFFF" w:sz="0"/>
              <w:bottom w:val="single" w:color="ECE9E3" w:sz="4"/>
              <w:right w:val="none" w:color="FFFFFF" w:sz="0"/>
            </w:tcBorders>
            <w:shd w:fill="F4F1EA" w:color="F4F1EA"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04</w:t>
            </w:r>
          </w:p>
          <w:p>
            <w:pPr>
              <w:spacing w:after="80" w:before="40" w:line="260"/>
            </w:pPr>
            <w:r>
              <w:rPr>
                <w:rFonts w:ascii="Georgia" w:cs="Georgia" w:eastAsia="Georgia" w:hAnsi="Georgia"/>
                <w:b/>
                <w:bCs/>
                <w:color w:val="1E3A5F"/>
                <w:sz w:val="18"/>
                <w:szCs w:val="18"/>
              </w:rPr>
              <w:t xml:space="preserve">Keine Vertretungsmacht</w:t>
            </w:r>
          </w:p>
          <w:p>
            <w:pPr>
              <w:spacing w:after="0" w:before="0" w:line="240"/>
            </w:pPr>
            <w:r>
              <w:rPr>
                <w:rFonts w:ascii="Calibri" w:cs="Calibri" w:eastAsia="Calibri" w:hAnsi="Calibri"/>
                <w:color w:val="0F1B2E"/>
                <w:sz w:val="16"/>
                <w:szCs w:val="16"/>
              </w:rPr>
              <w:t xml:space="preserve">AMAVIO unterzeichnet keine Miet-, Bau- oder Verwaltungsverträge im Namen des Kunden.</w:t>
            </w:r>
          </w:p>
        </w:tc>
      </w:tr>
    </w:tbl>
    <w:p>
      <w:pPr>
        <w:spacing w:after="40" w:before="60" w:line="320"/>
        <w:jc w:val="left"/>
      </w:pPr>
      <w:r>
        <w:rPr>
          <w:rFonts w:ascii="Calibri" w:cs="Calibri" w:eastAsia="Calibri" w:hAnsi="Calibri"/>
          <w:color w:val="0F1B2E"/>
          <w:sz w:val="21"/>
          <w:szCs w:val="21"/>
        </w:rPr>
        <w:t xml:space="preserve">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pct" w:w="33%"/>
            <w:tcBorders>
              <w:top w:val="single" w:color="C9A961" w:sz="8"/>
              <w:left w:val="none" w:color="FFFFFF" w:sz="0"/>
              <w:bottom w:val="single" w:color="ECE9E3" w:sz="4"/>
              <w:right w:val="single" w:color="FFFFFF" w:sz="4"/>
            </w:tcBorders>
            <w:shd w:fill="F4F1EA" w:color="F4F1EA"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05</w:t>
            </w:r>
          </w:p>
          <w:p>
            <w:pPr>
              <w:spacing w:after="80" w:before="40" w:line="260"/>
            </w:pPr>
            <w:r>
              <w:rPr>
                <w:rFonts w:ascii="Georgia" w:cs="Georgia" w:eastAsia="Georgia" w:hAnsi="Georgia"/>
                <w:b/>
                <w:bCs/>
                <w:color w:val="1E3A5F"/>
                <w:sz w:val="18"/>
                <w:szCs w:val="18"/>
              </w:rPr>
              <w:t xml:space="preserve">Keine Fremdgeldannahme</w:t>
            </w:r>
          </w:p>
          <w:p>
            <w:pPr>
              <w:spacing w:after="0" w:before="0" w:line="240"/>
            </w:pPr>
            <w:r>
              <w:rPr>
                <w:rFonts w:ascii="Calibri" w:cs="Calibri" w:eastAsia="Calibri" w:hAnsi="Calibri"/>
                <w:color w:val="0F1B2E"/>
                <w:sz w:val="16"/>
                <w:szCs w:val="16"/>
              </w:rPr>
              <w:t xml:space="preserve">Mieten, Kautionen, Baugelder werden nicht für Dritte gehalten.</w:t>
            </w:r>
          </w:p>
        </w:tc>
        <w:tc>
          <w:tcPr>
            <w:tcW w:type="pct" w:w="33%"/>
            <w:tcBorders>
              <w:top w:val="single" w:color="C9A961" w:sz="8"/>
              <w:left w:val="none" w:color="FFFFFF" w:sz="0"/>
              <w:bottom w:val="single" w:color="ECE9E3" w:sz="4"/>
              <w:right w:val="single" w:color="FFFFFF" w:sz="4"/>
            </w:tcBorders>
            <w:shd w:fill="F4F1EA" w:color="F4F1EA"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06</w:t>
            </w:r>
          </w:p>
          <w:p>
            <w:pPr>
              <w:spacing w:after="80" w:before="40" w:line="260"/>
            </w:pPr>
            <w:r>
              <w:rPr>
                <w:rFonts w:ascii="Georgia" w:cs="Georgia" w:eastAsia="Georgia" w:hAnsi="Georgia"/>
                <w:b/>
                <w:bCs/>
                <w:color w:val="1E3A5F"/>
                <w:sz w:val="18"/>
                <w:szCs w:val="18"/>
              </w:rPr>
              <w:t xml:space="preserve">Fachpartner-Gate</w:t>
            </w:r>
          </w:p>
          <w:p>
            <w:pPr>
              <w:spacing w:after="0" w:before="0" w:line="240"/>
            </w:pPr>
            <w:r>
              <w:rPr>
                <w:rFonts w:ascii="Calibri" w:cs="Calibri" w:eastAsia="Calibri" w:hAnsi="Calibri"/>
                <w:color w:val="0F1B2E"/>
                <w:sz w:val="16"/>
                <w:szCs w:val="16"/>
              </w:rPr>
              <w:t xml:space="preserve">Recht, Steuer, Architektur, Bauingenieurwesen bleiben qualifizierten Fachpartnern vorbehalten.</w:t>
            </w:r>
          </w:p>
        </w:tc>
        <w:tc>
          <w:tcPr>
            <w:tcW w:type="pct" w:w="33%"/>
            <w:tcBorders>
              <w:top w:val="single" w:color="C9A961" w:sz="8"/>
              <w:left w:val="none" w:color="FFFFFF" w:sz="0"/>
              <w:bottom w:val="single" w:color="ECE9E3" w:sz="4"/>
              <w:right w:val="none" w:color="FFFFFF" w:sz="0"/>
            </w:tcBorders>
            <w:shd w:fill="F4F1EA" w:color="F4F1EA"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07</w:t>
            </w:r>
          </w:p>
          <w:p>
            <w:pPr>
              <w:spacing w:after="80" w:before="40" w:line="260"/>
            </w:pPr>
            <w:r>
              <w:rPr>
                <w:rFonts w:ascii="Georgia" w:cs="Georgia" w:eastAsia="Georgia" w:hAnsi="Georgia"/>
                <w:b/>
                <w:bCs/>
                <w:color w:val="1E3A5F"/>
                <w:sz w:val="18"/>
                <w:szCs w:val="18"/>
              </w:rPr>
              <w:t xml:space="preserve">Dokumentierte Scope-Prüfung</w:t>
            </w:r>
          </w:p>
          <w:p>
            <w:pPr>
              <w:spacing w:after="0" w:before="0" w:line="240"/>
            </w:pPr>
            <w:r>
              <w:rPr>
                <w:rFonts w:ascii="Calibri" w:cs="Calibri" w:eastAsia="Calibri" w:hAnsi="Calibri"/>
                <w:color w:val="0F1B2E"/>
                <w:sz w:val="16"/>
                <w:szCs w:val="16"/>
              </w:rPr>
              <w:t xml:space="preserve">Jedes Angebot erhält vor Freigabe § 34c-, RDG-, Datenschutz- und Bauleistungsprüfung.</w:t>
            </w:r>
          </w:p>
        </w:tc>
      </w:tr>
    </w:tbl>
    <w:p>
      <w:pPr>
        <w:spacing w:after="80" w:before="160"/>
      </w:pPr>
      <w:r>
        <w:rPr>
          <w:rFonts w:ascii="Georgia" w:cs="Georgia" w:eastAsia="Georgia" w:hAnsi="Georgia"/>
          <w:b/>
          <w:bCs/>
          <w:color w:val="1E3A5F"/>
          <w:sz w:val="20"/>
          <w:szCs w:val="20"/>
        </w:rPr>
        <w:t xml:space="preserve">4.4 Empfohlene Tätigkeitsbeschreibung</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
            <w:tcBorders>
              <w:top w:val="none" w:color="FFFFFF" w:sz="0"/>
              <w:left w:val="none" w:color="FFFFFF" w:sz="0"/>
              <w:bottom w:val="none" w:color="FFFFFF" w:sz="0"/>
              <w:right w:val="none" w:color="FFFFFF" w:sz="0"/>
            </w:tcBorders>
            <w:shd w:fill="C9A961" w:color="C9A961" w:val="solid"/>
          </w:tcPr>
          <w:p>
            <w:r>
              <w:t xml:space="preserve"/>
            </w:r>
          </w:p>
        </w:tc>
        <w:tc>
          <w:tcPr>
            <w:tcW w:type="pct" w:w="97%"/>
            <w:tcBorders>
              <w:top w:val="none" w:color="FFFFFF" w:sz="0"/>
              <w:left w:val="none" w:color="FFFFFF" w:sz="0"/>
              <w:bottom w:val="none" w:color="FFFFFF" w:sz="0"/>
              <w:right w:val="none" w:color="FFFFFF" w:sz="0"/>
            </w:tcBorders>
            <w:shd w:fill="F4F1EA" w:color="F4F1EA" w:val="solid"/>
            <w:tcMar>
              <w:top w:type="dxa" w:w="200"/>
              <w:left w:type="dxa" w:w="300"/>
              <w:bottom w:type="dxa" w:w="200"/>
              <w:right w:type="dxa" w:w="300"/>
            </w:tcMar>
          </w:tcPr>
          <w:p>
            <w:pPr>
              <w:spacing w:after="60" w:before="0" w:line="320"/>
            </w:pPr>
            <w:r>
              <w:rPr>
                <w:rFonts w:ascii="Georgia" w:cs="Georgia" w:eastAsia="Georgia" w:hAnsi="Georgia"/>
                <w:color w:val="1E3A5F"/>
                <w:sz w:val="24"/>
                <w:szCs w:val="24"/>
              </w:rPr>
              <w:t xml:space="preserve">AMAVIO ist ein technologieorientierter Projektentwicklungs- und Umsetzungspartner für arbeitgebergestützte Wohn- und Integrationslösungen. Das Unternehmen entwickelt Bedarfs-, Standort-, Nutzungs-, Betreiber- und Servicekonzepte und steuert deren operative Implementierung – von Projektstruktur und Partnerkoordination bis Einzug, Arrival Management und digitalen Workflows.</w:t>
            </w:r>
          </w:p>
          <w:p>
            <w:pPr>
              <w:spacing w:after="0" w:before="40"/>
            </w:pPr>
            <w:r>
              <w:rPr>
                <w:rFonts w:ascii="Calibri" w:cs="Calibri" w:eastAsia="Calibri" w:hAnsi="Calibri"/>
                <w:b/>
                <w:bCs/>
                <w:color w:val="6E6858"/>
                <w:spacing w:val="50"/>
                <w:sz w:val="16"/>
                <w:szCs w:val="16"/>
              </w:rPr>
              <w:t xml:space="preserve">POSITIONIERUNG FÜR BUSINESSPLAN UND MARKT</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
            <w:tcBorders>
              <w:top w:val="none" w:color="FFFFFF" w:sz="0"/>
              <w:left w:val="none" w:color="FFFFFF" w:sz="0"/>
              <w:bottom w:val="none" w:color="FFFFFF" w:sz="0"/>
              <w:right w:val="none" w:color="FFFFFF" w:sz="0"/>
            </w:tcBorders>
            <w:shd w:fill="C9A961" w:color="C9A961" w:val="solid"/>
          </w:tcPr>
          <w:p>
            <w:r>
              <w:t xml:space="preserve"/>
            </w:r>
          </w:p>
        </w:tc>
        <w:tc>
          <w:tcPr>
            <w:tcW w:type="pct" w:w="97%"/>
            <w:tcBorders>
              <w:top w:val="none" w:color="FFFFFF" w:sz="0"/>
              <w:left w:val="none" w:color="FFFFFF" w:sz="0"/>
              <w:bottom w:val="none" w:color="FFFFFF" w:sz="0"/>
              <w:right w:val="none" w:color="FFFFFF" w:sz="0"/>
            </w:tcBorders>
            <w:shd w:fill="F4F1EA" w:color="F4F1EA" w:val="solid"/>
            <w:tcMar>
              <w:top w:type="dxa" w:w="200"/>
              <w:left w:type="dxa" w:w="300"/>
              <w:bottom w:type="dxa" w:w="200"/>
              <w:right w:type="dxa" w:w="300"/>
            </w:tcMar>
          </w:tcPr>
          <w:p>
            <w:pPr>
              <w:spacing w:after="60" w:before="0" w:line="320"/>
            </w:pPr>
            <w:r>
              <w:rPr>
                <w:rFonts w:ascii="Georgia" w:cs="Georgia" w:eastAsia="Georgia" w:hAnsi="Georgia"/>
                <w:color w:val="1E3A5F"/>
                <w:sz w:val="24"/>
                <w:szCs w:val="24"/>
              </w:rPr>
              <w:t xml:space="preserve">Entwicklung, Konzeption, Steuerung und operative Umsetzung arbeitgebergestützter Wohn-, Workforce-Housing- und Integrationslösungen; Standort-, Bedarfs- und Wirtschaftlichkeitsanalysen; Erstellung von Nutzungs-, Betreiber- und Servicekonzepten; Projekt- und Implementierungsmanagement; Koordination von Ausstattung, Einzug, Onboarding und integrationsbezogenen Dienstleistungen; Entwicklung digitaler Produkte und Workflows; Anmietung, Ausstattung, Betrieb und Überlassung von Wohnraum im eigenen Namen und auf eigene Rechnung. Ausgenommen sind erlaubnispflichtige Tätigkeiten nach § 34c GewO sowie Rechts-, Steuer-, Architekten- und Ingenieurleistungen, soweit die erforderliche Erlaubnis oder Qualifikation nicht vorliegt.</w:t>
            </w:r>
          </w:p>
          <w:p>
            <w:pPr>
              <w:spacing w:after="0" w:before="40"/>
            </w:pPr>
            <w:r>
              <w:rPr>
                <w:rFonts w:ascii="Calibri" w:cs="Calibri" w:eastAsia="Calibri" w:hAnsi="Calibri"/>
                <w:b/>
                <w:bCs/>
                <w:color w:val="6E6858"/>
                <w:spacing w:val="50"/>
                <w:sz w:val="16"/>
                <w:szCs w:val="16"/>
              </w:rPr>
              <w:t xml:space="preserve">VORSCHLAG UNTERNEHMENSGEGENSTAND / GEWERBEANMELDUNG</w:t>
            </w:r>
          </w:p>
        </w:tc>
      </w:tr>
    </w:tbl>
    <w:p>
      <w:pPr>
        <w:spacing w:after="80" w:before="80" w:line="320"/>
        <w:jc w:val="left"/>
      </w:pPr>
      <w:r>
        <w:rPr>
          <w:rFonts w:ascii="Calibri" w:cs="Calibri" w:eastAsia="Calibri" w:hAnsi="Calibri"/>
          <w:color w:val="0F1B2E"/>
          <w:sz w:val="21"/>
          <w:szCs w:val="21"/>
        </w:rPr>
        <w:t xml:space="preserve">Der bestehende Unternehmensgegenstand nennt Beteiligungen sowie Beratungs- und Managementleistungen insbesondere in den Bereichen Bahndienstleistungen, Gleissicherung, Immobilien und Personaldienstleistungen. Er bildet das aktuelle AMAVIO-Leistungsbild nicht eindeutig genug ab. Vor wesentlichen Kunden-, Miet-, Betreiber- oder Plattformverträgen sollte die vorgeschlagene Fassung mit Notariat und Rechtsberatung abgeglichen und gegebenenfalls als Satzungsänderung umgesetzt werden.</w:t>
      </w:r>
    </w:p>
    <w:p>
      <w:pPr>
        <w:spacing w:after="80" w:before="160"/>
      </w:pPr>
      <w:r>
        <w:rPr>
          <w:rFonts w:ascii="Georgia" w:cs="Georgia" w:eastAsia="Georgia" w:hAnsi="Georgia"/>
          <w:b/>
          <w:bCs/>
          <w:color w:val="1E3A5F"/>
          <w:sz w:val="20"/>
          <w:szCs w:val="20"/>
        </w:rPr>
        <w:t xml:space="preserve">4.5 Schriftliche Anfrage an das Ordnungsamt Düsseldorf</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
            <w:tcBorders>
              <w:top w:val="none" w:color="FFFFFF" w:sz="0"/>
              <w:left w:val="none" w:color="FFFFFF" w:sz="0"/>
              <w:bottom w:val="none" w:color="FFFFFF" w:sz="0"/>
              <w:right w:val="none" w:color="FFFFFF" w:sz="0"/>
            </w:tcBorders>
            <w:shd w:fill="C9A961" w:color="C9A961" w:val="solid"/>
          </w:tcPr>
          <w:p>
            <w:r>
              <w:t xml:space="preserve"/>
            </w:r>
          </w:p>
        </w:tc>
        <w:tc>
          <w:tcPr>
            <w:tcW w:type="pct" w:w="97%"/>
            <w:tcBorders>
              <w:top w:val="none" w:color="FFFFFF" w:sz="0"/>
              <w:left w:val="none" w:color="FFFFFF" w:sz="0"/>
              <w:bottom w:val="none" w:color="FFFFFF" w:sz="0"/>
              <w:right w:val="none" w:color="FFFFFF" w:sz="0"/>
            </w:tcBorders>
            <w:shd w:fill="F4F1EA" w:color="F4F1EA" w:val="solid"/>
            <w:tcMar>
              <w:top w:type="dxa" w:w="200"/>
              <w:left w:type="dxa" w:w="300"/>
              <w:bottom w:type="dxa" w:w="200"/>
              <w:right w:type="dxa" w:w="300"/>
            </w:tcMar>
          </w:tcPr>
          <w:p>
            <w:pPr>
              <w:spacing w:after="60" w:before="0" w:line="320"/>
            </w:pPr>
            <w:r>
              <w:rPr>
                <w:rFonts w:ascii="Georgia" w:cs="Georgia" w:eastAsia="Georgia" w:hAnsi="Georgia"/>
                <w:color w:val="1E3A5F"/>
                <w:sz w:val="24"/>
                <w:szCs w:val="24"/>
              </w:rPr>
              <w:t xml:space="preserve">Betreff: Gewerberechtliche Einordnung des AMAVIO-Leistungsmodells / § 34c GewO
Sehr geehrte Damen und Herren,
die AMAVIO Holding UG entwickelt und implementiert arbeitgebergestützte Wohn- und Integrationslösungen. Geplant sind Bedarfs- und Standortanalysen, Wohn- und Betreiberkonzepte, Projekt- und Implementierungsmanagement, Möblierungs- und Einzugskoordination sowie digitale Workflows. AMAVIO soll keine erfolgsabhängige Immobilienvermittlung anbieten, keine konkreten Mietvertragsgelegenheiten gegen Vergütung nachweisen, keine fremden Mietverhältnisse verwalten und keine Fremdgelder halten. Soweit Wohnraum selbst angemietet und überlassen wird, handelt AMAVIO im eigenen Namen und auf eigene Rechnung.
Wir bitten um eine schriftliche Einschätzung, ob dieser abgegrenzte Tätigkeitsumfang nach Ihrer Auffassung eine Erlaubnis nach § 34c GewO erfordert und welche Formulierung Sie für die Gewerbeanmeldung empfehlen. Eine Leistungsbeschreibung und die vorgesehenen Vertragsleitplanken können wir gerne beifügen.
Mit freundlichen Grüßen
Zaki Amawi</w:t>
            </w:r>
          </w:p>
          <w:p>
            <w:pPr>
              <w:spacing w:after="0" w:before="40"/>
            </w:pPr>
            <w:r>
              <w:rPr>
                <w:rFonts w:ascii="Calibri" w:cs="Calibri" w:eastAsia="Calibri" w:hAnsi="Calibri"/>
                <w:b/>
                <w:bCs/>
                <w:color w:val="6E6858"/>
                <w:spacing w:val="50"/>
                <w:sz w:val="16"/>
                <w:szCs w:val="16"/>
              </w:rPr>
              <w:t xml:space="preserve">ANFRAGEENTWURF · Ordnungsamt Düsseldorf</w:t>
            </w:r>
          </w:p>
        </w:tc>
      </w:tr>
    </w:tbl>
    <w:p>
      <w:r>
        <w:br w:type="page"/>
      </w:r>
    </w:p>
    <w:p>
      <w:pPr>
        <w:spacing w:after="40" w:before="120"/>
      </w:pPr>
      <w:r>
        <w:rPr>
          <w:rFonts w:ascii="Calibri" w:cs="Calibri" w:eastAsia="Calibri" w:hAnsi="Calibri"/>
          <w:b/>
          <w:bCs/>
          <w:color w:val="C9A961"/>
          <w:spacing w:val="60"/>
          <w:sz w:val="16"/>
          <w:szCs w:val="16"/>
        </w:rPr>
        <w:t xml:space="preserve">05 · ANLAGEN- UND EMPFÄNGERREGISTER</w:t>
      </w:r>
    </w:p>
    <w:p>
      <w:pPr>
        <w:spacing w:after="160" w:before="240"/>
      </w:pPr>
      <w:r>
        <w:rPr>
          <w:rFonts w:ascii="Georgia" w:cs="Georgia" w:eastAsia="Georgia" w:hAnsi="Georgia"/>
          <w:b/>
          <w:bCs/>
          <w:color w:val="1E3A5F"/>
          <w:sz w:val="40"/>
          <w:szCs w:val="40"/>
        </w:rPr>
        <w:t xml:space="preserve">Wer erhält welche Unterlage.</w:t>
      </w:r>
    </w:p>
    <w:p>
      <w:pPr>
        <w:spacing w:after="80" w:before="80" w:line="320"/>
        <w:jc w:val="left"/>
      </w:pPr>
      <w:r>
        <w:rPr>
          <w:rFonts w:ascii="Calibri" w:cs="Calibri" w:eastAsia="Calibri" w:hAnsi="Calibri"/>
          <w:color w:val="0F1B2E"/>
          <w:sz w:val="21"/>
          <w:szCs w:val="21"/>
        </w:rPr>
        <w:t xml:space="preserve">Das Register bildet eine einzige kontrollierte Quelle für Dateiname, Status, Empfänger und Vertraulichkeit. Anlagen werden nicht pauschal an alle Empfänger versandt. Persönliche, finanzielle und arbeitsrechtliche Nachweise gehören ausschließlich in das Behörden-/Fachstellenpaket.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30"/>
        <w:gridCol w:w="3240"/>
        <w:gridCol w:w="1890"/>
        <w:gridCol w:w="1800"/>
        <w:gridCol w:w="1440"/>
      </w:tblGrid>
      <w:tr>
        <w:trPr>
          <w:tblHeader/>
        </w:trPr>
        <w:tc>
          <w:tcPr>
            <w:tcW w:type="pct" w:w="7%"/>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Code</w:t>
            </w:r>
          </w:p>
        </w:tc>
        <w:tc>
          <w:tcPr>
            <w:tcW w:type="pct" w:w="36%"/>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Anlage</w:t>
            </w:r>
          </w:p>
        </w:tc>
        <w:tc>
          <w:tcPr>
            <w:tcW w:type="pct" w:w="21%"/>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Status</w:t>
            </w:r>
          </w:p>
        </w:tc>
        <w:tc>
          <w:tcPr>
            <w:tcW w:type="pct" w:w="20%"/>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Empfänger</w:t>
            </w:r>
          </w:p>
        </w:tc>
        <w:tc>
          <w:tcPr>
            <w:tcW w:type="pct" w:w="16%"/>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Schutz</w:t>
            </w:r>
          </w:p>
        </w:tc>
      </w:tr>
      <w:tr>
        <w:tc>
          <w:tcPr>
            <w:tcW w:type="pct" w:w="7%"/>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A00</w:t>
            </w:r>
          </w:p>
        </w:tc>
        <w:tc>
          <w:tcPr>
            <w:tcW w:type="pct" w:w="3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Anschreiben fachkundige Stelle</w:t>
            </w:r>
          </w:p>
        </w:tc>
        <w:tc>
          <w:tcPr>
            <w:tcW w:type="pct" w:w="21%"/>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fertig</w:t>
            </w:r>
          </w:p>
        </w:tc>
        <w:tc>
          <w:tcPr>
            <w:tcW w:type="pct" w:w="20%"/>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Fachstelle</w:t>
            </w:r>
          </w:p>
        </w:tc>
        <w:tc>
          <w:tcPr>
            <w:tcW w:type="pct" w:w="1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normal</w:t>
            </w:r>
          </w:p>
        </w:tc>
      </w:tr>
      <w:tr>
        <w:tc>
          <w:tcPr>
            <w:tcW w:type="pct" w:w="7%"/>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A01</w:t>
            </w:r>
          </w:p>
        </w:tc>
        <w:tc>
          <w:tcPr>
            <w:tcW w:type="pct" w:w="3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AMAVIO Businessplan Master (v2.2)</w:t>
            </w:r>
          </w:p>
        </w:tc>
        <w:tc>
          <w:tcPr>
            <w:tcW w:type="pct" w:w="21%"/>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fertig</w:t>
            </w:r>
          </w:p>
        </w:tc>
        <w:tc>
          <w:tcPr>
            <w:tcW w:type="pct" w:w="20%"/>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BA/Fachstelle</w:t>
            </w:r>
          </w:p>
        </w:tc>
        <w:tc>
          <w:tcPr>
            <w:tcW w:type="pct" w:w="1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vertraulich</w:t>
            </w:r>
          </w:p>
        </w:tc>
      </w:tr>
      <w:tr>
        <w:tc>
          <w:tcPr>
            <w:tcW w:type="pct" w:w="7%"/>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A02</w:t>
            </w:r>
          </w:p>
        </w:tc>
        <w:tc>
          <w:tcPr>
            <w:tcW w:type="pct" w:w="3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AMAVIO Finanzmodell 36 Monate v1.8</w:t>
            </w:r>
          </w:p>
        </w:tc>
        <w:tc>
          <w:tcPr>
            <w:tcW w:type="pct" w:w="21%"/>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fertig</w:t>
            </w:r>
          </w:p>
        </w:tc>
        <w:tc>
          <w:tcPr>
            <w:tcW w:type="pct" w:w="20%"/>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BA/Fachstelle</w:t>
            </w:r>
          </w:p>
        </w:tc>
        <w:tc>
          <w:tcPr>
            <w:tcW w:type="pct" w:w="1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vertraulich</w:t>
            </w:r>
          </w:p>
        </w:tc>
      </w:tr>
      <w:tr>
        <w:tc>
          <w:tcPr>
            <w:tcW w:type="pct" w:w="7%"/>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A03</w:t>
            </w:r>
          </w:p>
        </w:tc>
        <w:tc>
          <w:tcPr>
            <w:tcW w:type="pct" w:w="3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Private Bedarfsrechnung</w:t>
            </w:r>
          </w:p>
        </w:tc>
        <w:tc>
          <w:tcPr>
            <w:tcW w:type="pct" w:w="21%"/>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fertig</w:t>
            </w:r>
          </w:p>
        </w:tc>
        <w:tc>
          <w:tcPr>
            <w:tcW w:type="pct" w:w="20%"/>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BA/Fachstelle</w:t>
            </w:r>
          </w:p>
        </w:tc>
        <w:tc>
          <w:tcPr>
            <w:tcW w:type="pct" w:w="1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streng vertraulich</w:t>
            </w:r>
          </w:p>
        </w:tc>
      </w:tr>
      <w:tr>
        <w:tc>
          <w:tcPr>
            <w:tcW w:type="pct" w:w="7%"/>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A04</w:t>
            </w:r>
          </w:p>
        </w:tc>
        <w:tc>
          <w:tcPr>
            <w:tcW w:type="pct" w:w="3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Executive-Gründerlebenslauf</w:t>
            </w:r>
          </w:p>
        </w:tc>
        <w:tc>
          <w:tcPr>
            <w:tcW w:type="pct" w:w="21%"/>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fertig</w:t>
            </w:r>
          </w:p>
        </w:tc>
        <w:tc>
          <w:tcPr>
            <w:tcW w:type="pct" w:w="20%"/>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BA/Fachstelle</w:t>
            </w:r>
          </w:p>
        </w:tc>
        <w:tc>
          <w:tcPr>
            <w:tcW w:type="pct" w:w="1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personenbezogen</w:t>
            </w:r>
          </w:p>
        </w:tc>
      </w:tr>
      <w:tr>
        <w:tc>
          <w:tcPr>
            <w:tcW w:type="pct" w:w="7%"/>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A05</w:t>
            </w:r>
          </w:p>
        </w:tc>
        <w:tc>
          <w:tcPr>
            <w:tcW w:type="pct" w:w="3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Anlagen- und Nachweispaket (v2.2)</w:t>
            </w:r>
          </w:p>
        </w:tc>
        <w:tc>
          <w:tcPr>
            <w:tcW w:type="pct" w:w="21%"/>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fertig</w:t>
            </w:r>
          </w:p>
        </w:tc>
        <w:tc>
          <w:tcPr>
            <w:tcW w:type="pct" w:w="20%"/>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BA/Fachstelle</w:t>
            </w:r>
          </w:p>
        </w:tc>
        <w:tc>
          <w:tcPr>
            <w:tcW w:type="pct" w:w="1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vertraulich</w:t>
            </w:r>
          </w:p>
        </w:tc>
      </w:tr>
      <w:tr>
        <w:tc>
          <w:tcPr>
            <w:tcW w:type="pct" w:w="7%"/>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A06</w:t>
            </w:r>
          </w:p>
        </w:tc>
        <w:tc>
          <w:tcPr>
            <w:tcW w:type="pct" w:w="3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Ausbildungszeugnis Hotelkaufmann</w:t>
            </w:r>
          </w:p>
        </w:tc>
        <w:tc>
          <w:tcPr>
            <w:tcW w:type="pct" w:w="21%"/>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vorhanden unterstellt</w:t>
            </w:r>
          </w:p>
        </w:tc>
        <w:tc>
          <w:tcPr>
            <w:tcW w:type="pct" w:w="20%"/>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BA/Fachstelle</w:t>
            </w:r>
          </w:p>
        </w:tc>
        <w:tc>
          <w:tcPr>
            <w:tcW w:type="pct" w:w="1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personenbezogen</w:t>
            </w:r>
          </w:p>
        </w:tc>
      </w:tr>
      <w:tr>
        <w:tc>
          <w:tcPr>
            <w:tcW w:type="pct" w:w="7%"/>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A07</w:t>
            </w:r>
          </w:p>
        </w:tc>
        <w:tc>
          <w:tcPr>
            <w:tcW w:type="pct" w:w="3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IHK Immobilienmakler</w:t>
            </w:r>
          </w:p>
        </w:tc>
        <w:tc>
          <w:tcPr>
            <w:tcW w:type="pct" w:w="21%"/>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vorhanden unterstellt</w:t>
            </w:r>
          </w:p>
        </w:tc>
        <w:tc>
          <w:tcPr>
            <w:tcW w:type="pct" w:w="20%"/>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BA/Fachstelle</w:t>
            </w:r>
          </w:p>
        </w:tc>
        <w:tc>
          <w:tcPr>
            <w:tcW w:type="pct" w:w="1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personenbezogen</w:t>
            </w:r>
          </w:p>
        </w:tc>
      </w:tr>
      <w:tr>
        <w:tc>
          <w:tcPr>
            <w:tcW w:type="pct" w:w="7%"/>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A08</w:t>
            </w:r>
          </w:p>
        </w:tc>
        <w:tc>
          <w:tcPr>
            <w:tcW w:type="pct" w:w="3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IHK Versicherungsfachmann</w:t>
            </w:r>
          </w:p>
        </w:tc>
        <w:tc>
          <w:tcPr>
            <w:tcW w:type="pct" w:w="21%"/>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vorhanden unterstellt</w:t>
            </w:r>
          </w:p>
        </w:tc>
        <w:tc>
          <w:tcPr>
            <w:tcW w:type="pct" w:w="20%"/>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BA/Fachstelle</w:t>
            </w:r>
          </w:p>
        </w:tc>
        <w:tc>
          <w:tcPr>
            <w:tcW w:type="pct" w:w="1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personenbezogen</w:t>
            </w:r>
          </w:p>
        </w:tc>
      </w:tr>
      <w:tr>
        <w:tc>
          <w:tcPr>
            <w:tcW w:type="pct" w:w="7%"/>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A09</w:t>
            </w:r>
          </w:p>
        </w:tc>
        <w:tc>
          <w:tcPr>
            <w:tcW w:type="pct" w:w="3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Arbeitszeugnis TERN</w:t>
            </w:r>
          </w:p>
        </w:tc>
        <w:tc>
          <w:tcPr>
            <w:tcW w:type="pct" w:w="21%"/>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vorhanden</w:t>
            </w:r>
          </w:p>
        </w:tc>
        <w:tc>
          <w:tcPr>
            <w:tcW w:type="pct" w:w="20%"/>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BA/Fachstelle</w:t>
            </w:r>
          </w:p>
        </w:tc>
        <w:tc>
          <w:tcPr>
            <w:tcW w:type="pct" w:w="1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personenbezogen</w:t>
            </w:r>
          </w:p>
        </w:tc>
      </w:tr>
      <w:tr>
        <w:tc>
          <w:tcPr>
            <w:tcW w:type="pct" w:w="7%"/>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A10</w:t>
            </w:r>
          </w:p>
        </w:tc>
        <w:tc>
          <w:tcPr>
            <w:tcW w:type="pct" w:w="3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Arbeitszeugnis INSTA IMMO</w:t>
            </w:r>
          </w:p>
        </w:tc>
        <w:tc>
          <w:tcPr>
            <w:tcW w:type="pct" w:w="21%"/>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vorhanden</w:t>
            </w:r>
          </w:p>
        </w:tc>
        <w:tc>
          <w:tcPr>
            <w:tcW w:type="pct" w:w="20%"/>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BA/Fachstelle</w:t>
            </w:r>
          </w:p>
        </w:tc>
        <w:tc>
          <w:tcPr>
            <w:tcW w:type="pct" w:w="1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personenbezogen</w:t>
            </w:r>
          </w:p>
        </w:tc>
      </w:tr>
      <w:tr>
        <w:tc>
          <w:tcPr>
            <w:tcW w:type="pct" w:w="7%"/>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A11</w:t>
            </w:r>
          </w:p>
        </w:tc>
        <w:tc>
          <w:tcPr>
            <w:tcW w:type="pct" w:w="3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AI-/Innovationsnachweis TernMed</w:t>
            </w:r>
          </w:p>
        </w:tc>
        <w:tc>
          <w:tcPr>
            <w:tcW w:type="pct" w:w="21%"/>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vorhanden unterstellt optional</w:t>
            </w:r>
          </w:p>
        </w:tc>
        <w:tc>
          <w:tcPr>
            <w:tcW w:type="pct" w:w="20%"/>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intern/vertraulich</w:t>
            </w:r>
          </w:p>
        </w:tc>
        <w:tc>
          <w:tcPr>
            <w:tcW w:type="pct" w:w="1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personenbezogen</w:t>
            </w:r>
          </w:p>
        </w:tc>
      </w:tr>
      <w:tr>
        <w:tc>
          <w:tcPr>
            <w:tcW w:type="pct" w:w="7%"/>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A12</w:t>
            </w:r>
          </w:p>
        </w:tc>
        <w:tc>
          <w:tcPr>
            <w:tcW w:type="pct" w:w="3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Handelsregisterauszug</w:t>
            </w:r>
          </w:p>
        </w:tc>
        <w:tc>
          <w:tcPr>
            <w:tcW w:type="pct" w:w="21%"/>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vorhanden</w:t>
            </w:r>
          </w:p>
        </w:tc>
        <w:tc>
          <w:tcPr>
            <w:tcW w:type="pct" w:w="20%"/>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BA/Fachstelle</w:t>
            </w:r>
          </w:p>
        </w:tc>
        <w:tc>
          <w:tcPr>
            <w:tcW w:type="pct" w:w="1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gesellschaftsbezogen</w:t>
            </w:r>
          </w:p>
        </w:tc>
      </w:tr>
      <w:tr>
        <w:tc>
          <w:tcPr>
            <w:tcW w:type="pct" w:w="7%"/>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A13</w:t>
            </w:r>
          </w:p>
        </w:tc>
        <w:tc>
          <w:tcPr>
            <w:tcW w:type="pct" w:w="3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Gesellschaftsvertrag / Satzung</w:t>
            </w:r>
          </w:p>
        </w:tc>
        <w:tc>
          <w:tcPr>
            <w:tcW w:type="pct" w:w="21%"/>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vorhanden</w:t>
            </w:r>
          </w:p>
        </w:tc>
        <w:tc>
          <w:tcPr>
            <w:tcW w:type="pct" w:w="20%"/>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nach Anforderung</w:t>
            </w:r>
          </w:p>
        </w:tc>
        <w:tc>
          <w:tcPr>
            <w:tcW w:type="pct" w:w="1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gesellschaftsbezogen</w:t>
            </w:r>
          </w:p>
        </w:tc>
      </w:tr>
      <w:tr>
        <w:tc>
          <w:tcPr>
            <w:tcW w:type="pct" w:w="7%"/>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A14</w:t>
            </w:r>
          </w:p>
        </w:tc>
        <w:tc>
          <w:tcPr>
            <w:tcW w:type="pct" w:w="3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Gewerbeanmeldung</w:t>
            </w:r>
          </w:p>
        </w:tc>
        <w:tc>
          <w:tcPr>
            <w:tcW w:type="pct" w:w="21%"/>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beizufügen</w:t>
            </w:r>
          </w:p>
        </w:tc>
        <w:tc>
          <w:tcPr>
            <w:tcW w:type="pct" w:w="20%"/>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BA/Fachstelle</w:t>
            </w:r>
          </w:p>
        </w:tc>
        <w:tc>
          <w:tcPr>
            <w:tcW w:type="pct" w:w="1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gesellschaftsbezogen</w:t>
            </w:r>
          </w:p>
        </w:tc>
      </w:tr>
      <w:tr>
        <w:tc>
          <w:tcPr>
            <w:tcW w:type="pct" w:w="7%"/>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A15</w:t>
            </w:r>
          </w:p>
        </w:tc>
        <w:tc>
          <w:tcPr>
            <w:tcW w:type="pct" w:w="3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Kapitalnachweis</w:t>
            </w:r>
          </w:p>
        </w:tc>
        <w:tc>
          <w:tcPr>
            <w:tcW w:type="pct" w:w="21%"/>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vorhanden; nicht geprüft</w:t>
            </w:r>
          </w:p>
        </w:tc>
        <w:tc>
          <w:tcPr>
            <w:tcW w:type="pct" w:w="20%"/>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BA/Fachstelle</w:t>
            </w:r>
          </w:p>
        </w:tc>
        <w:tc>
          <w:tcPr>
            <w:tcW w:type="pct" w:w="1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streng vertraulich</w:t>
            </w:r>
          </w:p>
        </w:tc>
      </w:tr>
      <w:tr>
        <w:tc>
          <w:tcPr>
            <w:tcW w:type="pct" w:w="7%"/>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A16</w:t>
            </w:r>
          </w:p>
        </w:tc>
        <w:tc>
          <w:tcPr>
            <w:tcW w:type="pct" w:w="3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LOI / Nachfragebeleg</w:t>
            </w:r>
          </w:p>
        </w:tc>
        <w:tc>
          <w:tcPr>
            <w:tcW w:type="pct" w:w="21%"/>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vorhanden; nicht geprüft</w:t>
            </w:r>
          </w:p>
        </w:tc>
        <w:tc>
          <w:tcPr>
            <w:tcW w:type="pct" w:w="20%"/>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Fachstelle optional</w:t>
            </w:r>
          </w:p>
        </w:tc>
        <w:tc>
          <w:tcPr>
            <w:tcW w:type="pct" w:w="1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geschäftsvertraulich</w:t>
            </w:r>
          </w:p>
        </w:tc>
      </w:tr>
      <w:tr>
        <w:tc>
          <w:tcPr>
            <w:tcW w:type="pct" w:w="7%"/>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A17</w:t>
            </w:r>
          </w:p>
        </w:tc>
        <w:tc>
          <w:tcPr>
            <w:tcW w:type="pct" w:w="3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BA-Antrag Phase 1</w:t>
            </w:r>
          </w:p>
        </w:tc>
        <w:tc>
          <w:tcPr>
            <w:tcW w:type="pct" w:w="21%"/>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offen</w:t>
            </w:r>
          </w:p>
        </w:tc>
        <w:tc>
          <w:tcPr>
            <w:tcW w:type="pct" w:w="20%"/>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Arbeitsagentur</w:t>
            </w:r>
          </w:p>
        </w:tc>
        <w:tc>
          <w:tcPr>
            <w:tcW w:type="pct" w:w="1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personenbezogen</w:t>
            </w:r>
          </w:p>
        </w:tc>
      </w:tr>
      <w:tr>
        <w:tc>
          <w:tcPr>
            <w:tcW w:type="pct" w:w="7%"/>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A18</w:t>
            </w:r>
          </w:p>
        </w:tc>
        <w:tc>
          <w:tcPr>
            <w:tcW w:type="pct" w:w="3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BA GZ 04 Stellungnahme</w:t>
            </w:r>
          </w:p>
        </w:tc>
        <w:tc>
          <w:tcPr>
            <w:tcW w:type="pct" w:w="21%"/>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offen</w:t>
            </w:r>
          </w:p>
        </w:tc>
        <w:tc>
          <w:tcPr>
            <w:tcW w:type="pct" w:w="20%"/>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Fachstelle/BA</w:t>
            </w:r>
          </w:p>
        </w:tc>
        <w:tc>
          <w:tcPr>
            <w:tcW w:type="pct" w:w="1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personenbezogen</w:t>
            </w:r>
          </w:p>
        </w:tc>
      </w:tr>
      <w:tr>
        <w:tc>
          <w:tcPr>
            <w:tcW w:type="pct" w:w="7%"/>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A19</w:t>
            </w:r>
          </w:p>
        </w:tc>
        <w:tc>
          <w:tcPr>
            <w:tcW w:type="pct" w:w="3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Leistungs- und Versicherungsnachweise</w:t>
            </w:r>
          </w:p>
        </w:tc>
        <w:tc>
          <w:tcPr>
            <w:tcW w:type="pct" w:w="21%"/>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offen</w:t>
            </w:r>
          </w:p>
        </w:tc>
        <w:tc>
          <w:tcPr>
            <w:tcW w:type="pct" w:w="20%"/>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Arbeitsagentur</w:t>
            </w:r>
          </w:p>
        </w:tc>
        <w:tc>
          <w:tcPr>
            <w:tcW w:type="pct" w:w="1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streng vertraulich</w:t>
            </w:r>
          </w:p>
        </w:tc>
      </w:tr>
    </w:tbl>
    <w:p>
      <w:pPr>
        <w:spacing w:after="80" w:before="160"/>
      </w:pPr>
      <w:r>
        <w:rPr>
          <w:rFonts w:ascii="Georgia" w:cs="Georgia" w:eastAsia="Georgia" w:hAnsi="Georgia"/>
          <w:b/>
          <w:bCs/>
          <w:color w:val="1E3A5F"/>
          <w:sz w:val="20"/>
          <w:szCs w:val="20"/>
        </w:rPr>
        <w:t xml:space="preserve">5.1 Paket für die fachkundige Stelle</w:t>
      </w:r>
    </w:p>
    <w:p>
      <w:pPr>
        <w:spacing w:after="40" w:before="40" w:line="280"/>
        <w:ind w:left="360" w:hanging="200"/>
      </w:pPr>
      <w:r>
        <w:rPr>
          <w:rFonts w:ascii="Georgia" w:cs="Georgia" w:eastAsia="Georgia" w:hAnsi="Georgia"/>
          <w:b/>
          <w:bCs/>
          <w:color w:val="C9A961"/>
          <w:sz w:val="20"/>
          <w:szCs w:val="20"/>
        </w:rPr>
        <w:t xml:space="preserve">›  </w:t>
      </w:r>
      <w:r>
        <w:rPr>
          <w:rFonts w:ascii="Calibri" w:cs="Calibri" w:eastAsia="Calibri" w:hAnsi="Calibri"/>
          <w:color w:val="0F1B2E"/>
          <w:sz w:val="21"/>
          <w:szCs w:val="21"/>
        </w:rPr>
        <w:t xml:space="preserve">A00 Anschreiben</w:t>
      </w:r>
    </w:p>
    <w:p>
      <w:pPr>
        <w:spacing w:after="40" w:before="40" w:line="280"/>
        <w:ind w:left="360" w:hanging="200"/>
      </w:pPr>
      <w:r>
        <w:rPr>
          <w:rFonts w:ascii="Georgia" w:cs="Georgia" w:eastAsia="Georgia" w:hAnsi="Georgia"/>
          <w:b/>
          <w:bCs/>
          <w:color w:val="C9A961"/>
          <w:sz w:val="20"/>
          <w:szCs w:val="20"/>
        </w:rPr>
        <w:t xml:space="preserve">›  </w:t>
      </w:r>
      <w:r>
        <w:rPr>
          <w:rFonts w:ascii="Calibri" w:cs="Calibri" w:eastAsia="Calibri" w:hAnsi="Calibri"/>
          <w:color w:val="0F1B2E"/>
          <w:sz w:val="21"/>
          <w:szCs w:val="21"/>
        </w:rPr>
        <w:t xml:space="preserve">A01 Businessplan v2.2</w:t>
      </w:r>
    </w:p>
    <w:p>
      <w:pPr>
        <w:spacing w:after="40" w:before="40" w:line="280"/>
        <w:ind w:left="360" w:hanging="200"/>
      </w:pPr>
      <w:r>
        <w:rPr>
          <w:rFonts w:ascii="Georgia" w:cs="Georgia" w:eastAsia="Georgia" w:hAnsi="Georgia"/>
          <w:b/>
          <w:bCs/>
          <w:color w:val="C9A961"/>
          <w:sz w:val="20"/>
          <w:szCs w:val="20"/>
        </w:rPr>
        <w:t xml:space="preserve">›  </w:t>
      </w:r>
      <w:r>
        <w:rPr>
          <w:rFonts w:ascii="Calibri" w:cs="Calibri" w:eastAsia="Calibri" w:hAnsi="Calibri"/>
          <w:color w:val="0F1B2E"/>
          <w:sz w:val="21"/>
          <w:szCs w:val="21"/>
        </w:rPr>
        <w:t xml:space="preserve">A02 Finanzmodell v1.8</w:t>
      </w:r>
    </w:p>
    <w:p>
      <w:pPr>
        <w:spacing w:after="40" w:before="40" w:line="280"/>
        <w:ind w:left="360" w:hanging="200"/>
      </w:pPr>
      <w:r>
        <w:rPr>
          <w:rFonts w:ascii="Georgia" w:cs="Georgia" w:eastAsia="Georgia" w:hAnsi="Georgia"/>
          <w:b/>
          <w:bCs/>
          <w:color w:val="C9A961"/>
          <w:sz w:val="20"/>
          <w:szCs w:val="20"/>
        </w:rPr>
        <w:t xml:space="preserve">›  </w:t>
      </w:r>
      <w:r>
        <w:rPr>
          <w:rFonts w:ascii="Calibri" w:cs="Calibri" w:eastAsia="Calibri" w:hAnsi="Calibri"/>
          <w:color w:val="0F1B2E"/>
          <w:sz w:val="21"/>
          <w:szCs w:val="21"/>
        </w:rPr>
        <w:t xml:space="preserve">A03 private Bedarfsrechnung</w:t>
      </w:r>
    </w:p>
    <w:p>
      <w:pPr>
        <w:spacing w:after="40" w:before="40" w:line="280"/>
        <w:ind w:left="360" w:hanging="200"/>
      </w:pPr>
      <w:r>
        <w:rPr>
          <w:rFonts w:ascii="Georgia" w:cs="Georgia" w:eastAsia="Georgia" w:hAnsi="Georgia"/>
          <w:b/>
          <w:bCs/>
          <w:color w:val="C9A961"/>
          <w:sz w:val="20"/>
          <w:szCs w:val="20"/>
        </w:rPr>
        <w:t xml:space="preserve">›  </w:t>
      </w:r>
      <w:r>
        <w:rPr>
          <w:rFonts w:ascii="Calibri" w:cs="Calibri" w:eastAsia="Calibri" w:hAnsi="Calibri"/>
          <w:color w:val="0F1B2E"/>
          <w:sz w:val="21"/>
          <w:szCs w:val="21"/>
        </w:rPr>
        <w:t xml:space="preserve">A04 Gründerlebenslauf</w:t>
      </w:r>
    </w:p>
    <w:p>
      <w:pPr>
        <w:spacing w:after="40" w:before="40" w:line="280"/>
        <w:ind w:left="360" w:hanging="200"/>
      </w:pPr>
      <w:r>
        <w:rPr>
          <w:rFonts w:ascii="Georgia" w:cs="Georgia" w:eastAsia="Georgia" w:hAnsi="Georgia"/>
          <w:b/>
          <w:bCs/>
          <w:color w:val="C9A961"/>
          <w:sz w:val="20"/>
          <w:szCs w:val="20"/>
        </w:rPr>
        <w:t xml:space="preserve">›  </w:t>
      </w:r>
      <w:r>
        <w:rPr>
          <w:rFonts w:ascii="Calibri" w:cs="Calibri" w:eastAsia="Calibri" w:hAnsi="Calibri"/>
          <w:color w:val="0F1B2E"/>
          <w:sz w:val="21"/>
          <w:szCs w:val="21"/>
        </w:rPr>
        <w:t xml:space="preserve">A05 Anlagen- und Nachweispaket v2.2</w:t>
      </w:r>
    </w:p>
    <w:p>
      <w:pPr>
        <w:spacing w:after="40" w:before="40" w:line="280"/>
        <w:ind w:left="360" w:hanging="200"/>
      </w:pPr>
      <w:r>
        <w:rPr>
          <w:rFonts w:ascii="Georgia" w:cs="Georgia" w:eastAsia="Georgia" w:hAnsi="Georgia"/>
          <w:b/>
          <w:bCs/>
          <w:color w:val="C9A961"/>
          <w:sz w:val="20"/>
          <w:szCs w:val="20"/>
        </w:rPr>
        <w:t xml:space="preserve">›  </w:t>
      </w:r>
      <w:r>
        <w:rPr>
          <w:rFonts w:ascii="Calibri" w:cs="Calibri" w:eastAsia="Calibri" w:hAnsi="Calibri"/>
          <w:color w:val="0F1B2E"/>
          <w:sz w:val="21"/>
          <w:szCs w:val="21"/>
        </w:rPr>
        <w:t xml:space="preserve">A06–A10 zentrale Qualifikations- und Tätigkeitsnachweise</w:t>
      </w:r>
    </w:p>
    <w:p>
      <w:pPr>
        <w:spacing w:after="40" w:before="40" w:line="280"/>
        <w:ind w:left="360" w:hanging="200"/>
      </w:pPr>
      <w:r>
        <w:rPr>
          <w:rFonts w:ascii="Georgia" w:cs="Georgia" w:eastAsia="Georgia" w:hAnsi="Georgia"/>
          <w:b/>
          <w:bCs/>
          <w:color w:val="C9A961"/>
          <w:sz w:val="20"/>
          <w:szCs w:val="20"/>
        </w:rPr>
        <w:t xml:space="preserve">›  </w:t>
      </w:r>
      <w:r>
        <w:rPr>
          <w:rFonts w:ascii="Calibri" w:cs="Calibri" w:eastAsia="Calibri" w:hAnsi="Calibri"/>
          <w:color w:val="0F1B2E"/>
          <w:sz w:val="21"/>
          <w:szCs w:val="21"/>
        </w:rPr>
        <w:t xml:space="preserve">A12 Handelsregisterauszug und A14 Gewerbeanmeldung</w:t>
      </w:r>
    </w:p>
    <w:p>
      <w:pPr>
        <w:spacing w:after="40" w:before="40" w:line="280"/>
        <w:ind w:left="360" w:hanging="200"/>
      </w:pPr>
      <w:r>
        <w:rPr>
          <w:rFonts w:ascii="Georgia" w:cs="Georgia" w:eastAsia="Georgia" w:hAnsi="Georgia"/>
          <w:b/>
          <w:bCs/>
          <w:color w:val="C9A961"/>
          <w:sz w:val="20"/>
          <w:szCs w:val="20"/>
        </w:rPr>
        <w:t xml:space="preserve">›  </w:t>
      </w:r>
      <w:r>
        <w:rPr>
          <w:rFonts w:ascii="Calibri" w:cs="Calibri" w:eastAsia="Calibri" w:hAnsi="Calibri"/>
          <w:color w:val="0F1B2E"/>
          <w:sz w:val="21"/>
          <w:szCs w:val="21"/>
        </w:rPr>
        <w:t xml:space="preserve">A15 Kapitalnachweis; A16 LOI nur soweit für die Tragfähigkeitsprüfung erforderlich</w:t>
      </w:r>
    </w:p>
    <w:p>
      <w:pPr>
        <w:spacing w:after="40" w:before="40" w:line="280"/>
        <w:ind w:left="360" w:hanging="200"/>
      </w:pPr>
      <w:r>
        <w:rPr>
          <w:rFonts w:ascii="Georgia" w:cs="Georgia" w:eastAsia="Georgia" w:hAnsi="Georgia"/>
          <w:b/>
          <w:bCs/>
          <w:color w:val="C9A961"/>
          <w:sz w:val="20"/>
          <w:szCs w:val="20"/>
        </w:rPr>
        <w:t xml:space="preserve">›  </w:t>
      </w:r>
      <w:r>
        <w:rPr>
          <w:rFonts w:ascii="Calibri" w:cs="Calibri" w:eastAsia="Calibri" w:hAnsi="Calibri"/>
          <w:color w:val="0F1B2E"/>
          <w:sz w:val="21"/>
          <w:szCs w:val="21"/>
        </w:rPr>
        <w:t xml:space="preserve">A18 vorausgefüllter Vordruck GZ 04</w:t>
      </w:r>
    </w:p>
    <w:p>
      <w:pPr>
        <w:spacing w:after="80" w:before="160"/>
      </w:pPr>
      <w:r>
        <w:rPr>
          <w:rFonts w:ascii="Georgia" w:cs="Georgia" w:eastAsia="Georgia" w:hAnsi="Georgia"/>
          <w:b/>
          <w:bCs/>
          <w:color w:val="1E3A5F"/>
          <w:sz w:val="20"/>
          <w:szCs w:val="20"/>
        </w:rPr>
        <w:t xml:space="preserve">5.2 Paket für die Arbeitsagentur</w:t>
      </w:r>
    </w:p>
    <w:p>
      <w:pPr>
        <w:spacing w:after="80" w:before="80" w:line="320"/>
        <w:jc w:val="left"/>
      </w:pPr>
      <w:r>
        <w:rPr>
          <w:rFonts w:ascii="Calibri" w:cs="Calibri" w:eastAsia="Calibri" w:hAnsi="Calibri"/>
          <w:color w:val="0F1B2E"/>
          <w:sz w:val="21"/>
          <w:szCs w:val="21"/>
        </w:rPr>
        <w:t xml:space="preserve">Nach positiver Stellungnahme erhält die Arbeitsagentur den Antrag, die Stellungnahme, Businessplan, Zahlenwerk, Lebenslauf, Qualifikationsnachweise und die erforderlichen Gründungs- und persönlichen Nachweise. Vertrauliche LOI- oder Kundendaten werden nur übermittelt, wenn sie erforderlich und datenschutzrechtlich freigegeben sind.</w:t>
      </w:r>
    </w:p>
    <w:p>
      <w:pPr>
        <w:spacing w:after="80" w:before="160"/>
      </w:pPr>
      <w:r>
        <w:rPr>
          <w:rFonts w:ascii="Georgia" w:cs="Georgia" w:eastAsia="Georgia" w:hAnsi="Georgia"/>
          <w:b/>
          <w:bCs/>
          <w:color w:val="1E3A5F"/>
          <w:sz w:val="20"/>
          <w:szCs w:val="20"/>
        </w:rPr>
        <w:t xml:space="preserve">5.3 Versions- und Dateinamensstandard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780"/>
        <w:gridCol w:w="5220"/>
      </w:tblGrid>
      <w:tr>
        <w:trPr>
          <w:tblHeader/>
        </w:trPr>
        <w:tc>
          <w:tcPr>
            <w:tcW w:type="pct" w:w="42%"/>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Regel</w:t>
            </w:r>
          </w:p>
        </w:tc>
        <w:tc>
          <w:tcPr>
            <w:tcW w:type="pct" w:w="58%"/>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Anwendung</w:t>
            </w:r>
          </w:p>
        </w:tc>
      </w:tr>
      <w:tr>
        <w:tc>
          <w:tcPr>
            <w:tcW w:type="pct" w:w="42%"/>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YYYYMMDD_AMAVIO_Dokument_Version_Status.ext</w:t>
            </w:r>
          </w:p>
        </w:tc>
        <w:tc>
          <w:tcPr>
            <w:tcW w:type="pct" w:w="5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20260728_AMAVIO_Finanzmodell_v1.8_FINAL.xlsx</w:t>
            </w:r>
          </w:p>
        </w:tc>
      </w:tr>
      <w:tr>
        <w:tc>
          <w:tcPr>
            <w:tcW w:type="pct" w:w="42%"/>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Keine Wörter wie neu/finalfinal/letzte Version</w:t>
            </w:r>
          </w:p>
        </w:tc>
        <w:tc>
          <w:tcPr>
            <w:tcW w:type="pct" w:w="58%"/>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Datum ersetzt subjektive Dateinamen</w:t>
            </w:r>
          </w:p>
        </w:tc>
      </w:tr>
      <w:tr>
        <w:tc>
          <w:tcPr>
            <w:tcW w:type="pct" w:w="42%"/>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Eine Zahlenquelle</w:t>
            </w:r>
          </w:p>
        </w:tc>
        <w:tc>
          <w:tcPr>
            <w:tcW w:type="pct" w:w="5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Excel v1.8 ist führend für Finanzwerte</w:t>
            </w:r>
          </w:p>
        </w:tc>
      </w:tr>
      <w:tr>
        <w:tc>
          <w:tcPr>
            <w:tcW w:type="pct" w:w="42%"/>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Eine Textquelle</w:t>
            </w:r>
          </w:p>
        </w:tc>
        <w:tc>
          <w:tcPr>
            <w:tcW w:type="pct" w:w="58%"/>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Businessplan Master v2.2 ist führend für Storyline</w:t>
            </w:r>
          </w:p>
        </w:tc>
      </w:tr>
      <w:tr>
        <w:tc>
          <w:tcPr>
            <w:tcW w:type="pct" w:w="42%"/>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Personenbezogene Anlagen separat</w:t>
            </w:r>
          </w:p>
        </w:tc>
        <w:tc>
          <w:tcPr>
            <w:tcW w:type="pct" w:w="5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keine Arbeitszeugnisse in Kunden-/Investorendateien</w:t>
            </w:r>
          </w:p>
        </w:tc>
      </w:tr>
    </w:tbl>
    <w:p>
      <w:r>
        <w:br w:type="page"/>
      </w:r>
    </w:p>
    <w:p>
      <w:pPr>
        <w:spacing w:after="40" w:before="120"/>
      </w:pPr>
      <w:r>
        <w:rPr>
          <w:rFonts w:ascii="Calibri" w:cs="Calibri" w:eastAsia="Calibri" w:hAnsi="Calibri"/>
          <w:b/>
          <w:bCs/>
          <w:color w:val="C9A961"/>
          <w:spacing w:val="60"/>
          <w:sz w:val="16"/>
          <w:szCs w:val="16"/>
        </w:rPr>
        <w:t xml:space="preserve">06 · GESAMTPRÜFUNG &amp; FREIGABE</w:t>
      </w:r>
    </w:p>
    <w:p>
      <w:pPr>
        <w:spacing w:after="160" w:before="240"/>
      </w:pPr>
      <w:r>
        <w:rPr>
          <w:rFonts w:ascii="Georgia" w:cs="Georgia" w:eastAsia="Georgia" w:hAnsi="Georgia"/>
          <w:b/>
          <w:bCs/>
          <w:color w:val="1E3A5F"/>
          <w:sz w:val="40"/>
          <w:szCs w:val="40"/>
        </w:rPr>
        <w:t xml:space="preserve">Prüfung und Einreichungsfreigabe.</w:t>
      </w:r>
    </w:p>
    <w:p>
      <w:pPr>
        <w:spacing w:after="80" w:before="160"/>
      </w:pPr>
      <w:r>
        <w:rPr>
          <w:rFonts w:ascii="Georgia" w:cs="Georgia" w:eastAsia="Georgia" w:hAnsi="Georgia"/>
          <w:b/>
          <w:bCs/>
          <w:color w:val="1E3A5F"/>
          <w:sz w:val="20"/>
          <w:szCs w:val="20"/>
        </w:rPr>
        <w:t xml:space="preserve">6.1 Zahlen- und Aussagenkonsistenz</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4140"/>
        <w:gridCol w:w="2160"/>
      </w:tblGrid>
      <w:tr>
        <w:trPr>
          <w:tblHeader/>
        </w:trPr>
        <w:tc>
          <w:tcPr>
            <w:tcW w:type="pct" w:w="30%"/>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Prüffeld</w:t>
            </w:r>
          </w:p>
        </w:tc>
        <w:tc>
          <w:tcPr>
            <w:tcW w:type="pct" w:w="46%"/>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Feststellung</w:t>
            </w:r>
          </w:p>
        </w:tc>
        <w:tc>
          <w:tcPr>
            <w:tcW w:type="pct" w:w="24%"/>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Status</w:t>
            </w:r>
          </w:p>
        </w:tc>
      </w:tr>
      <w:tr>
        <w:tc>
          <w:tcPr>
            <w:tcW w:type="pct" w:w="30%"/>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Umsatz Planjahr 1/2/3</w:t>
            </w:r>
          </w:p>
        </w:tc>
        <w:tc>
          <w:tcPr>
            <w:tcW w:type="pct" w:w="4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93.500 / 269.000 / 442.000 EUR</w:t>
            </w:r>
          </w:p>
        </w:tc>
        <w:tc>
          <w:tcPr>
            <w:tcW w:type="pct" w:w="24%"/>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PASS</w:t>
            </w:r>
          </w:p>
        </w:tc>
      </w:tr>
      <w:tr>
        <w:tc>
          <w:tcPr>
            <w:tcW w:type="pct" w:w="30%"/>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Planergebnis nach Steuer</w:t>
            </w:r>
          </w:p>
        </w:tc>
        <w:tc>
          <w:tcPr>
            <w:tcW w:type="pct" w:w="4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23.065 / 82.124 / 115.010 EUR</w:t>
            </w:r>
          </w:p>
        </w:tc>
        <w:tc>
          <w:tcPr>
            <w:tcW w:type="pct" w:w="24%"/>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PASS</w:t>
            </w:r>
          </w:p>
        </w:tc>
      </w:tr>
      <w:tr>
        <w:tc>
          <w:tcPr>
            <w:tcW w:type="pct" w:w="30%"/>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EBITDA Planjahr 1/2/3</w:t>
            </w:r>
          </w:p>
        </w:tc>
        <w:tc>
          <w:tcPr>
            <w:tcW w:type="pct" w:w="4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34.950 / 120.320 / 169.300 EUR</w:t>
            </w:r>
          </w:p>
        </w:tc>
        <w:tc>
          <w:tcPr>
            <w:tcW w:type="pct" w:w="24%"/>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PASS</w:t>
            </w:r>
          </w:p>
        </w:tc>
      </w:tr>
      <w:tr>
        <w:tc>
          <w:tcPr>
            <w:tcW w:type="pct" w:w="30%"/>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Liquidität Jahresende</w:t>
            </w:r>
          </w:p>
        </w:tc>
        <w:tc>
          <w:tcPr>
            <w:tcW w:type="pct" w:w="4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gemäß Finanzmodell v1.8 (recalc)</w:t>
            </w:r>
          </w:p>
        </w:tc>
        <w:tc>
          <w:tcPr>
            <w:tcW w:type="pct" w:w="24%"/>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PASS</w:t>
            </w:r>
          </w:p>
        </w:tc>
      </w:tr>
      <w:tr>
        <w:tc>
          <w:tcPr>
            <w:tcW w:type="pct" w:w="30%"/>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Startklar-Phase</w:t>
            </w:r>
          </w:p>
        </w:tc>
        <w:tc>
          <w:tcPr>
            <w:tcW w:type="pct" w:w="4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August/September 2026 ohne Umsatz</w:t>
            </w:r>
          </w:p>
        </w:tc>
        <w:tc>
          <w:tcPr>
            <w:tcW w:type="pct" w:w="24%"/>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PASS</w:t>
            </w:r>
          </w:p>
        </w:tc>
      </w:tr>
      <w:tr>
        <w:tc>
          <w:tcPr>
            <w:tcW w:type="pct" w:w="30%"/>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Privater Mindestbedarf</w:t>
            </w:r>
          </w:p>
        </w:tc>
        <w:tc>
          <w:tcPr>
            <w:tcW w:type="pct" w:w="4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1.898,33 EUR/Monat</w:t>
            </w:r>
          </w:p>
        </w:tc>
        <w:tc>
          <w:tcPr>
            <w:tcW w:type="pct" w:w="24%"/>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PASS</w:t>
            </w:r>
          </w:p>
        </w:tc>
      </w:tr>
      <w:tr>
        <w:tc>
          <w:tcPr>
            <w:tcW w:type="pct" w:w="30%"/>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Empfohlener Privatbedarf</w:t>
            </w:r>
          </w:p>
        </w:tc>
        <w:tc>
          <w:tcPr>
            <w:tcW w:type="pct" w:w="4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2.048,33 EUR/Monat</w:t>
            </w:r>
          </w:p>
        </w:tc>
        <w:tc>
          <w:tcPr>
            <w:tcW w:type="pct" w:w="24%"/>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PASS</w:t>
            </w:r>
          </w:p>
        </w:tc>
      </w:tr>
      <w:tr>
        <w:tc>
          <w:tcPr>
            <w:tcW w:type="pct" w:w="30%"/>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Bachelorangabe</w:t>
            </w:r>
          </w:p>
        </w:tc>
        <w:tc>
          <w:tcPr>
            <w:tcW w:type="pct" w:w="4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vollständig entfernt</w:t>
            </w:r>
          </w:p>
        </w:tc>
        <w:tc>
          <w:tcPr>
            <w:tcW w:type="pct" w:w="24%"/>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PASS</w:t>
            </w:r>
          </w:p>
        </w:tc>
      </w:tr>
      <w:tr>
        <w:tc>
          <w:tcPr>
            <w:tcW w:type="pct" w:w="30%"/>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500-Mio.-Angabe</w:t>
            </w:r>
          </w:p>
        </w:tc>
        <w:tc>
          <w:tcPr>
            <w:tcW w:type="pct" w:w="4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Sourcing- und Transaktionsumfeld</w:t>
            </w:r>
          </w:p>
        </w:tc>
        <w:tc>
          <w:tcPr>
            <w:tcW w:type="pct" w:w="24%"/>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PASS</w:t>
            </w:r>
          </w:p>
        </w:tc>
      </w:tr>
      <w:tr>
        <w:tc>
          <w:tcPr>
            <w:tcW w:type="pct" w:w="30%"/>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 34c</w:t>
            </w:r>
          </w:p>
        </w:tc>
        <w:tc>
          <w:tcPr>
            <w:tcW w:type="pct" w:w="4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nicht pauschal beantragt; Scope-/Stop-Regel dokumentiert</w:t>
            </w:r>
          </w:p>
        </w:tc>
        <w:tc>
          <w:tcPr>
            <w:tcW w:type="pct" w:w="24%"/>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PASS mit Bestätigung</w:t>
            </w:r>
          </w:p>
        </w:tc>
      </w:tr>
      <w:tr>
        <w:tc>
          <w:tcPr>
            <w:tcW w:type="pct" w:w="30%"/>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Kapitalnachweis / LOI</w:t>
            </w:r>
          </w:p>
        </w:tc>
        <w:tc>
          <w:tcPr>
            <w:tcW w:type="pct" w:w="4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vorhanden laut Gründer; Prüfung übersprungen</w:t>
            </w:r>
          </w:p>
        </w:tc>
        <w:tc>
          <w:tcPr>
            <w:tcW w:type="pct" w:w="24%"/>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NICHT GEPRÜFT</w:t>
            </w:r>
          </w:p>
        </w:tc>
      </w:tr>
    </w:tbl>
    <w:p>
      <w:pPr>
        <w:spacing w:after="80" w:before="160"/>
      </w:pPr>
      <w:r>
        <w:rPr>
          <w:rFonts w:ascii="Georgia" w:cs="Georgia" w:eastAsia="Georgia" w:hAnsi="Georgia"/>
          <w:b/>
          <w:bCs/>
          <w:color w:val="1E3A5F"/>
          <w:sz w:val="20"/>
          <w:szCs w:val="20"/>
        </w:rPr>
        <w:t xml:space="preserve">6.2 Verbleibende echte Offenpunkte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0"/>
        <w:gridCol w:w="2700"/>
        <w:gridCol w:w="4140"/>
        <w:gridCol w:w="1620"/>
      </w:tblGrid>
      <w:tr>
        <w:trPr>
          <w:tblHeader/>
        </w:trPr>
        <w:tc>
          <w:tcPr>
            <w:tcW w:type="pct" w:w="6%"/>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ID</w:t>
            </w:r>
          </w:p>
        </w:tc>
        <w:tc>
          <w:tcPr>
            <w:tcW w:type="pct" w:w="30%"/>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Offenpunkt</w:t>
            </w:r>
          </w:p>
        </w:tc>
        <w:tc>
          <w:tcPr>
            <w:tcW w:type="pct" w:w="46%"/>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Maßnahme</w:t>
            </w:r>
          </w:p>
        </w:tc>
        <w:tc>
          <w:tcPr>
            <w:tcW w:type="pct" w:w="18%"/>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Frist</w:t>
            </w:r>
          </w:p>
        </w:tc>
      </w:tr>
      <w:tr>
        <w:tc>
          <w:tcPr>
            <w:tcW w:type="pct" w:w="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O01</w:t>
            </w:r>
          </w:p>
        </w:tc>
        <w:tc>
          <w:tcPr>
            <w:tcW w:type="pct" w:w="30%"/>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Datum der hauptberuflichen Aufnahme</w:t>
            </w:r>
          </w:p>
        </w:tc>
        <w:tc>
          <w:tcPr>
            <w:tcW w:type="pct" w:w="4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mit Agentur abstimmen und einheitlich eintragen</w:t>
            </w:r>
          </w:p>
        </w:tc>
        <w:tc>
          <w:tcPr>
            <w:tcW w:type="pct" w:w="1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vor Antrag</w:t>
            </w:r>
          </w:p>
        </w:tc>
      </w:tr>
      <w:tr>
        <w:tc>
          <w:tcPr>
            <w:tcW w:type="pct" w:w="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O02</w:t>
            </w:r>
          </w:p>
        </w:tc>
        <w:tc>
          <w:tcPr>
            <w:tcW w:type="pct" w:w="30%"/>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Monatliche Leistungshöhe</w:t>
            </w:r>
          </w:p>
        </w:tc>
        <w:tc>
          <w:tcPr>
            <w:tcW w:type="pct" w:w="4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Bescheidwert in Privatbedarf übernehmen</w:t>
            </w:r>
          </w:p>
        </w:tc>
        <w:tc>
          <w:tcPr>
            <w:tcW w:type="pct" w:w="18%"/>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vor Einreichung</w:t>
            </w:r>
          </w:p>
        </w:tc>
      </w:tr>
      <w:tr>
        <w:tc>
          <w:tcPr>
            <w:tcW w:type="pct" w:w="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O03</w:t>
            </w:r>
          </w:p>
        </w:tc>
        <w:tc>
          <w:tcPr>
            <w:tcW w:type="pct" w:w="30%"/>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Künftiger KV-/PV-Beitrag</w:t>
            </w:r>
          </w:p>
        </w:tc>
        <w:tc>
          <w:tcPr>
            <w:tcW w:type="pct" w:w="4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tatsächlichen Beitrag statt 400-EUR-Planwert einsetzen</w:t>
            </w:r>
          </w:p>
        </w:tc>
        <w:tc>
          <w:tcPr>
            <w:tcW w:type="pct" w:w="1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sobald bekannt</w:t>
            </w:r>
          </w:p>
        </w:tc>
      </w:tr>
      <w:tr>
        <w:tc>
          <w:tcPr>
            <w:tcW w:type="pct" w:w="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O04</w:t>
            </w:r>
          </w:p>
        </w:tc>
        <w:tc>
          <w:tcPr>
            <w:tcW w:type="pct" w:w="30%"/>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Netto-Geschäftsführerbezug</w:t>
            </w:r>
          </w:p>
        </w:tc>
        <w:tc>
          <w:tcPr>
            <w:tcW w:type="pct" w:w="4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Lohn-/Statusberechnung; 2.000 EUR brutto nicht als netto behandeln</w:t>
            </w:r>
          </w:p>
        </w:tc>
        <w:tc>
          <w:tcPr>
            <w:tcW w:type="pct" w:w="18%"/>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vor erster Zahlung</w:t>
            </w:r>
          </w:p>
        </w:tc>
      </w:tr>
      <w:tr>
        <w:tc>
          <w:tcPr>
            <w:tcW w:type="pct" w:w="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O05</w:t>
            </w:r>
          </w:p>
        </w:tc>
        <w:tc>
          <w:tcPr>
            <w:tcW w:type="pct" w:w="30%"/>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Unternehmensgegenstand</w:t>
            </w:r>
          </w:p>
        </w:tc>
        <w:tc>
          <w:tcPr>
            <w:tcW w:type="pct" w:w="4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mit Notariat/Rechtsberatung an AMAVIO-Leistungsbild anpassen</w:t>
            </w:r>
          </w:p>
        </w:tc>
        <w:tc>
          <w:tcPr>
            <w:tcW w:type="pct" w:w="1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vor wesentlichen Verträgen</w:t>
            </w:r>
          </w:p>
        </w:tc>
      </w:tr>
      <w:tr>
        <w:tc>
          <w:tcPr>
            <w:tcW w:type="pct" w:w="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O06</w:t>
            </w:r>
          </w:p>
        </w:tc>
        <w:tc>
          <w:tcPr>
            <w:tcW w:type="pct" w:w="30%"/>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Gewerberechtliche Einordnung</w:t>
            </w:r>
          </w:p>
        </w:tc>
        <w:tc>
          <w:tcPr>
            <w:tcW w:type="pct" w:w="4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schriftliche Bestätigung Düsseldorf für abgegrenzten Scope</w:t>
            </w:r>
          </w:p>
        </w:tc>
        <w:tc>
          <w:tcPr>
            <w:tcW w:type="pct" w:w="18%"/>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vor Delivery</w:t>
            </w:r>
          </w:p>
        </w:tc>
      </w:tr>
      <w:tr>
        <w:tc>
          <w:tcPr>
            <w:tcW w:type="pct" w:w="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O07</w:t>
            </w:r>
          </w:p>
        </w:tc>
        <w:tc>
          <w:tcPr>
            <w:tcW w:type="pct" w:w="30%"/>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BA-Formulare</w:t>
            </w:r>
          </w:p>
        </w:tc>
        <w:tc>
          <w:tcPr>
            <w:tcW w:type="pct" w:w="4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Phase-1-Antrag und GZ 04 personalisieren/unterschreiben</w:t>
            </w:r>
          </w:p>
        </w:tc>
        <w:tc>
          <w:tcPr>
            <w:tcW w:type="pct" w:w="1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vor Versand</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
            <w:tcBorders>
              <w:top w:val="none" w:color="FFFFFF" w:sz="0"/>
              <w:left w:val="none" w:color="FFFFFF" w:sz="0"/>
              <w:bottom w:val="none" w:color="FFFFFF" w:sz="0"/>
              <w:right w:val="none" w:color="FFFFFF" w:sz="0"/>
            </w:tcBorders>
            <w:shd w:fill="C9A961" w:color="C9A961" w:val="solid"/>
          </w:tcPr>
          <w:p>
            <w:r>
              <w:t xml:space="preserve"/>
            </w:r>
          </w:p>
        </w:tc>
        <w:tc>
          <w:tcPr>
            <w:tcW w:type="pct" w:w="97%"/>
            <w:tcBorders>
              <w:top w:val="none" w:color="FFFFFF" w:sz="0"/>
              <w:left w:val="none" w:color="FFFFFF" w:sz="0"/>
              <w:bottom w:val="none" w:color="FFFFFF" w:sz="0"/>
              <w:right w:val="none" w:color="FFFFFF" w:sz="0"/>
            </w:tcBorders>
            <w:shd w:fill="F4F1EA" w:color="F4F1EA" w:val="solid"/>
            <w:tcMar>
              <w:top w:type="dxa" w:w="200"/>
              <w:left w:type="dxa" w:w="300"/>
              <w:bottom w:type="dxa" w:w="200"/>
              <w:right w:type="dxa" w:w="300"/>
            </w:tcMar>
          </w:tcPr>
          <w:p>
            <w:pPr>
              <w:spacing w:after="60" w:before="0" w:line="320"/>
            </w:pPr>
            <w:r>
              <w:rPr>
                <w:rFonts w:ascii="Georgia" w:cs="Georgia" w:eastAsia="Georgia" w:hAnsi="Georgia"/>
                <w:color w:val="1E3A5F"/>
                <w:sz w:val="24"/>
                <w:szCs w:val="24"/>
              </w:rPr>
              <w:t xml:space="preserve">Die fachliche Unterlagenbasis ist vollständig aufgebaut. Versandfreigabe besteht, sobald O01, O02, O03 und O07 mit tatsächlichen Angaben ergänzt sind. O05 und O06 sind spätestens vor Abschluss wesentlicher Kunden-, Miet-, Betreiber- oder Umsetzungsverträge zu schließen. Kapitalnachweis und LOI sind ausdrücklich nicht Teil dieser Qualitätsfreigabe.</w:t>
            </w:r>
          </w:p>
          <w:p>
            <w:pPr>
              <w:spacing w:after="0" w:before="40"/>
            </w:pPr>
            <w:r>
              <w:rPr>
                <w:rFonts w:ascii="Calibri" w:cs="Calibri" w:eastAsia="Calibri" w:hAnsi="Calibri"/>
                <w:b/>
                <w:bCs/>
                <w:color w:val="6E6858"/>
                <w:spacing w:val="50"/>
                <w:sz w:val="16"/>
                <w:szCs w:val="16"/>
              </w:rPr>
              <w:t xml:space="preserve">EINREICHUNGSENTSCHEIDUNG</w:t>
            </w:r>
          </w:p>
        </w:tc>
      </w:tr>
    </w:tbl>
    <w:p>
      <w:pPr>
        <w:spacing w:after="80" w:before="160"/>
      </w:pPr>
      <w:r>
        <w:rPr>
          <w:rFonts w:ascii="Georgia" w:cs="Georgia" w:eastAsia="Georgia" w:hAnsi="Georgia"/>
          <w:b/>
          <w:bCs/>
          <w:color w:val="1E3A5F"/>
          <w:sz w:val="20"/>
          <w:szCs w:val="20"/>
        </w:rPr>
        <w:t xml:space="preserve">6.3 Finaler Versandcheck</w:t>
      </w:r>
    </w:p>
    <w:p>
      <w:pPr>
        <w:spacing w:after="40" w:before="40" w:line="280"/>
        <w:ind w:left="360" w:hanging="200"/>
      </w:pPr>
      <w:r>
        <w:rPr>
          <w:rFonts w:ascii="Georgia" w:cs="Georgia" w:eastAsia="Georgia" w:hAnsi="Georgia"/>
          <w:b/>
          <w:bCs/>
          <w:color w:val="C9A961"/>
          <w:sz w:val="20"/>
          <w:szCs w:val="20"/>
        </w:rPr>
        <w:t xml:space="preserve">›  </w:t>
      </w:r>
      <w:r>
        <w:rPr>
          <w:rFonts w:ascii="Calibri" w:cs="Calibri" w:eastAsia="Calibri" w:hAnsi="Calibri"/>
          <w:color w:val="0F1B2E"/>
          <w:sz w:val="21"/>
          <w:szCs w:val="21"/>
        </w:rPr>
        <w:t xml:space="preserve">Alle Dateinamen entsprechen dem Register; keine Entwurfs- oder Doppelversionen im Versandordner.</w:t>
      </w:r>
    </w:p>
    <w:p>
      <w:pPr>
        <w:spacing w:after="40" w:before="40" w:line="280"/>
        <w:ind w:left="360" w:hanging="200"/>
      </w:pPr>
      <w:r>
        <w:rPr>
          <w:rFonts w:ascii="Georgia" w:cs="Georgia" w:eastAsia="Georgia" w:hAnsi="Georgia"/>
          <w:b/>
          <w:bCs/>
          <w:color w:val="C9A961"/>
          <w:sz w:val="20"/>
          <w:szCs w:val="20"/>
        </w:rPr>
        <w:t xml:space="preserve">›  </w:t>
      </w:r>
      <w:r>
        <w:rPr>
          <w:rFonts w:ascii="Calibri" w:cs="Calibri" w:eastAsia="Calibri" w:hAnsi="Calibri"/>
          <w:color w:val="0F1B2E"/>
          <w:sz w:val="21"/>
          <w:szCs w:val="21"/>
        </w:rPr>
        <w:t xml:space="preserve">Excel und Businessplan zeigen identische Umsatz-, Ergebnis- und Liquiditätswerte.</w:t>
      </w:r>
    </w:p>
    <w:p>
      <w:pPr>
        <w:spacing w:after="40" w:before="40" w:line="280"/>
        <w:ind w:left="360" w:hanging="200"/>
      </w:pPr>
      <w:r>
        <w:rPr>
          <w:rFonts w:ascii="Georgia" w:cs="Georgia" w:eastAsia="Georgia" w:hAnsi="Georgia"/>
          <w:b/>
          <w:bCs/>
          <w:color w:val="C9A961"/>
          <w:sz w:val="20"/>
          <w:szCs w:val="20"/>
        </w:rPr>
        <w:t xml:space="preserve">›  </w:t>
      </w:r>
      <w:r>
        <w:rPr>
          <w:rFonts w:ascii="Calibri" w:cs="Calibri" w:eastAsia="Calibri" w:hAnsi="Calibri"/>
          <w:color w:val="0F1B2E"/>
          <w:sz w:val="21"/>
          <w:szCs w:val="21"/>
        </w:rPr>
        <w:t xml:space="preserve">Private Leistungshöhe und Versicherungsbeitrag sind mit Bescheiden belegt.</w:t>
      </w:r>
    </w:p>
    <w:p>
      <w:pPr>
        <w:spacing w:after="40" w:before="40" w:line="280"/>
        <w:ind w:left="360" w:hanging="200"/>
      </w:pPr>
      <w:r>
        <w:rPr>
          <w:rFonts w:ascii="Georgia" w:cs="Georgia" w:eastAsia="Georgia" w:hAnsi="Georgia"/>
          <w:b/>
          <w:bCs/>
          <w:color w:val="C9A961"/>
          <w:sz w:val="20"/>
          <w:szCs w:val="20"/>
        </w:rPr>
        <w:t xml:space="preserve">›  </w:t>
      </w:r>
      <w:r>
        <w:rPr>
          <w:rFonts w:ascii="Calibri" w:cs="Calibri" w:eastAsia="Calibri" w:hAnsi="Calibri"/>
          <w:color w:val="0F1B2E"/>
          <w:sz w:val="21"/>
          <w:szCs w:val="21"/>
        </w:rPr>
        <w:t xml:space="preserve">Lebenslauf enthält keinen Bachelor und keine missverständliche Transaktionsbehauptung.</w:t>
      </w:r>
    </w:p>
    <w:p>
      <w:pPr>
        <w:spacing w:after="40" w:before="40" w:line="280"/>
        <w:ind w:left="360" w:hanging="200"/>
      </w:pPr>
      <w:r>
        <w:rPr>
          <w:rFonts w:ascii="Georgia" w:cs="Georgia" w:eastAsia="Georgia" w:hAnsi="Georgia"/>
          <w:b/>
          <w:bCs/>
          <w:color w:val="C9A961"/>
          <w:sz w:val="20"/>
          <w:szCs w:val="20"/>
        </w:rPr>
        <w:t xml:space="preserve">›  </w:t>
      </w:r>
      <w:r>
        <w:rPr>
          <w:rFonts w:ascii="Calibri" w:cs="Calibri" w:eastAsia="Calibri" w:hAnsi="Calibri"/>
          <w:color w:val="0F1B2E"/>
          <w:sz w:val="21"/>
          <w:szCs w:val="21"/>
        </w:rPr>
        <w:t xml:space="preserve">Qualifikationsnachweise sind lesbar, vollständig und chronologisch zugeordnet.</w:t>
      </w:r>
    </w:p>
    <w:p>
      <w:pPr>
        <w:spacing w:after="40" w:before="40" w:line="280"/>
        <w:ind w:left="360" w:hanging="200"/>
      </w:pPr>
      <w:r>
        <w:rPr>
          <w:rFonts w:ascii="Georgia" w:cs="Georgia" w:eastAsia="Georgia" w:hAnsi="Georgia"/>
          <w:b/>
          <w:bCs/>
          <w:color w:val="C9A961"/>
          <w:sz w:val="20"/>
          <w:szCs w:val="20"/>
        </w:rPr>
        <w:t xml:space="preserve">›  </w:t>
      </w:r>
      <w:r>
        <w:rPr>
          <w:rFonts w:ascii="Calibri" w:cs="Calibri" w:eastAsia="Calibri" w:hAnsi="Calibri"/>
          <w:color w:val="0F1B2E"/>
          <w:sz w:val="21"/>
          <w:szCs w:val="21"/>
        </w:rPr>
        <w:t xml:space="preserve">Kapitalnachweis und LOI werden nur mit erforderlichem Umfang und Schutzvermerk versandt.</w:t>
      </w:r>
    </w:p>
    <w:p>
      <w:pPr>
        <w:spacing w:after="40" w:before="40" w:line="280"/>
        <w:ind w:left="360" w:hanging="200"/>
      </w:pPr>
      <w:r>
        <w:rPr>
          <w:rFonts w:ascii="Georgia" w:cs="Georgia" w:eastAsia="Georgia" w:hAnsi="Georgia"/>
          <w:b/>
          <w:bCs/>
          <w:color w:val="C9A961"/>
          <w:sz w:val="20"/>
          <w:szCs w:val="20"/>
        </w:rPr>
        <w:t xml:space="preserve">›  </w:t>
      </w:r>
      <w:r>
        <w:rPr>
          <w:rFonts w:ascii="Calibri" w:cs="Calibri" w:eastAsia="Calibri" w:hAnsi="Calibri"/>
          <w:color w:val="0F1B2E"/>
          <w:sz w:val="21"/>
          <w:szCs w:val="21"/>
        </w:rPr>
        <w:t xml:space="preserve">GZ 04 und Anschreiben sind personalisiert, datiert und unterschrieben.</w:t>
      </w:r>
    </w:p>
    <w:p>
      <w:pPr>
        <w:spacing w:after="40" w:before="40" w:line="280"/>
        <w:ind w:left="360" w:hanging="200"/>
      </w:pPr>
      <w:r>
        <w:rPr>
          <w:rFonts w:ascii="Georgia" w:cs="Georgia" w:eastAsia="Georgia" w:hAnsi="Georgia"/>
          <w:b/>
          <w:bCs/>
          <w:color w:val="C9A961"/>
          <w:sz w:val="20"/>
          <w:szCs w:val="20"/>
        </w:rPr>
        <w:t xml:space="preserve">›  </w:t>
      </w:r>
      <w:r>
        <w:rPr>
          <w:rFonts w:ascii="Calibri" w:cs="Calibri" w:eastAsia="Calibri" w:hAnsi="Calibri"/>
          <w:color w:val="0F1B2E"/>
          <w:sz w:val="21"/>
          <w:szCs w:val="21"/>
        </w:rPr>
        <w:t xml:space="preserve">Die Tätigkeit wird als Projektentwicklung/Umsetzung beschrieben; erlaubnispflichtige Leistungen sind ausgenommen.</w:t>
      </w:r>
    </w:p>
    <w:p>
      <w:pPr>
        <w:spacing w:after="60" w:before="100" w:line="320"/>
        <w:jc w:val="left"/>
      </w:pPr>
      <w:r>
        <w:rPr>
          <w:rFonts w:ascii="Calibri" w:cs="Calibri" w:eastAsia="Calibri" w:hAnsi="Calibri"/>
          <w:color w:val="0F1B2E"/>
          <w:sz w:val="21"/>
          <w:szCs w:val="21"/>
        </w:rPr>
        <w:t xml:space="preserve">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pct" w:w="33%"/>
            <w:tcBorders>
              <w:top w:val="none" w:color="FFFFFF" w:sz="0"/>
              <w:left w:val="none" w:color="FFFFFF" w:sz="0"/>
              <w:bottom w:val="none" w:color="FFFFFF" w:sz="0"/>
              <w:right w:val="single" w:color="FFFFFF" w:sz="4"/>
            </w:tcBorders>
            <w:shd w:fill="1E3A5F" w:color="1E3A5F" w:val="solid"/>
            <w:tcMar>
              <w:top w:type="dxa" w:w="220"/>
              <w:left w:type="dxa" w:w="220"/>
              <w:bottom w:type="dxa" w:w="220"/>
              <w:right w:type="dxa" w:w="220"/>
            </w:tcMar>
          </w:tcPr>
          <w:p>
            <w:pPr>
              <w:spacing w:after="60" w:before="0"/>
            </w:pPr>
            <w:r>
              <w:rPr>
                <w:rFonts w:ascii="Georgia" w:cs="Georgia" w:eastAsia="Georgia" w:hAnsi="Georgia"/>
                <w:b/>
                <w:bCs/>
                <w:color w:val="FFFFFF"/>
                <w:sz w:val="40"/>
                <w:szCs w:val="40"/>
              </w:rPr>
              <w:t xml:space="preserve">93.500 €</w:t>
            </w:r>
          </w:p>
          <w:p>
            <w:pPr>
              <w:spacing w:after="40" w:before="0"/>
            </w:pPr>
            <w:r>
              <w:rPr>
                <w:rFonts w:ascii="Calibri" w:cs="Calibri" w:eastAsia="Calibri" w:hAnsi="Calibri"/>
                <w:b/>
                <w:bCs/>
                <w:color w:val="C9A961"/>
                <w:spacing w:val="60"/>
                <w:sz w:val="16"/>
                <w:szCs w:val="16"/>
              </w:rPr>
              <w:t xml:space="preserve">UMSATZ J1</w:t>
            </w:r>
          </w:p>
        </w:tc>
        <w:tc>
          <w:tcPr>
            <w:tcW w:type="pct" w:w="33%"/>
            <w:tcBorders>
              <w:top w:val="none" w:color="FFFFFF" w:sz="0"/>
              <w:left w:val="none" w:color="FFFFFF" w:sz="0"/>
              <w:bottom w:val="none" w:color="FFFFFF" w:sz="0"/>
              <w:right w:val="single" w:color="FFFFFF" w:sz="4"/>
            </w:tcBorders>
            <w:shd w:fill="F4F1EA" w:color="F4F1EA" w:val="solid"/>
            <w:tcMar>
              <w:top w:type="dxa" w:w="220"/>
              <w:left w:type="dxa" w:w="220"/>
              <w:bottom w:type="dxa" w:w="220"/>
              <w:right w:type="dxa" w:w="220"/>
            </w:tcMar>
          </w:tcPr>
          <w:p>
            <w:pPr>
              <w:spacing w:after="60" w:before="0"/>
            </w:pPr>
            <w:r>
              <w:rPr>
                <w:rFonts w:ascii="Georgia" w:cs="Georgia" w:eastAsia="Georgia" w:hAnsi="Georgia"/>
                <w:b/>
                <w:bCs/>
                <w:color w:val="1E3A5F"/>
                <w:sz w:val="40"/>
                <w:szCs w:val="40"/>
              </w:rPr>
              <w:t xml:space="preserve">269.000 €</w:t>
            </w:r>
          </w:p>
          <w:p>
            <w:pPr>
              <w:spacing w:after="40" w:before="0"/>
            </w:pPr>
            <w:r>
              <w:rPr>
                <w:rFonts w:ascii="Calibri" w:cs="Calibri" w:eastAsia="Calibri" w:hAnsi="Calibri"/>
                <w:b/>
                <w:bCs/>
                <w:color w:val="C9A961"/>
                <w:spacing w:val="60"/>
                <w:sz w:val="16"/>
                <w:szCs w:val="16"/>
              </w:rPr>
              <w:t xml:space="preserve">UMSATZ J2</w:t>
            </w:r>
          </w:p>
        </w:tc>
        <w:tc>
          <w:tcPr>
            <w:tcW w:type="pct" w:w="33%"/>
            <w:tcBorders>
              <w:top w:val="none" w:color="FFFFFF" w:sz="0"/>
              <w:left w:val="none" w:color="FFFFFF" w:sz="0"/>
              <w:bottom w:val="none" w:color="FFFFFF" w:sz="0"/>
              <w:right w:val="none" w:color="FFFFFF" w:sz="0"/>
            </w:tcBorders>
            <w:shd w:fill="1E3A5F" w:color="1E3A5F" w:val="solid"/>
            <w:tcMar>
              <w:top w:type="dxa" w:w="220"/>
              <w:left w:type="dxa" w:w="220"/>
              <w:bottom w:type="dxa" w:w="220"/>
              <w:right w:type="dxa" w:w="220"/>
            </w:tcMar>
          </w:tcPr>
          <w:p>
            <w:pPr>
              <w:spacing w:after="60" w:before="0"/>
            </w:pPr>
            <w:r>
              <w:rPr>
                <w:rFonts w:ascii="Georgia" w:cs="Georgia" w:eastAsia="Georgia" w:hAnsi="Georgia"/>
                <w:b/>
                <w:bCs/>
                <w:color w:val="FFFFFF"/>
                <w:sz w:val="40"/>
                <w:szCs w:val="40"/>
              </w:rPr>
              <w:t xml:space="preserve">442.000 €</w:t>
            </w:r>
          </w:p>
          <w:p>
            <w:pPr>
              <w:spacing w:after="40" w:before="0"/>
            </w:pPr>
            <w:r>
              <w:rPr>
                <w:rFonts w:ascii="Calibri" w:cs="Calibri" w:eastAsia="Calibri" w:hAnsi="Calibri"/>
                <w:b/>
                <w:bCs/>
                <w:color w:val="C9A961"/>
                <w:spacing w:val="60"/>
                <w:sz w:val="16"/>
                <w:szCs w:val="16"/>
              </w:rPr>
              <w:t xml:space="preserve">UMSATZ J3</w:t>
            </w:r>
          </w:p>
        </w:tc>
      </w:tr>
    </w:tbl>
    <w:p>
      <w:r>
        <w:br w:type="page"/>
      </w:r>
    </w:p>
    <w:p>
      <w:pPr>
        <w:spacing w:after="40" w:before="120"/>
      </w:pPr>
      <w:r>
        <w:rPr>
          <w:rFonts w:ascii="Calibri" w:cs="Calibri" w:eastAsia="Calibri" w:hAnsi="Calibri"/>
          <w:b/>
          <w:bCs/>
          <w:color w:val="C9A961"/>
          <w:spacing w:val="60"/>
          <w:sz w:val="16"/>
          <w:szCs w:val="16"/>
        </w:rPr>
        <w:t xml:space="preserve">QUELLEN &amp; RECHTLICHE GRUNDLAGEN</w:t>
      </w:r>
    </w:p>
    <w:p>
      <w:pPr>
        <w:spacing w:after="100" w:before="200"/>
      </w:pPr>
      <w:r>
        <w:rPr>
          <w:rFonts w:ascii="Georgia" w:cs="Georgia" w:eastAsia="Georgia" w:hAnsi="Georgia"/>
          <w:b/>
          <w:bCs/>
          <w:color w:val="1E3A5F"/>
          <w:sz w:val="26"/>
          <w:szCs w:val="26"/>
        </w:rPr>
        <w:t xml:space="preserve">Quellenregister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0"/>
        <w:gridCol w:w="5220"/>
        <w:gridCol w:w="3060"/>
      </w:tblGrid>
      <w:tr>
        <w:trPr>
          <w:tblHeader/>
        </w:trPr>
        <w:tc>
          <w:tcPr>
            <w:tcW w:type="pct" w:w="8%"/>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Code</w:t>
            </w:r>
          </w:p>
        </w:tc>
        <w:tc>
          <w:tcPr>
            <w:tcW w:type="pct" w:w="58%"/>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Quelle</w:t>
            </w:r>
          </w:p>
        </w:tc>
        <w:tc>
          <w:tcPr>
            <w:tcW w:type="pct" w:w="34%"/>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URL</w:t>
            </w:r>
          </w:p>
        </w:tc>
      </w:tr>
      <w:tr>
        <w:tc>
          <w:tcPr>
            <w:tcW w:type="pct" w:w="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S1</w:t>
            </w:r>
          </w:p>
        </w:tc>
        <w:tc>
          <w:tcPr>
            <w:tcW w:type="pct" w:w="5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 34c Gewerbeordnung – Immobilienmakler, Bauträger, Baubetreuer und Wohnimmobilienverwalter</w:t>
            </w:r>
          </w:p>
        </w:tc>
        <w:tc>
          <w:tcPr>
            <w:tcW w:type="pct" w:w="34%"/>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gesetze-im-internet.de/gewo/__34c.html</w:t>
            </w:r>
          </w:p>
        </w:tc>
      </w:tr>
      <w:tr>
        <w:tc>
          <w:tcPr>
            <w:tcW w:type="pct" w:w="8%"/>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S2</w:t>
            </w:r>
          </w:p>
        </w:tc>
        <w:tc>
          <w:tcPr>
            <w:tcW w:type="pct" w:w="58%"/>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Landeshauptstadt Düsseldorf – Erlaubnisse nach § 34c GewO</w:t>
            </w:r>
          </w:p>
        </w:tc>
        <w:tc>
          <w:tcPr>
            <w:tcW w:type="pct" w:w="34%"/>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service.duesseldorf.de/...dienstleistung/404</w:t>
            </w:r>
          </w:p>
        </w:tc>
      </w:tr>
      <w:tr>
        <w:tc>
          <w:tcPr>
            <w:tcW w:type="pct" w:w="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S3</w:t>
            </w:r>
          </w:p>
        </w:tc>
        <w:tc>
          <w:tcPr>
            <w:tcW w:type="pct" w:w="5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Landeshauptstadt Düsseldorf – Gewerbeanmeldung</w:t>
            </w:r>
          </w:p>
        </w:tc>
        <w:tc>
          <w:tcPr>
            <w:tcW w:type="pct" w:w="34%"/>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service.duesseldorf.de/...dienstleistung/405</w:t>
            </w:r>
          </w:p>
        </w:tc>
      </w:tr>
      <w:tr>
        <w:tc>
          <w:tcPr>
            <w:tcW w:type="pct" w:w="8%"/>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S4</w:t>
            </w:r>
          </w:p>
        </w:tc>
        <w:tc>
          <w:tcPr>
            <w:tcW w:type="pct" w:w="58%"/>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IHK Chemnitz – Bauträger und Baubetreuer</w:t>
            </w:r>
          </w:p>
        </w:tc>
        <w:tc>
          <w:tcPr>
            <w:tcW w:type="pct" w:w="34%"/>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ihk.de/chemnitz/...bautraeger-baubetreuer-5239406</w:t>
            </w:r>
          </w:p>
        </w:tc>
      </w:tr>
      <w:tr>
        <w:tc>
          <w:tcPr>
            <w:tcW w:type="pct" w:w="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S5</w:t>
            </w:r>
          </w:p>
        </w:tc>
        <w:tc>
          <w:tcPr>
            <w:tcW w:type="pct" w:w="5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IHK München und Oberbayern – Merkblatt § 34c GewO</w:t>
            </w:r>
          </w:p>
        </w:tc>
        <w:tc>
          <w:tcPr>
            <w:tcW w:type="pct" w:w="34%"/>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ihk-muenchen.de/.../merkblatt_34c.pdf</w:t>
            </w:r>
          </w:p>
        </w:tc>
      </w:tr>
      <w:tr>
        <w:tc>
          <w:tcPr>
            <w:tcW w:type="pct" w:w="8%"/>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S6</w:t>
            </w:r>
          </w:p>
        </w:tc>
        <w:tc>
          <w:tcPr>
            <w:tcW w:type="pct" w:w="58%"/>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Bundesagentur für Arbeit – Gründungszuschuss beantragen</w:t>
            </w:r>
          </w:p>
        </w:tc>
        <w:tc>
          <w:tcPr>
            <w:tcW w:type="pct" w:w="34%"/>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arbeitsagentur.de/...gruendungszuschuss-beantragen</w:t>
            </w:r>
          </w:p>
        </w:tc>
      </w:tr>
      <w:tr>
        <w:tc>
          <w:tcPr>
            <w:tcW w:type="pct" w:w="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S7</w:t>
            </w:r>
          </w:p>
        </w:tc>
        <w:tc>
          <w:tcPr>
            <w:tcW w:type="pct" w:w="5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Bundesagentur für Arbeit – Musteranschreiben fachkundige Stelle</w:t>
            </w:r>
          </w:p>
        </w:tc>
        <w:tc>
          <w:tcPr>
            <w:tcW w:type="pct" w:w="34%"/>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arbeitsagentur.de/datei/.../gz-musteranschreiben...ba053738.pdf</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
            <w:tcBorders>
              <w:top w:val="none" w:color="FFFFFF" w:sz="0"/>
              <w:left w:val="none" w:color="FFFFFF" w:sz="0"/>
              <w:bottom w:val="none" w:color="FFFFFF" w:sz="0"/>
              <w:right w:val="none" w:color="FFFFFF" w:sz="0"/>
            </w:tcBorders>
            <w:shd w:fill="C9A961" w:color="C9A961" w:val="solid"/>
          </w:tcPr>
          <w:p>
            <w:r>
              <w:t xml:space="preserve"/>
            </w:r>
          </w:p>
        </w:tc>
        <w:tc>
          <w:tcPr>
            <w:tcW w:type="pct" w:w="97%"/>
            <w:tcBorders>
              <w:top w:val="none" w:color="FFFFFF" w:sz="0"/>
              <w:left w:val="none" w:color="FFFFFF" w:sz="0"/>
              <w:bottom w:val="none" w:color="FFFFFF" w:sz="0"/>
              <w:right w:val="none" w:color="FFFFFF" w:sz="0"/>
            </w:tcBorders>
            <w:shd w:fill="F4F1EA" w:color="F4F1EA" w:val="solid"/>
            <w:tcMar>
              <w:top w:type="dxa" w:w="200"/>
              <w:left w:type="dxa" w:w="300"/>
              <w:bottom w:type="dxa" w:w="200"/>
              <w:right w:type="dxa" w:w="300"/>
            </w:tcMar>
          </w:tcPr>
          <w:p>
            <w:pPr>
              <w:spacing w:after="60" w:before="0" w:line="320"/>
            </w:pPr>
            <w:r>
              <w:rPr>
                <w:rFonts w:ascii="Georgia" w:cs="Georgia" w:eastAsia="Georgia" w:hAnsi="Georgia"/>
                <w:color w:val="1E3A5F"/>
                <w:sz w:val="24"/>
                <w:szCs w:val="24"/>
              </w:rPr>
              <w:t xml:space="preserve">Die Tätigkeitsabgrenzung ist eine strukturierte Planungs- und Risikoprüfung, keine verbindliche Rechtsberatung oder behördliche Erlaubnisentscheidung. Vor Aufnahme grenznaher Leistungen ist die schriftliche Einordnung durch das zuständige Ordnungsamt beziehungsweise qualifizierte Rechtsberatung maßgeblich. Abrufstand: 28. Juli 2026.</w:t>
            </w:r>
          </w:p>
          <w:p>
            <w:pPr>
              <w:spacing w:after="0" w:before="40"/>
            </w:pPr>
            <w:r>
              <w:rPr>
                <w:rFonts w:ascii="Calibri" w:cs="Calibri" w:eastAsia="Calibri" w:hAnsi="Calibri"/>
                <w:b/>
                <w:bCs/>
                <w:color w:val="6E6858"/>
                <w:spacing w:val="50"/>
                <w:sz w:val="16"/>
                <w:szCs w:val="16"/>
              </w:rPr>
              <w:t xml:space="preserve">RECHTS- UND FÖRDERHINWEIS</w:t>
            </w:r>
          </w:p>
        </w:tc>
      </w:tr>
    </w:tbl>
    <w:sectPr>
      <w:headerReference w:type="default" r:id="rId7"/>
      <w:footerReference w:type="default" r:id="rId8"/>
      <w:pgSz w:w="11906" w:h="16838" w:orient="portrait"/>
      <w:pgMar w:top="10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Calibri" w:cs="Calibri" w:eastAsia="Calibri" w:hAnsi="Calibri"/>
        <w:color w:val="6E6858"/>
        <w:sz w:val="14"/>
        <w:szCs w:val="14"/>
      </w:rPr>
      <w:t xml:space="preserve">AMAVIO Holding UG (haftungsbeschränkt) · Düsseldorf · v2.2</w:t>
    </w:r>
    <w:r>
      <w:rPr>
        <w:rFonts w:ascii="Calibri" w:cs="Calibri" w:eastAsia="Calibri" w:hAnsi="Calibri"/>
        <w:color w:val="6E6858"/>
        <w:sz w:val="14"/>
        <w:szCs w:val="14"/>
      </w:rPr>
      <w:t xml:space="preserve">                                                                                                                        Seite </w:t>
    </w:r>
    <w:r>
      <w:rPr>
        <w:rFonts w:ascii="Calibri" w:cs="Calibri" w:eastAsia="Calibri" w:hAnsi="Calibri"/>
        <w:b/>
        <w:bCs/>
        <w:color w:val="6E6858"/>
        <w:sz w:val="14"/>
        <w:szCs w:val="14"/>
      </w:rPr>
      <w:fldChar w:fldCharType="begin"/>
      <w:instrText xml:space="preserve">PAGE</w:instrText>
      <w:fldChar w:fldCharType="separate"/>
      <w:fldChar w:fldCharType="end"/>
    </w:r>
    <w:r>
      <w:rPr>
        <w:rFonts w:ascii="Calibri" w:cs="Calibri" w:eastAsia="Calibri" w:hAnsi="Calibri"/>
        <w:color w:val="6E6858"/>
        <w:sz w:val="14"/>
        <w:szCs w:val="14"/>
      </w:rPr>
      <w:t xml:space="preserve"> von </w:t>
    </w:r>
    <w:r>
      <w:rPr>
        <w:rFonts w:ascii="Calibri" w:cs="Calibri" w:eastAsia="Calibri" w:hAnsi="Calibri"/>
        <w:b/>
        <w:bCs/>
        <w:color w:val="6E685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6" w:space="4"/>
      </w:pBdr>
      <w:spacing w:after="0" w:before="0"/>
    </w:pPr>
    <w:r>
      <w:rPr>
        <w:rFonts w:ascii="Georgia" w:cs="Georgia" w:eastAsia="Georgia" w:hAnsi="Georgia"/>
        <w:b/>
        <w:bCs/>
        <w:color w:val="1E3A5F"/>
        <w:spacing w:val="60"/>
        <w:sz w:val="18"/>
        <w:szCs w:val="18"/>
      </w:rPr>
      <w:t xml:space="preserve">AMAVIO  ·  LIVING</w:t>
    </w:r>
    <w:r>
      <w:rPr>
        <w:rFonts w:ascii="Calibri" w:cs="Calibri" w:eastAsia="Calibri" w:hAnsi="Calibri"/>
        <w:color w:val="6E6858"/>
        <w:spacing w:val="40"/>
        <w:sz w:val="14"/>
        <w:szCs w:val="14"/>
      </w:rPr>
      <w:t xml:space="preserve">     WORKFORCE HOUSING &amp; INTEGRATION</w:t>
    </w:r>
    <w:r>
      <w:rPr>
        <w:rFonts w:ascii="Calibri" w:cs="Calibri" w:eastAsia="Calibri" w:hAnsi="Calibri"/>
        <w:color w:val="C9A961"/>
        <w:spacing w:val="40"/>
        <w:sz w:val="14"/>
        <w:szCs w:val="14"/>
      </w:rPr>
      <w:t xml:space="preserve">                                          ANLAGEN- UND NACHWEISPAKET · VERTRAULICH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B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AMAVIO Anlagen- und Nachweispaket v2.2</dc:title>
  <dc:creator>AMAVIO Holding UG</dc:creator>
  <cp:lastModifiedBy>Un-named</cp:lastModifiedBy>
  <cp:revision>1</cp:revision>
  <dcterms:created xsi:type="dcterms:W3CDTF">2026-07-28T20:45:37.451Z</dcterms:created>
  <dcterms:modified xsi:type="dcterms:W3CDTF">2026-07-28T20:45:37.455Z</dcterms:modified>
</cp:coreProperties>
</file>

<file path=docProps/custom.xml><?xml version="1.0" encoding="utf-8"?>
<Properties xmlns="http://schemas.openxmlformats.org/officeDocument/2006/custom-properties" xmlns:vt="http://schemas.openxmlformats.org/officeDocument/2006/docPropsVTypes"/>
</file>