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b/>
          <w:color w:val="D6B46A"/>
          <w:sz w:val="26"/>
        </w:rPr>
        <w:t>AMAVIO LIVING</w:t>
      </w:r>
    </w:p>
    <w:p>
      <w:pPr>
        <w:jc w:val="center"/>
      </w:pPr>
      <w:r>
        <w:rPr>
          <w:b/>
          <w:color w:val="071523"/>
          <w:sz w:val="60"/>
        </w:rPr>
        <w:t>Coach Readiness Paket</w:t>
      </w:r>
    </w:p>
    <w:p>
      <w:pPr>
        <w:spacing w:after="440"/>
        <w:jc w:val="center"/>
      </w:pPr>
      <w:r>
        <w:rPr>
          <w:color w:val="514A41"/>
          <w:sz w:val="24"/>
        </w:rPr>
        <w:t>Businessplan v2.2 | Finanzmodell v1.8 | Deck- und Pitch-Brücke</w:t>
      </w:r>
    </w:p>
    <w:tbl>
      <w:tblPr>
        <w:tblW w:type="auto" w:w="0"/>
        <w:jc w:val="center"/>
        <w:tblLook w:firstColumn="1" w:firstRow="1" w:lastColumn="0" w:lastRow="0" w:noHBand="0" w:noVBand="1" w:val="04A0"/>
      </w:tblPr>
      <w:tblGrid>
        <w:gridCol w:w="4896"/>
        <w:gridCol w:w="4896"/>
      </w:tblGrid>
      <w:tr>
        <w:tc>
          <w:tcPr>
            <w:tcW w:type="dxa" w:w="4896"/>
            <w:vAlign w:val="center"/>
            <w:shd w:fill="F6EFE2"/>
          </w:tcPr>
          <w:p>
            <w:r/>
            <w:r>
              <w:rPr>
                <w:b/>
                <w:color w:val="10243E"/>
                <w:sz w:val="18"/>
              </w:rPr>
              <w:t>Stand</w:t>
            </w:r>
          </w:p>
        </w:tc>
        <w:tc>
          <w:tcPr>
            <w:tcW w:type="dxa" w:w="4896"/>
            <w:vAlign w:val="center"/>
          </w:tcPr>
          <w:p>
            <w:r/>
            <w:r>
              <w:rPr>
                <w:b w:val="0"/>
                <w:color w:val="514A41"/>
                <w:sz w:val="18"/>
              </w:rPr>
              <w:t>31. Juli 2026</w:t>
            </w:r>
          </w:p>
        </w:tc>
      </w:tr>
      <w:tr>
        <w:tc>
          <w:tcPr>
            <w:tcW w:type="dxa" w:w="4896"/>
            <w:vAlign w:val="center"/>
            <w:shd w:fill="F6EFE2"/>
          </w:tcPr>
          <w:p>
            <w:r/>
            <w:r>
              <w:rPr>
                <w:b/>
                <w:color w:val="10243E"/>
                <w:sz w:val="18"/>
              </w:rPr>
              <w:t>Ziel</w:t>
            </w:r>
          </w:p>
        </w:tc>
        <w:tc>
          <w:tcPr>
            <w:tcW w:type="dxa" w:w="4896"/>
            <w:vAlign w:val="center"/>
          </w:tcPr>
          <w:p>
            <w:r/>
            <w:r>
              <w:rPr>
                <w:b w:val="0"/>
                <w:color w:val="514A41"/>
                <w:sz w:val="18"/>
              </w:rPr>
              <w:t>Coach-fähige Entscheidungs- und Prüfunterlage</w:t>
            </w:r>
          </w:p>
        </w:tc>
      </w:tr>
      <w:tr>
        <w:tc>
          <w:tcPr>
            <w:tcW w:type="dxa" w:w="4896"/>
            <w:vAlign w:val="center"/>
            <w:shd w:fill="F6EFE2"/>
          </w:tcPr>
          <w:p>
            <w:r/>
            <w:r>
              <w:rPr>
                <w:b/>
                <w:color w:val="10243E"/>
                <w:sz w:val="18"/>
              </w:rPr>
              <w:t>Führende Zahlen</w:t>
            </w:r>
          </w:p>
        </w:tc>
        <w:tc>
          <w:tcPr>
            <w:tcW w:type="dxa" w:w="4896"/>
            <w:vAlign w:val="center"/>
          </w:tcPr>
          <w:p>
            <w:r/>
            <w:r>
              <w:rPr>
                <w:b w:val="0"/>
                <w:color w:val="514A41"/>
                <w:sz w:val="18"/>
              </w:rPr>
              <w:t>Umsatz 93.500 / 269.000 / 442.000 EUR</w:t>
            </w:r>
          </w:p>
        </w:tc>
      </w:tr>
      <w:tr>
        <w:tc>
          <w:tcPr>
            <w:tcW w:type="dxa" w:w="4896"/>
            <w:vAlign w:val="center"/>
            <w:shd w:fill="F6EFE2"/>
          </w:tcPr>
          <w:p>
            <w:r/>
            <w:r>
              <w:rPr>
                <w:b/>
                <w:color w:val="10243E"/>
                <w:sz w:val="18"/>
              </w:rPr>
              <w:t>Wichtig</w:t>
            </w:r>
          </w:p>
        </w:tc>
        <w:tc>
          <w:tcPr>
            <w:tcW w:type="dxa" w:w="4896"/>
            <w:vAlign w:val="center"/>
          </w:tcPr>
          <w:p>
            <w:r/>
            <w:r>
              <w:rPr>
                <w:b w:val="0"/>
                <w:color w:val="514A41"/>
                <w:sz w:val="18"/>
              </w:rPr>
              <w:t>Keine Website-Finalisierung in diesem Paket</w:t>
            </w:r>
          </w:p>
        </w:tc>
      </w:tr>
    </w:tbl>
    <w:p>
      <w:r>
        <w:br w:type="page"/>
      </w:r>
    </w:p>
    <w:p>
      <w:pPr>
        <w:pStyle w:val="Heading1"/>
      </w:pPr>
      <w:r>
        <w:t>Coach Story</w:t>
      </w:r>
    </w:p>
    <w:p>
      <w:r>
        <w:t>Stand: 31. Juli 2026</w:t>
      </w:r>
    </w:p>
    <w:p>
      <w:r>
        <w:rPr>
          <w:i/>
        </w:rPr>
        <w:t>Zweck: kompakte Sprechspur für Coach, Prüfer, Sparringspartner oder Erstinvestor. Dieses Dokument ersetzt nicht Businessplan, Finanzmodell oder Decks, sondern verbindet sie in einer prüfbaren Linie.</w:t>
      </w:r>
    </w:p>
    <w:p>
      <w:pPr>
        <w:pStyle w:val="Heading2"/>
      </w:pPr>
      <w:r>
        <w:t>0. Zentrale These</w:t>
      </w:r>
    </w:p>
    <w:p>
      <w:r>
        <w:t>AMAVIO Living löst nicht "Wohnungssuche" als Einzelleistung, sondern die operative Lücke zwischen Personalzusage und arbeitsfähigem Start: Arbeitgeber brauchen planbare Ankunft, Wohnfähigkeit, Dokumentation und Stabilisierung, ohne dafür intern eine neue Abteilung aufzubauen.</w:t>
      </w:r>
    </w:p>
    <w:p>
      <w:pPr>
        <w:pStyle w:val="Heading2"/>
      </w:pPr>
      <w:r>
        <w:t>1. Einstieg - Problem in 30 Sekunden</w:t>
      </w:r>
    </w:p>
    <w:p>
      <w:r>
        <w:t>Internationale Fachkräfte werden oft rekrutiert, bevor Wohnen, Ankunft und lokale Startfähigkeit wirklich gesichert sind. Dadurch entsteht nach der Vertragszusage ein operativer Nebenprozess: Wohnraum prüfen, Bezugsfähigkeit klären, Dokumente sammeln, Ankunft koordinieren, Erwartungen steuern und die ersten Wochen stabilisieren.</w:t>
      </w:r>
    </w:p>
    <w:p>
      <w:r>
        <w:t>Das Problem ist teuer, weil es nicht wie ein einzelner Umzug aussieht, sondern wie viele kleine Abhängigkeiten: HR, Standort, Wohnraum, Partner, Dokumente, Startdatum, Budget und Kommunikation. Genau dort entsteht Verzögerung, Unsicherheit und Reibung.</w:t>
      </w:r>
    </w:p>
    <w:p>
      <w:pPr>
        <w:pStyle w:val="Heading2"/>
      </w:pPr>
      <w:r>
        <w:t>2. Zielkunde und Kaufauslöser - 40 Sekunden</w:t>
      </w:r>
    </w:p>
    <w:p>
      <w:r>
        <w:t>Der primäre Zielkunde ist ein Arbeitgeber mit internationalem Hiring-Bedarf, der merkt: Der Arbeitsvertrag löst die operative Startfrage noch nicht.</w:t>
      </w:r>
    </w:p>
    <w:p>
      <w:r>
        <w:t>Der Kaufauslöser ist nicht "wir brauchen irgendeine Unterkunft", sondern:</w:t>
      </w:r>
    </w:p>
    <w:p>
      <w:pPr>
        <w:pStyle w:val="ListBullet"/>
      </w:pPr>
      <w:r>
        <w:t>mehrere internationale Starts oder wiederkehrender Bedarf,</w:t>
      </w:r>
    </w:p>
    <w:p>
      <w:pPr>
        <w:pStyle w:val="ListBullet"/>
      </w:pPr>
      <w:r>
        <w:t>keine klare interne Zuständigkeit zwischen HR, Standort und operativer Umsetzung,</w:t>
      </w:r>
    </w:p>
    <w:p>
      <w:pPr>
        <w:pStyle w:val="ListBullet"/>
      </w:pPr>
      <w:r>
        <w:t>Sorge vor Verzögerung, Frust oder Abbruch vor bzw. kurz nach Arbeitsstart,</w:t>
      </w:r>
    </w:p>
    <w:p>
      <w:pPr>
        <w:pStyle w:val="ListBullet"/>
      </w:pPr>
      <w:r>
        <w:t>Bedarf an dokumentierter Entscheidung statt improvisierter Einzelfalllösung.</w:t>
      </w:r>
    </w:p>
    <w:p>
      <w:r>
        <w:t>AMAVIO wird also nicht als Möbel-, Makler- oder Relocation-Baustein verkauft, sondern als kontrollierter Startprozess.</w:t>
      </w:r>
    </w:p>
    <w:p>
      <w:pPr>
        <w:pStyle w:val="Heading2"/>
      </w:pPr>
      <w:r>
        <w:t>3. Lösung - 60 Sekunden</w:t>
      </w:r>
    </w:p>
    <w:p>
      <w:r>
        <w:t>AMAVIO strukturiert Workforce Housing &amp; Integration als Prozess mit Gates.</w:t>
      </w:r>
    </w:p>
    <w:p>
      <w:r>
        <w:t>Die Logik:</w:t>
      </w:r>
    </w:p>
    <w:p>
      <w:pPr>
        <w:pStyle w:val="ListNumber"/>
      </w:pPr>
      <w:r>
        <w:t>Bedarf und Startfenster klären.</w:t>
      </w:r>
    </w:p>
    <w:p>
      <w:pPr>
        <w:pStyle w:val="ListNumber"/>
      </w:pPr>
      <w:r>
        <w:t>Wohn- und Standortoptionen einordnen.</w:t>
      </w:r>
    </w:p>
    <w:p>
      <w:pPr>
        <w:pStyle w:val="ListNumber"/>
      </w:pPr>
      <w:r>
        <w:t>Bezugsfähigkeit, Kosten, Rollen und Grenzen dokumentieren.</w:t>
      </w:r>
    </w:p>
    <w:p>
      <w:pPr>
        <w:pStyle w:val="ListNumber"/>
      </w:pPr>
      <w:r>
        <w:t>Ankunft und Übergabe koordinieren.</w:t>
      </w:r>
    </w:p>
    <w:p>
      <w:pPr>
        <w:pStyle w:val="ListNumber"/>
      </w:pPr>
      <w:r>
        <w:t>Die ersten 30 bis 90 Tage stabilisieren und auswerten.</w:t>
      </w:r>
    </w:p>
    <w:p>
      <w:r>
        <w:t>Wichtig: AMAVIO verspricht nicht pauschal Verfügbarkeit, Visa-Erfolg, Mietvertrag oder Arbeitsbeginn. Der Wert liegt gerade darin, Unsicherheit früh sichtbar zu machen, saubere Entscheidungen vorzubereiten und wiederholbare Serviceumsätze aufzubauen.</w:t>
      </w:r>
    </w:p>
    <w:p>
      <w:pPr>
        <w:pStyle w:val="Heading2"/>
      </w:pPr>
      <w:r>
        <w:t>4. Angebot und Preise - 50 Sekunden</w:t>
      </w:r>
    </w:p>
    <w:p>
      <w:r>
        <w:t>Die Angebotslogik ist bewusst gestuft:</w:t>
      </w:r>
    </w:p>
    <w:p>
      <w:pPr>
        <w:pStyle w:val="ListBullet"/>
      </w:pPr>
      <w:r>
        <w:t>Readiness Blueprint: Einstieg und Entscheidungsgrundlage, ab 12.500 EUR netto.</w:t>
      </w:r>
    </w:p>
    <w:p>
      <w:pPr>
        <w:pStyle w:val="ListBullet"/>
      </w:pPr>
      <w:r>
        <w:t>Cohort Landing Launch: koordinierter Launch für eine konkrete Kohorte, ab 29.500 EUR netto.</w:t>
      </w:r>
    </w:p>
    <w:p>
      <w:pPr>
        <w:pStyle w:val="ListBullet"/>
      </w:pPr>
      <w:r>
        <w:t>Arrival Office: laufende Housing- und Arrival-Funktion mit Setup ab 15.000 EUR und monatlicher Betreuung.</w:t>
      </w:r>
    </w:p>
    <w:p>
      <w:r>
        <w:t>Der wichtige Punkt für den Coach: Der Kapitalbedarf von 25.000 EUR ist nicht der Launchpreis. Der Kapitalbedarf beschreibt die Finanzierung des Unternehmensstarts und der ersten Umsetzungsschritte. Der Launchpreis von 29.500 EUR netto ist ein Kundenangebot für einen konkreten Cohort Landing Launch.</w:t>
      </w:r>
    </w:p>
    <w:p>
      <w:pPr>
        <w:pStyle w:val="Heading2"/>
      </w:pPr>
      <w:r>
        <w:t>5. Finanzlogik - 60 Sekunden</w:t>
      </w:r>
    </w:p>
    <w:p>
      <w:r>
        <w:t>Das Finanzmodell v1.8 arbeitet mit den kanonischen Umsatzwerten:</w:t>
      </w:r>
    </w:p>
    <w:p>
      <w:pPr>
        <w:pStyle w:val="ListBullet"/>
      </w:pPr>
      <w:r>
        <w:t>Jahr 1: 93.500 EUR Umsatz</w:t>
      </w:r>
    </w:p>
    <w:p>
      <w:pPr>
        <w:pStyle w:val="ListBullet"/>
      </w:pPr>
      <w:r>
        <w:t>Jahr 2: 269.000 EUR Umsatz</w:t>
      </w:r>
    </w:p>
    <w:p>
      <w:pPr>
        <w:pStyle w:val="ListBullet"/>
      </w:pPr>
      <w:r>
        <w:t>Jahr 3: 442.000 EUR Umsatz</w:t>
      </w:r>
    </w:p>
    <w:p>
      <w:r>
        <w:t>EBITDA-Linie laut aktueller Source-of-Truth:</w:t>
      </w:r>
    </w:p>
    <w:p>
      <w:pPr>
        <w:pStyle w:val="ListBullet"/>
      </w:pPr>
      <w:r>
        <w:t>Jahr 1: 34.950 EUR</w:t>
      </w:r>
    </w:p>
    <w:p>
      <w:pPr>
        <w:pStyle w:val="ListBullet"/>
      </w:pPr>
      <w:r>
        <w:t>Jahr 2: 120.320 EUR</w:t>
      </w:r>
    </w:p>
    <w:p>
      <w:pPr>
        <w:pStyle w:val="ListBullet"/>
      </w:pPr>
      <w:r>
        <w:t>Jahr 3: 169.300 EUR</w:t>
      </w:r>
    </w:p>
    <w:p>
      <w:r>
        <w:t>Die Prüffrage ist nicht, ob diese Zahlen "groß genug" klingen. Die Prüffrage ist, ob Menge × Preis × Zeitpunkt × Kapazität plausibel zusammenpassen.</w:t>
      </w:r>
    </w:p>
    <w:p>
      <w:r>
        <w:t>Die Coach-Diskussion sollte deshalb auf vier Punkte gehen:</w:t>
      </w:r>
    </w:p>
    <w:p>
      <w:pPr>
        <w:pStyle w:val="ListNumber"/>
      </w:pPr>
      <w:r>
        <w:t>Welche Angebotsmix-Annahme treibt Jahr 1?</w:t>
      </w:r>
    </w:p>
    <w:p>
      <w:pPr>
        <w:pStyle w:val="ListNumber"/>
      </w:pPr>
      <w:r>
        <w:t>Wie viele Mandate kann die Gründer-/Partnerstruktur realistisch abwickeln?</w:t>
      </w:r>
    </w:p>
    <w:p>
      <w:pPr>
        <w:pStyle w:val="ListNumber"/>
      </w:pPr>
      <w:r>
        <w:t>Wann fließen Anzahlungen und Schlusszahlungen?</w:t>
      </w:r>
    </w:p>
    <w:p>
      <w:pPr>
        <w:pStyle w:val="ListNumber"/>
      </w:pPr>
      <w:r>
        <w:t>Wo liegt das Liquiditätsminimum, wenn ein Launch später startet?</w:t>
      </w:r>
    </w:p>
    <w:p>
      <w:pPr>
        <w:pStyle w:val="Heading2"/>
      </w:pPr>
      <w:r>
        <w:t>6. Marktzugang und Proof - 45 Sekunden</w:t>
      </w:r>
    </w:p>
    <w:p>
      <w:r>
        <w:t>AMAVIO sollte vor dem Coach nicht behaupten, bereits beliebig skalierbare Nachfrage oder garantierte Partnerkapazitäten zu haben.</w:t>
      </w:r>
    </w:p>
    <w:p>
      <w:r>
        <w:t>Stärker ist die ehrliche Position:</w:t>
      </w:r>
    </w:p>
    <w:p>
      <w:r>
        <w:t>Wir haben ein klares Problem, eine definierte Zielkundensituation, ein gestuftes Angebot, ein 36-Monats-Modell und eine prüfbare Gate-Logik. Die nächsten Beweise sind fokussiert: erste Zielaccounts, Discovery-Gespräche, Partnerfähigkeit, P1-Rechtsklärung und ein sauberer Nachweis der Zahlungsbereitschaft.</w:t>
      </w:r>
    </w:p>
    <w:p>
      <w:pPr>
        <w:pStyle w:val="Heading2"/>
      </w:pPr>
      <w:r>
        <w:t>7. Risiken und P1-Gates - 45 Sekunden</w:t>
      </w:r>
    </w:p>
    <w:p>
      <w:r>
        <w:t>Die wichtigsten offenen Gates:</w:t>
      </w:r>
    </w:p>
    <w:p>
      <w:pPr>
        <w:pStyle w:val="ListBullet"/>
      </w:pPr>
      <w:r>
        <w:t>Mittelzufluss / 24.500 EUR: Beleg und Zuordnung klären.</w:t>
      </w:r>
    </w:p>
    <w:p>
      <w:pPr>
        <w:pStyle w:val="ListBullet"/>
      </w:pPr>
      <w:r>
        <w:t>§34c-Rolle: sauber abgrenzen, ob und wo erlaubnispflichtige Vermittlung berührt wird.</w:t>
      </w:r>
    </w:p>
    <w:p>
      <w:pPr>
        <w:pStyle w:val="ListBullet"/>
      </w:pPr>
      <w:r>
        <w:t>Unternehmensgegenstand: mit tatsächlicher Leistung und Vertragssystematik abgleichen.</w:t>
      </w:r>
    </w:p>
    <w:p>
      <w:pPr>
        <w:pStyle w:val="ListBullet"/>
      </w:pPr>
      <w:r>
        <w:t>Nachfragebeweis / Pipeline: nicht behaupten, sondern mit Zielaccount-Liste und Gesprächsstatus belegen.</w:t>
      </w:r>
    </w:p>
    <w:p>
      <w:pPr>
        <w:pStyle w:val="ListBullet"/>
      </w:pPr>
      <w:r>
        <w:t>Partnerfähigkeit: lokale Leistungspartner nicht als feste Kapazität darstellen, solange sie nicht belastbar bestätigt sind.</w:t>
      </w:r>
    </w:p>
    <w:p>
      <w:pPr>
        <w:pStyle w:val="Heading2"/>
      </w:pPr>
      <w:r>
        <w:t>8. Schluss - 30 Sekunden</w:t>
      </w:r>
    </w:p>
    <w:p>
      <w:r>
        <w:t>Der Kern von AMAVIO ist ein operationalisierbarer Startpfad für internationale Mitarbeitende. Wenn Arbeitgeber Hiring skalieren, wird Wohnen nicht zu einer Nebensache, sondern zu einer Startbedingung. AMAVIO macht diese Startbedingung planbar, dokumentierbar und als wiederholbare Dienstleistung verkaufbar.</w:t>
      </w:r>
    </w:p>
    <w:p>
      <w:pPr>
        <w:pStyle w:val="Heading2"/>
      </w:pPr>
      <w:r>
        <w:t>Drei Coach-Fragen</w:t>
      </w:r>
    </w:p>
    <w:p>
      <w:pPr>
        <w:pStyle w:val="ListNumber"/>
      </w:pPr>
      <w:r>
        <w:t>Welche Annahme im Jahr-1-Modell ist aus Coach-Sicht am kritischsten: Angebotsmix, Zahlungszeitpunkt, Kapazität oder Vertriebsgeschwindigkeit?</w:t>
      </w:r>
    </w:p>
    <w:p>
      <w:pPr>
        <w:pStyle w:val="ListNumber"/>
      </w:pPr>
      <w:r>
        <w:t>Welche Formulierung braucht AMAVIO, damit §34c-, Vermittlungs- und Leistungsgrenzen sauber und investorentauglich bleiben?</w:t>
      </w:r>
    </w:p>
    <w:p>
      <w:pPr>
        <w:pStyle w:val="ListNumber"/>
      </w:pPr>
      <w:r>
        <w:t>Welcher erste Proof wiegt am meisten: bezahlte Discovery, unterschriebener Pilot, Partner-SLA oder dokumentierte Zielaccount-Pipeline?</w:t>
      </w:r>
    </w:p>
    <w:p>
      <w:pPr>
        <w:pStyle w:val="Heading2"/>
      </w:pPr>
      <w:r>
        <w:t>Kurze Pitch-Trennung</w:t>
      </w:r>
    </w:p>
    <w:p>
      <w:pPr>
        <w:pStyle w:val="Heading3"/>
      </w:pPr>
      <w:r>
        <w:t>Für Investor / Finanzierung</w:t>
      </w:r>
    </w:p>
    <w:p>
      <w:r>
        <w:t>Fokus:</w:t>
      </w:r>
    </w:p>
    <w:p>
      <w:pPr>
        <w:pStyle w:val="ListBullet"/>
      </w:pPr>
      <w:r>
        <w:t>Risiko wird durch Gates reduziert.</w:t>
      </w:r>
    </w:p>
    <w:p>
      <w:pPr>
        <w:pStyle w:val="ListBullet"/>
      </w:pPr>
      <w:r>
        <w:t>Finanzmodell v1.8 ist die Zahlenbasis.</w:t>
      </w:r>
    </w:p>
    <w:p>
      <w:pPr>
        <w:pStyle w:val="ListBullet"/>
      </w:pPr>
      <w:r>
        <w:t>Kapitalbedarf und Mittelverwendung sind klar zu trennen.</w:t>
      </w:r>
    </w:p>
    <w:p>
      <w:pPr>
        <w:pStyle w:val="ListBullet"/>
      </w:pPr>
      <w:r>
        <w:t>Proof-Roadmap entscheidet über Investierbarkeit.</w:t>
      </w:r>
    </w:p>
    <w:p>
      <w:r>
        <w:t>Kernaussage:</w:t>
      </w:r>
    </w:p>
    <w:p>
      <w:r>
        <w:t>AMAVIO wird investierbar, wenn wiederholbare Delivery, Zahlungsbereitschaft und P1-Risiken sauber belegt sind.</w:t>
      </w:r>
    </w:p>
    <w:p>
      <w:pPr>
        <w:pStyle w:val="Heading3"/>
      </w:pPr>
      <w:r>
        <w:t>Für Arbeitgeber / Client</w:t>
      </w:r>
    </w:p>
    <w:p>
      <w:r>
        <w:t>Fokus:</w:t>
      </w:r>
    </w:p>
    <w:p>
      <w:pPr>
        <w:pStyle w:val="ListBullet"/>
      </w:pPr>
      <w:r>
        <w:t>Internationale Mitarbeitende sollen arbeitsfähig starten.</w:t>
      </w:r>
    </w:p>
    <w:p>
      <w:pPr>
        <w:pStyle w:val="ListBullet"/>
      </w:pPr>
      <w:r>
        <w:t>Arbeitgeber kauft Klarheit, Taktung und Entlastung.</w:t>
      </w:r>
    </w:p>
    <w:p>
      <w:pPr>
        <w:pStyle w:val="ListBullet"/>
      </w:pPr>
      <w:r>
        <w:t>Keine Garantien, sondern kontrollierte Abhängigkeiten.</w:t>
      </w:r>
    </w:p>
    <w:p>
      <w:pPr>
        <w:pStyle w:val="ListBullet"/>
      </w:pPr>
      <w:r>
        <w:t>Drei Angebote schaffen Einstieg, Launch und laufende Funktion.</w:t>
      </w:r>
    </w:p>
    <w:p>
      <w:r>
        <w:t>Kernaussage:</w:t>
      </w:r>
    </w:p>
    <w:p>
      <w:r>
        <w:t>AMAVIO schützt den Arbeitsstart, indem es Wohnen, Ankunft und Stabilisierung in einen verantworteten Prozess bringt.</w:t>
      </w:r>
    </w:p>
    <w:p>
      <w:pPr>
        <w:sectPr>
          <w:footerReference w:type="default" r:id="rId9"/>
          <w:pgSz w:w="12240" w:h="15840"/>
          <w:pgMar w:top="1152" w:right="1224" w:bottom="1080" w:left="1224" w:header="720" w:footer="720" w:gutter="0"/>
          <w:cols w:space="720"/>
          <w:docGrid w:linePitch="360"/>
        </w:sectPr>
      </w:pPr>
    </w:p>
    <w:p>
      <w:pPr>
        <w:pStyle w:val="Heading1"/>
      </w:pPr>
      <w:r>
        <w:t>P1 Gate Status</w:t>
      </w:r>
    </w:p>
    <w:p>
      <w:r>
        <w:t>Stand: 31. Juli 2026</w:t>
      </w:r>
    </w:p>
    <w:p>
      <w:r>
        <w:rPr>
          <w:i/>
        </w:rPr>
        <w:t>Zweck: offene prüfungs- und coachrelevante Gates transparent machen. Dieses Dokument ist bewusst kein Marketingpapier, sondern ein Risikosteuerungsblatt.</w:t>
      </w:r>
    </w:p>
    <w:p>
      <w:pPr>
        <w:pStyle w:val="Heading2"/>
      </w:pPr>
      <w:r>
        <w:t>Kurzlogik</w:t>
      </w:r>
    </w:p>
    <w:p>
      <w:r>
        <w:t>AMAVIO sollte im Coach-Gespräch nicht so tun, als seien alle Voraussetzungen final gelöst. Stärker ist: klare Gates, klare Belege, klare nächste Entscheidungen.</w:t>
      </w:r>
    </w:p>
    <w:p>
      <w:pPr>
        <w:pStyle w:val="Heading2"/>
      </w:pPr>
      <w:r>
        <w:t>Gate-Board</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c>
          <w:tcPr>
            <w:tcW w:type="dxa" w:w="1632"/>
            <w:vAlign w:val="center"/>
            <w:shd w:fill="F6EFE2"/>
          </w:tcPr>
          <w:p>
            <w:r/>
            <w:r>
              <w:rPr>
                <w:b/>
                <w:color w:val="10243E"/>
                <w:sz w:val="18"/>
              </w:rPr>
              <w:t>Priorität</w:t>
            </w:r>
          </w:p>
        </w:tc>
        <w:tc>
          <w:tcPr>
            <w:tcW w:type="dxa" w:w="1632"/>
            <w:vAlign w:val="center"/>
            <w:shd w:fill="F6EFE2"/>
          </w:tcPr>
          <w:p>
            <w:r/>
            <w:r>
              <w:rPr>
                <w:b/>
                <w:color w:val="10243E"/>
                <w:sz w:val="18"/>
              </w:rPr>
              <w:t>Gate</w:t>
            </w:r>
          </w:p>
        </w:tc>
        <w:tc>
          <w:tcPr>
            <w:tcW w:type="dxa" w:w="1632"/>
            <w:vAlign w:val="center"/>
            <w:shd w:fill="F6EFE2"/>
          </w:tcPr>
          <w:p>
            <w:r/>
            <w:r>
              <w:rPr>
                <w:b/>
                <w:color w:val="10243E"/>
                <w:sz w:val="18"/>
              </w:rPr>
              <w:t>Aktueller Status</w:t>
            </w:r>
          </w:p>
        </w:tc>
        <w:tc>
          <w:tcPr>
            <w:tcW w:type="dxa" w:w="1632"/>
            <w:vAlign w:val="center"/>
            <w:shd w:fill="F6EFE2"/>
          </w:tcPr>
          <w:p>
            <w:r/>
            <w:r>
              <w:rPr>
                <w:b/>
                <w:color w:val="10243E"/>
                <w:sz w:val="18"/>
              </w:rPr>
              <w:t>Risiko, wenn ungeklärt</w:t>
            </w:r>
          </w:p>
        </w:tc>
        <w:tc>
          <w:tcPr>
            <w:tcW w:type="dxa" w:w="1632"/>
            <w:vAlign w:val="center"/>
            <w:shd w:fill="F6EFE2"/>
          </w:tcPr>
          <w:p>
            <w:r/>
            <w:r>
              <w:rPr>
                <w:b/>
                <w:color w:val="10243E"/>
                <w:sz w:val="18"/>
              </w:rPr>
              <w:t>Benötigter Beleg</w:t>
            </w:r>
          </w:p>
        </w:tc>
        <w:tc>
          <w:tcPr>
            <w:tcW w:type="dxa" w:w="1632"/>
            <w:vAlign w:val="center"/>
            <w:shd w:fill="F6EFE2"/>
          </w:tcPr>
          <w:p>
            <w:r/>
            <w:r>
              <w:rPr>
                <w:b/>
                <w:color w:val="10243E"/>
                <w:sz w:val="18"/>
              </w:rPr>
              <w:t>Nächster Schritt</w:t>
            </w:r>
          </w:p>
        </w:tc>
      </w:tr>
      <w:tr>
        <w:tc>
          <w:tcPr>
            <w:tcW w:type="dxa" w:w="1632"/>
            <w:vAlign w:val="center"/>
          </w:tcPr>
          <w:p>
            <w:r/>
            <w:r>
              <w:rPr>
                <w:b w:val="0"/>
                <w:color w:val="514A41"/>
                <w:sz w:val="18"/>
              </w:rPr>
              <w:t>P1</w:t>
            </w:r>
          </w:p>
        </w:tc>
        <w:tc>
          <w:tcPr>
            <w:tcW w:type="dxa" w:w="1632"/>
            <w:vAlign w:val="center"/>
          </w:tcPr>
          <w:p>
            <w:r/>
            <w:r>
              <w:rPr>
                <w:b w:val="0"/>
                <w:color w:val="514A41"/>
                <w:sz w:val="18"/>
              </w:rPr>
              <w:t>Mittelzufluss / 24.500 EUR</w:t>
            </w:r>
          </w:p>
        </w:tc>
        <w:tc>
          <w:tcPr>
            <w:tcW w:type="dxa" w:w="1632"/>
            <w:vAlign w:val="center"/>
          </w:tcPr>
          <w:p>
            <w:r/>
            <w:r>
              <w:rPr>
                <w:b w:val="0"/>
                <w:color w:val="514A41"/>
                <w:sz w:val="18"/>
              </w:rPr>
              <w:t>Als kritischer Nachweis identifiziert</w:t>
            </w:r>
          </w:p>
        </w:tc>
        <w:tc>
          <w:tcPr>
            <w:tcW w:type="dxa" w:w="1632"/>
            <w:vAlign w:val="center"/>
          </w:tcPr>
          <w:p>
            <w:r/>
            <w:r>
              <w:rPr>
                <w:b w:val="0"/>
                <w:color w:val="514A41"/>
                <w:sz w:val="18"/>
              </w:rPr>
              <w:t>Kapitalbedarf und Umsetzungsfähigkeit wirken unscharf</w:t>
            </w:r>
          </w:p>
        </w:tc>
        <w:tc>
          <w:tcPr>
            <w:tcW w:type="dxa" w:w="1632"/>
            <w:vAlign w:val="center"/>
          </w:tcPr>
          <w:p>
            <w:r/>
            <w:r>
              <w:rPr>
                <w:b w:val="0"/>
                <w:color w:val="514A41"/>
                <w:sz w:val="18"/>
              </w:rPr>
              <w:t>Zahlungs-/Finanzierungsbeleg, Zuordnung zur Mittelverwendung</w:t>
            </w:r>
          </w:p>
        </w:tc>
        <w:tc>
          <w:tcPr>
            <w:tcW w:type="dxa" w:w="1632"/>
            <w:vAlign w:val="center"/>
          </w:tcPr>
          <w:p>
            <w:r/>
            <w:r>
              <w:rPr>
                <w:b w:val="0"/>
                <w:color w:val="514A41"/>
                <w:sz w:val="18"/>
              </w:rPr>
              <w:t>Belegquelle festlegen und mit Finanzmodell/Businessplan referenzieren</w:t>
            </w:r>
          </w:p>
        </w:tc>
      </w:tr>
      <w:tr>
        <w:tc>
          <w:tcPr>
            <w:tcW w:type="dxa" w:w="1632"/>
            <w:vAlign w:val="center"/>
          </w:tcPr>
          <w:p>
            <w:r/>
            <w:r>
              <w:rPr>
                <w:b w:val="0"/>
                <w:color w:val="514A41"/>
                <w:sz w:val="18"/>
              </w:rPr>
              <w:t>P1</w:t>
            </w:r>
          </w:p>
        </w:tc>
        <w:tc>
          <w:tcPr>
            <w:tcW w:type="dxa" w:w="1632"/>
            <w:vAlign w:val="center"/>
          </w:tcPr>
          <w:p>
            <w:r/>
            <w:r>
              <w:rPr>
                <w:b w:val="0"/>
                <w:color w:val="514A41"/>
                <w:sz w:val="18"/>
              </w:rPr>
              <w:t>§34c-Rolle</w:t>
            </w:r>
          </w:p>
        </w:tc>
        <w:tc>
          <w:tcPr>
            <w:tcW w:type="dxa" w:w="1632"/>
            <w:vAlign w:val="center"/>
          </w:tcPr>
          <w:p>
            <w:r/>
            <w:r>
              <w:rPr>
                <w:b w:val="0"/>
                <w:color w:val="514A41"/>
                <w:sz w:val="18"/>
              </w:rPr>
              <w:t>Abgrenzung offen zu halten</w:t>
            </w:r>
          </w:p>
        </w:tc>
        <w:tc>
          <w:tcPr>
            <w:tcW w:type="dxa" w:w="1632"/>
            <w:vAlign w:val="center"/>
          </w:tcPr>
          <w:p>
            <w:r/>
            <w:r>
              <w:rPr>
                <w:b w:val="0"/>
                <w:color w:val="514A41"/>
                <w:sz w:val="18"/>
              </w:rPr>
              <w:t>Risiko falscher Einordnung als erlaubnispflichtige Vermittlung</w:t>
            </w:r>
          </w:p>
        </w:tc>
        <w:tc>
          <w:tcPr>
            <w:tcW w:type="dxa" w:w="1632"/>
            <w:vAlign w:val="center"/>
          </w:tcPr>
          <w:p>
            <w:r/>
            <w:r>
              <w:rPr>
                <w:b w:val="0"/>
                <w:color w:val="514A41"/>
                <w:sz w:val="18"/>
              </w:rPr>
              <w:t>juristische Kurzprüfung oder dokumentierte Leistungsabgrenzung</w:t>
            </w:r>
          </w:p>
        </w:tc>
        <w:tc>
          <w:tcPr>
            <w:tcW w:type="dxa" w:w="1632"/>
            <w:vAlign w:val="center"/>
          </w:tcPr>
          <w:p>
            <w:r/>
            <w:r>
              <w:rPr>
                <w:b w:val="0"/>
                <w:color w:val="514A41"/>
                <w:sz w:val="18"/>
              </w:rPr>
              <w:t>Leistungsscope gegen Vermittlungs-/Maklerlogik prüfen</w:t>
            </w:r>
          </w:p>
        </w:tc>
      </w:tr>
      <w:tr>
        <w:tc>
          <w:tcPr>
            <w:tcW w:type="dxa" w:w="1632"/>
            <w:vAlign w:val="center"/>
          </w:tcPr>
          <w:p>
            <w:r/>
            <w:r>
              <w:rPr>
                <w:b w:val="0"/>
                <w:color w:val="514A41"/>
                <w:sz w:val="18"/>
              </w:rPr>
              <w:t>P1</w:t>
            </w:r>
          </w:p>
        </w:tc>
        <w:tc>
          <w:tcPr>
            <w:tcW w:type="dxa" w:w="1632"/>
            <w:vAlign w:val="center"/>
          </w:tcPr>
          <w:p>
            <w:r/>
            <w:r>
              <w:rPr>
                <w:b w:val="0"/>
                <w:color w:val="514A41"/>
                <w:sz w:val="18"/>
              </w:rPr>
              <w:t>Unternehmensgegenstand</w:t>
            </w:r>
          </w:p>
        </w:tc>
        <w:tc>
          <w:tcPr>
            <w:tcW w:type="dxa" w:w="1632"/>
            <w:vAlign w:val="center"/>
          </w:tcPr>
          <w:p>
            <w:r/>
            <w:r>
              <w:rPr>
                <w:b w:val="0"/>
                <w:color w:val="514A41"/>
                <w:sz w:val="18"/>
              </w:rPr>
              <w:t>Abgleichbedarf identifiziert</w:t>
            </w:r>
          </w:p>
        </w:tc>
        <w:tc>
          <w:tcPr>
            <w:tcW w:type="dxa" w:w="1632"/>
            <w:vAlign w:val="center"/>
          </w:tcPr>
          <w:p>
            <w:r/>
            <w:r>
              <w:rPr>
                <w:b w:val="0"/>
                <w:color w:val="514A41"/>
                <w:sz w:val="18"/>
              </w:rPr>
              <w:t>Satzung/Unternehmenszweck passt ggf. nicht sauber zu Leistungsversprechen</w:t>
            </w:r>
          </w:p>
        </w:tc>
        <w:tc>
          <w:tcPr>
            <w:tcW w:type="dxa" w:w="1632"/>
            <w:vAlign w:val="center"/>
          </w:tcPr>
          <w:p>
            <w:r/>
            <w:r>
              <w:rPr>
                <w:b w:val="0"/>
                <w:color w:val="514A41"/>
                <w:sz w:val="18"/>
              </w:rPr>
              <w:t>aktueller Unternehmensgegenstand + Zielscope</w:t>
            </w:r>
          </w:p>
        </w:tc>
        <w:tc>
          <w:tcPr>
            <w:tcW w:type="dxa" w:w="1632"/>
            <w:vAlign w:val="center"/>
          </w:tcPr>
          <w:p>
            <w:r/>
            <w:r>
              <w:rPr>
                <w:b w:val="0"/>
                <w:color w:val="514A41"/>
                <w:sz w:val="18"/>
              </w:rPr>
              <w:t>Formulierung auf Housing, Arrival, Koordination, Beratung und Plattformlogik abgleichen</w:t>
            </w:r>
          </w:p>
        </w:tc>
      </w:tr>
      <w:tr>
        <w:tc>
          <w:tcPr>
            <w:tcW w:type="dxa" w:w="1632"/>
            <w:vAlign w:val="center"/>
          </w:tcPr>
          <w:p>
            <w:r/>
            <w:r>
              <w:rPr>
                <w:b w:val="0"/>
                <w:color w:val="514A41"/>
                <w:sz w:val="18"/>
              </w:rPr>
              <w:t>P1</w:t>
            </w:r>
          </w:p>
        </w:tc>
        <w:tc>
          <w:tcPr>
            <w:tcW w:type="dxa" w:w="1632"/>
            <w:vAlign w:val="center"/>
          </w:tcPr>
          <w:p>
            <w:r/>
            <w:r>
              <w:rPr>
                <w:b w:val="0"/>
                <w:color w:val="514A41"/>
                <w:sz w:val="18"/>
              </w:rPr>
              <w:t>Nachfragebeweis / Pipeline</w:t>
            </w:r>
          </w:p>
        </w:tc>
        <w:tc>
          <w:tcPr>
            <w:tcW w:type="dxa" w:w="1632"/>
            <w:vAlign w:val="center"/>
          </w:tcPr>
          <w:p>
            <w:r/>
            <w:r>
              <w:rPr>
                <w:b w:val="0"/>
                <w:color w:val="514A41"/>
                <w:sz w:val="18"/>
              </w:rPr>
              <w:t>Noch nicht als harter Proof behandeln</w:t>
            </w:r>
          </w:p>
        </w:tc>
        <w:tc>
          <w:tcPr>
            <w:tcW w:type="dxa" w:w="1632"/>
            <w:vAlign w:val="center"/>
          </w:tcPr>
          <w:p>
            <w:r/>
            <w:r>
              <w:rPr>
                <w:b w:val="0"/>
                <w:color w:val="514A41"/>
                <w:sz w:val="18"/>
              </w:rPr>
              <w:t>Investor/Coach sieht Umsatzplan als unbelegt</w:t>
            </w:r>
          </w:p>
        </w:tc>
        <w:tc>
          <w:tcPr>
            <w:tcW w:type="dxa" w:w="1632"/>
            <w:vAlign w:val="center"/>
          </w:tcPr>
          <w:p>
            <w:r/>
            <w:r>
              <w:rPr>
                <w:b w:val="0"/>
                <w:color w:val="514A41"/>
                <w:sz w:val="18"/>
              </w:rPr>
              <w:t>Zielaccount-Liste, Gesprächsstatus, LOI/Pilot/Discovery-Beleg</w:t>
            </w:r>
          </w:p>
        </w:tc>
        <w:tc>
          <w:tcPr>
            <w:tcW w:type="dxa" w:w="1632"/>
            <w:vAlign w:val="center"/>
          </w:tcPr>
          <w:p>
            <w:r/>
            <w:r>
              <w:rPr>
                <w:b w:val="0"/>
                <w:color w:val="514A41"/>
                <w:sz w:val="18"/>
              </w:rPr>
              <w:t>10-20 Zielaccounts priorisieren und Status je Account dokumentieren</w:t>
            </w:r>
          </w:p>
        </w:tc>
      </w:tr>
      <w:tr>
        <w:tc>
          <w:tcPr>
            <w:tcW w:type="dxa" w:w="1632"/>
            <w:vAlign w:val="center"/>
          </w:tcPr>
          <w:p>
            <w:r/>
            <w:r>
              <w:rPr>
                <w:b w:val="0"/>
                <w:color w:val="514A41"/>
                <w:sz w:val="18"/>
              </w:rPr>
              <w:t>P1</w:t>
            </w:r>
          </w:p>
        </w:tc>
        <w:tc>
          <w:tcPr>
            <w:tcW w:type="dxa" w:w="1632"/>
            <w:vAlign w:val="center"/>
          </w:tcPr>
          <w:p>
            <w:r/>
            <w:r>
              <w:rPr>
                <w:b w:val="0"/>
                <w:color w:val="514A41"/>
                <w:sz w:val="18"/>
              </w:rPr>
              <w:t>Partnerfähigkeit</w:t>
            </w:r>
          </w:p>
        </w:tc>
        <w:tc>
          <w:tcPr>
            <w:tcW w:type="dxa" w:w="1632"/>
            <w:vAlign w:val="center"/>
          </w:tcPr>
          <w:p>
            <w:r/>
            <w:r>
              <w:rPr>
                <w:b w:val="0"/>
                <w:color w:val="514A41"/>
                <w:sz w:val="18"/>
              </w:rPr>
              <w:t>Partnerlogik vorhanden, aber Kapazitäten nicht als fix behaupten</w:t>
            </w:r>
          </w:p>
        </w:tc>
        <w:tc>
          <w:tcPr>
            <w:tcW w:type="dxa" w:w="1632"/>
            <w:vAlign w:val="center"/>
          </w:tcPr>
          <w:p>
            <w:r/>
            <w:r>
              <w:rPr>
                <w:b w:val="0"/>
                <w:color w:val="514A41"/>
                <w:sz w:val="18"/>
              </w:rPr>
              <w:t>Lieferfähigkeit wirkt behauptet statt belegt</w:t>
            </w:r>
          </w:p>
        </w:tc>
        <w:tc>
          <w:tcPr>
            <w:tcW w:type="dxa" w:w="1632"/>
            <w:vAlign w:val="center"/>
          </w:tcPr>
          <w:p>
            <w:r/>
            <w:r>
              <w:rPr>
                <w:b w:val="0"/>
                <w:color w:val="514A41"/>
                <w:sz w:val="18"/>
              </w:rPr>
              <w:t>Partnerprofil, Capability Call, SOW/Verfügbarkeit je Standort</w:t>
            </w:r>
          </w:p>
        </w:tc>
        <w:tc>
          <w:tcPr>
            <w:tcW w:type="dxa" w:w="1632"/>
            <w:vAlign w:val="center"/>
          </w:tcPr>
          <w:p>
            <w:r/>
            <w:r>
              <w:rPr>
                <w:b w:val="0"/>
                <w:color w:val="514A41"/>
                <w:sz w:val="18"/>
              </w:rPr>
              <w:t>Partnerliste in "fähig / offen / nicht belastbar" clustern</w:t>
            </w:r>
          </w:p>
        </w:tc>
      </w:tr>
      <w:tr>
        <w:tc>
          <w:tcPr>
            <w:tcW w:type="dxa" w:w="1632"/>
            <w:vAlign w:val="center"/>
          </w:tcPr>
          <w:p>
            <w:r/>
            <w:r>
              <w:rPr>
                <w:b w:val="0"/>
                <w:color w:val="514A41"/>
                <w:sz w:val="18"/>
              </w:rPr>
              <w:t>P1</w:t>
            </w:r>
          </w:p>
        </w:tc>
        <w:tc>
          <w:tcPr>
            <w:tcW w:type="dxa" w:w="1632"/>
            <w:vAlign w:val="center"/>
          </w:tcPr>
          <w:p>
            <w:r/>
            <w:r>
              <w:rPr>
                <w:b w:val="0"/>
                <w:color w:val="514A41"/>
                <w:sz w:val="18"/>
              </w:rPr>
              <w:t>Angebotsgrenzen</w:t>
            </w:r>
          </w:p>
        </w:tc>
        <w:tc>
          <w:tcPr>
            <w:tcW w:type="dxa" w:w="1632"/>
            <w:vAlign w:val="center"/>
          </w:tcPr>
          <w:p>
            <w:r/>
            <w:r>
              <w:rPr>
                <w:b w:val="0"/>
                <w:color w:val="514A41"/>
                <w:sz w:val="18"/>
              </w:rPr>
              <w:t>In Story und Decks bewusst ohne Garantie formulieren</w:t>
            </w:r>
          </w:p>
        </w:tc>
        <w:tc>
          <w:tcPr>
            <w:tcW w:type="dxa" w:w="1632"/>
            <w:vAlign w:val="center"/>
          </w:tcPr>
          <w:p>
            <w:r/>
            <w:r>
              <w:rPr>
                <w:b w:val="0"/>
                <w:color w:val="514A41"/>
                <w:sz w:val="18"/>
              </w:rPr>
              <w:t>falsche Zusagen zu Mietvertrag, Visa, Anerkennung oder Arbeitsbeginn</w:t>
            </w:r>
          </w:p>
        </w:tc>
        <w:tc>
          <w:tcPr>
            <w:tcW w:type="dxa" w:w="1632"/>
            <w:vAlign w:val="center"/>
          </w:tcPr>
          <w:p>
            <w:r/>
            <w:r>
              <w:rPr>
                <w:b w:val="0"/>
                <w:color w:val="514A41"/>
                <w:sz w:val="18"/>
              </w:rPr>
              <w:t>Standard-Disclaimer und Scope-Grenzen</w:t>
            </w:r>
          </w:p>
        </w:tc>
        <w:tc>
          <w:tcPr>
            <w:tcW w:type="dxa" w:w="1632"/>
            <w:vAlign w:val="center"/>
          </w:tcPr>
          <w:p>
            <w:r/>
            <w:r>
              <w:rPr>
                <w:b w:val="0"/>
                <w:color w:val="514A41"/>
                <w:sz w:val="18"/>
              </w:rPr>
              <w:t>In Angebot/Deck/Businessplan konsistent halten</w:t>
            </w:r>
          </w:p>
        </w:tc>
      </w:tr>
      <w:tr>
        <w:tc>
          <w:tcPr>
            <w:tcW w:type="dxa" w:w="1632"/>
            <w:vAlign w:val="center"/>
          </w:tcPr>
          <w:p>
            <w:r/>
            <w:r>
              <w:rPr>
                <w:b w:val="0"/>
                <w:color w:val="514A41"/>
                <w:sz w:val="18"/>
              </w:rPr>
              <w:t>P2</w:t>
            </w:r>
          </w:p>
        </w:tc>
        <w:tc>
          <w:tcPr>
            <w:tcW w:type="dxa" w:w="1632"/>
            <w:vAlign w:val="center"/>
          </w:tcPr>
          <w:p>
            <w:r/>
            <w:r>
              <w:rPr>
                <w:b w:val="0"/>
                <w:color w:val="514A41"/>
                <w:sz w:val="18"/>
              </w:rPr>
              <w:t>Website-Pflichtdaten</w:t>
            </w:r>
          </w:p>
        </w:tc>
        <w:tc>
          <w:tcPr>
            <w:tcW w:type="dxa" w:w="1632"/>
            <w:vAlign w:val="center"/>
          </w:tcPr>
          <w:p>
            <w:r/>
            <w:r>
              <w:rPr>
                <w:b w:val="0"/>
                <w:color w:val="514A41"/>
                <w:sz w:val="18"/>
              </w:rPr>
              <w:t>Preview vorhanden, Deployment noch nicht final</w:t>
            </w:r>
          </w:p>
        </w:tc>
        <w:tc>
          <w:tcPr>
            <w:tcW w:type="dxa" w:w="1632"/>
            <w:vAlign w:val="center"/>
          </w:tcPr>
          <w:p>
            <w:r/>
            <w:r>
              <w:rPr>
                <w:b w:val="0"/>
                <w:color w:val="514A41"/>
                <w:sz w:val="18"/>
              </w:rPr>
              <w:t>öffentliche Website wirkt rechtlich/faktisch unfertig</w:t>
            </w:r>
          </w:p>
        </w:tc>
        <w:tc>
          <w:tcPr>
            <w:tcW w:type="dxa" w:w="1632"/>
            <w:vAlign w:val="center"/>
          </w:tcPr>
          <w:p>
            <w:r/>
            <w:r>
              <w:rPr>
                <w:b w:val="0"/>
                <w:color w:val="514A41"/>
                <w:sz w:val="18"/>
              </w:rPr>
              <w:t>finale Anbieterangaben, Datenschutz, echte SITE_URL</w:t>
            </w:r>
          </w:p>
        </w:tc>
        <w:tc>
          <w:tcPr>
            <w:tcW w:type="dxa" w:w="1632"/>
            <w:vAlign w:val="center"/>
          </w:tcPr>
          <w:p>
            <w:r/>
            <w:r>
              <w:rPr>
                <w:b w:val="0"/>
                <w:color w:val="514A41"/>
                <w:sz w:val="18"/>
              </w:rPr>
              <w:t>vor Deployment Pflichtdaten prüfen</w:t>
            </w:r>
          </w:p>
        </w:tc>
      </w:tr>
      <w:tr>
        <w:tc>
          <w:tcPr>
            <w:tcW w:type="dxa" w:w="1632"/>
            <w:vAlign w:val="center"/>
          </w:tcPr>
          <w:p>
            <w:r/>
            <w:r>
              <w:rPr>
                <w:b w:val="0"/>
                <w:color w:val="514A41"/>
                <w:sz w:val="18"/>
              </w:rPr>
              <w:t>P2</w:t>
            </w:r>
          </w:p>
        </w:tc>
        <w:tc>
          <w:tcPr>
            <w:tcW w:type="dxa" w:w="1632"/>
            <w:vAlign w:val="center"/>
          </w:tcPr>
          <w:p>
            <w:r/>
            <w:r>
              <w:rPr>
                <w:b w:val="0"/>
                <w:color w:val="514A41"/>
                <w:sz w:val="18"/>
              </w:rPr>
              <w:t>Render-/Export-QA</w:t>
            </w:r>
          </w:p>
        </w:tc>
        <w:tc>
          <w:tcPr>
            <w:tcW w:type="dxa" w:w="1632"/>
            <w:vAlign w:val="center"/>
          </w:tcPr>
          <w:p>
            <w:r/>
            <w:r>
              <w:rPr>
                <w:b w:val="0"/>
                <w:color w:val="514A41"/>
                <w:sz w:val="18"/>
              </w:rPr>
              <w:t>Teilweise vorhanden; nach letzter sichtbarer Änderung neu nötig</w:t>
            </w:r>
          </w:p>
        </w:tc>
        <w:tc>
          <w:tcPr>
            <w:tcW w:type="dxa" w:w="1632"/>
            <w:vAlign w:val="center"/>
          </w:tcPr>
          <w:p>
            <w:r/>
            <w:r>
              <w:rPr>
                <w:b w:val="0"/>
                <w:color w:val="514A41"/>
                <w:sz w:val="18"/>
              </w:rPr>
              <w:t>Layout-/Exportfehler bleiben unentdeckt</w:t>
            </w:r>
          </w:p>
        </w:tc>
        <w:tc>
          <w:tcPr>
            <w:tcW w:type="dxa" w:w="1632"/>
            <w:vAlign w:val="center"/>
          </w:tcPr>
          <w:p>
            <w:r/>
            <w:r>
              <w:rPr>
                <w:b w:val="0"/>
                <w:color w:val="514A41"/>
                <w:sz w:val="18"/>
              </w:rPr>
              <w:t>Kontaktbögen, PDF-Seitenzahl, Textlayer, Überlaufcheck</w:t>
            </w:r>
          </w:p>
        </w:tc>
        <w:tc>
          <w:tcPr>
            <w:tcW w:type="dxa" w:w="1632"/>
            <w:vAlign w:val="center"/>
          </w:tcPr>
          <w:p>
            <w:r/>
            <w:r>
              <w:rPr>
                <w:b w:val="0"/>
                <w:color w:val="514A41"/>
                <w:sz w:val="18"/>
              </w:rPr>
              <w:t>erst nach finalen sichtbaren Änderungen vollständig neu rendern</w:t>
            </w:r>
          </w:p>
        </w:tc>
      </w:tr>
    </w:tbl>
    <w:p/>
    <w:p>
      <w:pPr>
        <w:pStyle w:val="Heading2"/>
      </w:pPr>
      <w:r>
        <w:t>Coach-taugliche Formulierung</w:t>
      </w:r>
    </w:p>
    <w:p>
      <w:r>
        <w:t>"Wir haben die kritischen Gates bewusst sichtbar gemacht. AMAVIO ist nicht als fertige Behauptung aufgebaut, sondern als kontrollierter Startpfad: Was belegt ist, wird verwendet; was offen ist, wird als nächster Nachweis geführt. Genau dadurch wird das Konzept investier- und prüfbar."</w:t>
      </w:r>
    </w:p>
    <w:p>
      <w:pPr>
        <w:pStyle w:val="Heading2"/>
      </w:pPr>
      <w:r>
        <w:t>Nicht sagen</w:t>
      </w:r>
    </w:p>
    <w:p>
      <w:pPr>
        <w:pStyle w:val="ListBullet"/>
      </w:pPr>
      <w:r>
        <w:t>"Wir garantieren Wohnraum."</w:t>
      </w:r>
    </w:p>
    <w:p>
      <w:pPr>
        <w:pStyle w:val="ListBullet"/>
      </w:pPr>
      <w:r>
        <w:t>"Partnerkapazitäten sind sicher verfügbar."</w:t>
      </w:r>
    </w:p>
    <w:p>
      <w:pPr>
        <w:pStyle w:val="ListBullet"/>
      </w:pPr>
      <w:r>
        <w:t>"§34c ist kein Thema."</w:t>
      </w:r>
    </w:p>
    <w:p>
      <w:pPr>
        <w:pStyle w:val="ListBullet"/>
      </w:pPr>
      <w:r>
        <w:t>"Die Nachfrage ist bewiesen", solange kein bezahlter Pilot, LOI oder dokumentierte Pipeline vorliegt.</w:t>
      </w:r>
    </w:p>
    <w:p>
      <w:pPr>
        <w:pStyle w:val="ListBullet"/>
      </w:pPr>
      <w:r>
        <w:t>"Die Website ist deployment-final", solange Pflichtdaten und echte SITE_URL fehlen.</w:t>
      </w:r>
    </w:p>
    <w:p>
      <w:pPr>
        <w:pStyle w:val="Heading2"/>
      </w:pPr>
      <w:r>
        <w:t>Was der Coach konkret bewerten soll</w:t>
      </w:r>
    </w:p>
    <w:p>
      <w:pPr>
        <w:pStyle w:val="ListNumber"/>
      </w:pPr>
      <w:r>
        <w:t>Sind die P1-Gates vollständig oder fehlt ein kritisches Gate?</w:t>
      </w:r>
    </w:p>
    <w:p>
      <w:pPr>
        <w:pStyle w:val="ListNumber"/>
      </w:pPr>
      <w:r>
        <w:t>Welche Belege müssen vor einer Finanzierung zwingend vorliegen?</w:t>
      </w:r>
    </w:p>
    <w:p>
      <w:pPr>
        <w:pStyle w:val="ListNumber"/>
      </w:pPr>
      <w:r>
        <w:t>Welche Formulierungen reduzieren rechtliches und kommerzielles Risiko am stärksten?</w:t>
      </w:r>
    </w:p>
    <w:p>
      <w:pPr>
        <w:sectPr>
          <w:pgSz w:w="12240" w:h="15840"/>
          <w:pgMar w:top="1152" w:right="1224" w:bottom="1080" w:left="1224" w:header="720" w:footer="720" w:gutter="0"/>
          <w:cols w:space="720"/>
          <w:docGrid w:linePitch="360"/>
        </w:sectPr>
      </w:pPr>
    </w:p>
    <w:p>
      <w:pPr>
        <w:pStyle w:val="Heading1"/>
      </w:pPr>
      <w:r>
        <w:t>Finanzmodell Bridge</w:t>
      </w:r>
    </w:p>
    <w:p>
      <w:r>
        <w:t>Stand: 31. Juli 2026</w:t>
      </w:r>
    </w:p>
    <w:p>
      <w:r>
        <w:rPr>
          <w:i/>
        </w:rPr>
        <w:t>Quelle: 04_Final_Abgabe_v2_1/02_Finanzmodell/AMAVIO_Finanzmodell_36_Monate_v1_8_FINAL.xlsx</w:t>
      </w:r>
    </w:p>
    <w:p>
      <w:r>
        <w:rPr>
          <w:i/>
        </w:rPr>
        <w:t>Zweck: Das Finanzmodell für Coach-/Prüferfragen erklärbar machen, ohne das XLSX in diesem Schritt zu verändern.</w:t>
      </w:r>
    </w:p>
    <w:p>
      <w:pPr>
        <w:pStyle w:val="Heading2"/>
      </w:pPr>
      <w:r>
        <w:t>Führende Zahlenlinie</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vAlign w:val="center"/>
            <w:shd w:fill="F6EFE2"/>
          </w:tcPr>
          <w:p>
            <w:r/>
            <w:r>
              <w:rPr>
                <w:b/>
                <w:color w:val="10243E"/>
                <w:sz w:val="18"/>
              </w:rPr>
              <w:t>Kennzahl</w:t>
            </w:r>
          </w:p>
        </w:tc>
        <w:tc>
          <w:tcPr>
            <w:tcW w:type="dxa" w:w="2448"/>
            <w:vAlign w:val="center"/>
            <w:shd w:fill="F6EFE2"/>
          </w:tcPr>
          <w:p>
            <w:r/>
            <w:r>
              <w:rPr>
                <w:b/>
                <w:color w:val="10243E"/>
                <w:sz w:val="18"/>
              </w:rPr>
              <w:t>Jahr 1</w:t>
            </w:r>
          </w:p>
        </w:tc>
        <w:tc>
          <w:tcPr>
            <w:tcW w:type="dxa" w:w="2448"/>
            <w:vAlign w:val="center"/>
            <w:shd w:fill="F6EFE2"/>
          </w:tcPr>
          <w:p>
            <w:r/>
            <w:r>
              <w:rPr>
                <w:b/>
                <w:color w:val="10243E"/>
                <w:sz w:val="18"/>
              </w:rPr>
              <w:t>Jahr 2</w:t>
            </w:r>
          </w:p>
        </w:tc>
        <w:tc>
          <w:tcPr>
            <w:tcW w:type="dxa" w:w="2448"/>
            <w:vAlign w:val="center"/>
            <w:shd w:fill="F6EFE2"/>
          </w:tcPr>
          <w:p>
            <w:r/>
            <w:r>
              <w:rPr>
                <w:b/>
                <w:color w:val="10243E"/>
                <w:sz w:val="18"/>
              </w:rPr>
              <w:t>Jahr 3</w:t>
            </w:r>
          </w:p>
        </w:tc>
      </w:tr>
      <w:tr>
        <w:tc>
          <w:tcPr>
            <w:tcW w:type="dxa" w:w="2448"/>
            <w:vAlign w:val="center"/>
          </w:tcPr>
          <w:p>
            <w:r/>
            <w:r>
              <w:rPr>
                <w:b w:val="0"/>
                <w:color w:val="514A41"/>
                <w:sz w:val="18"/>
              </w:rPr>
              <w:t>Umsatz</w:t>
            </w:r>
          </w:p>
        </w:tc>
        <w:tc>
          <w:tcPr>
            <w:tcW w:type="dxa" w:w="2448"/>
            <w:vAlign w:val="center"/>
          </w:tcPr>
          <w:p>
            <w:r/>
            <w:r>
              <w:rPr>
                <w:b w:val="0"/>
                <w:color w:val="514A41"/>
                <w:sz w:val="18"/>
              </w:rPr>
              <w:t>93.500 EUR</w:t>
            </w:r>
          </w:p>
        </w:tc>
        <w:tc>
          <w:tcPr>
            <w:tcW w:type="dxa" w:w="2448"/>
            <w:vAlign w:val="center"/>
          </w:tcPr>
          <w:p>
            <w:r/>
            <w:r>
              <w:rPr>
                <w:b w:val="0"/>
                <w:color w:val="514A41"/>
                <w:sz w:val="18"/>
              </w:rPr>
              <w:t>269.000 EUR</w:t>
            </w:r>
          </w:p>
        </w:tc>
        <w:tc>
          <w:tcPr>
            <w:tcW w:type="dxa" w:w="2448"/>
            <w:vAlign w:val="center"/>
          </w:tcPr>
          <w:p>
            <w:r/>
            <w:r>
              <w:rPr>
                <w:b w:val="0"/>
                <w:color w:val="514A41"/>
                <w:sz w:val="18"/>
              </w:rPr>
              <w:t>442.000 EUR</w:t>
            </w:r>
          </w:p>
        </w:tc>
      </w:tr>
      <w:tr>
        <w:tc>
          <w:tcPr>
            <w:tcW w:type="dxa" w:w="2448"/>
            <w:vAlign w:val="center"/>
          </w:tcPr>
          <w:p>
            <w:r/>
            <w:r>
              <w:rPr>
                <w:b w:val="0"/>
                <w:color w:val="514A41"/>
                <w:sz w:val="18"/>
              </w:rPr>
              <w:t>EBITDA</w:t>
            </w:r>
          </w:p>
        </w:tc>
        <w:tc>
          <w:tcPr>
            <w:tcW w:type="dxa" w:w="2448"/>
            <w:vAlign w:val="center"/>
          </w:tcPr>
          <w:p>
            <w:r/>
            <w:r>
              <w:rPr>
                <w:b w:val="0"/>
                <w:color w:val="514A41"/>
                <w:sz w:val="18"/>
              </w:rPr>
              <w:t>34.950 EUR</w:t>
            </w:r>
          </w:p>
        </w:tc>
        <w:tc>
          <w:tcPr>
            <w:tcW w:type="dxa" w:w="2448"/>
            <w:vAlign w:val="center"/>
          </w:tcPr>
          <w:p>
            <w:r/>
            <w:r>
              <w:rPr>
                <w:b w:val="0"/>
                <w:color w:val="514A41"/>
                <w:sz w:val="18"/>
              </w:rPr>
              <w:t>120.320 EUR</w:t>
            </w:r>
          </w:p>
        </w:tc>
        <w:tc>
          <w:tcPr>
            <w:tcW w:type="dxa" w:w="2448"/>
            <w:vAlign w:val="center"/>
          </w:tcPr>
          <w:p>
            <w:r/>
            <w:r>
              <w:rPr>
                <w:b w:val="0"/>
                <w:color w:val="514A41"/>
                <w:sz w:val="18"/>
              </w:rPr>
              <w:t>169.300 EUR</w:t>
            </w:r>
          </w:p>
        </w:tc>
      </w:tr>
    </w:tbl>
    <w:p/>
    <w:p>
      <w:r>
        <w:t>Wichtig: Diese Zahlenlinie ist als v1.8-Führungslinie zu behandeln. Alte Audits oder Quellen mit v1.7 sind nicht führend.</w:t>
      </w:r>
    </w:p>
    <w:p>
      <w:pPr>
        <w:pStyle w:val="Heading2"/>
      </w:pPr>
      <w:r>
        <w:t>Umsatztreiber-Logik</w:t>
      </w:r>
    </w:p>
    <w:p>
      <w:r>
        <w:t>Der Umsatz sollte im Gespräch nicht als pauschales Wachstum erklärt werden, sondern als:</w:t>
      </w:r>
    </w:p>
    <w:p>
      <w:r>
        <w:t>Mandate × Angebotspreis × Zeitpunkt der Leistung × Zahlungslogik</w:t>
      </w:r>
    </w:p>
    <w:p>
      <w:pPr>
        <w:pStyle w:val="Heading3"/>
      </w:pPr>
      <w:r>
        <w:t>Angebotstreiber</w:t>
      </w:r>
    </w:p>
    <w:p>
      <w:pPr>
        <w:pStyle w:val="ListBullet"/>
      </w:pPr>
      <w:r>
        <w:t>Readiness Blueprint: ab 12.500 EUR netto</w:t>
      </w:r>
    </w:p>
    <w:p>
      <w:pPr>
        <w:pStyle w:val="ListBullet"/>
      </w:pPr>
      <w:r>
        <w:t>Cohort Landing Launch: ab 29.500 EUR netto</w:t>
      </w:r>
    </w:p>
    <w:p>
      <w:pPr>
        <w:pStyle w:val="ListBullet"/>
      </w:pPr>
      <w:r>
        <w:t>Arrival Office: Setup ab 15.000 EUR plus laufende Betreuung</w:t>
      </w:r>
    </w:p>
    <w:p>
      <w:pPr>
        <w:pStyle w:val="Heading3"/>
      </w:pPr>
      <w:r>
        <w:t>Coach-Frage dazu</w:t>
      </w:r>
    </w:p>
    <w:p>
      <w:r>
        <w:t>Welche Kombination aus Einstiegsangebot, Launch-Mandaten und laufender Betreuung trägt Jahr 1 wirklich - und welche davon ist bereits belegbar?</w:t>
      </w:r>
    </w:p>
    <w:p>
      <w:pPr>
        <w:pStyle w:val="Heading2"/>
      </w:pPr>
      <w:r>
        <w:t>Szenario-Lesart</w:t>
      </w:r>
    </w:p>
    <w:p>
      <w:r>
        <w:t>Für den Coach sollte die Diskussion in drei Szenarien geführt werden:</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F6EFE2"/>
          </w:tcPr>
          <w:p>
            <w:r/>
            <w:r>
              <w:rPr>
                <w:b/>
                <w:color w:val="10243E"/>
                <w:sz w:val="18"/>
              </w:rPr>
              <w:t>Szenario</w:t>
            </w:r>
          </w:p>
        </w:tc>
        <w:tc>
          <w:tcPr>
            <w:tcW w:type="dxa" w:w="3264"/>
            <w:vAlign w:val="center"/>
            <w:shd w:fill="F6EFE2"/>
          </w:tcPr>
          <w:p>
            <w:r/>
            <w:r>
              <w:rPr>
                <w:b/>
                <w:color w:val="10243E"/>
                <w:sz w:val="18"/>
              </w:rPr>
              <w:t>Zweck</w:t>
            </w:r>
          </w:p>
        </w:tc>
        <w:tc>
          <w:tcPr>
            <w:tcW w:type="dxa" w:w="3264"/>
            <w:vAlign w:val="center"/>
            <w:shd w:fill="F6EFE2"/>
          </w:tcPr>
          <w:p>
            <w:r/>
            <w:r>
              <w:rPr>
                <w:b/>
                <w:color w:val="10243E"/>
                <w:sz w:val="18"/>
              </w:rPr>
              <w:t>Prüffrage</w:t>
            </w:r>
          </w:p>
        </w:tc>
      </w:tr>
      <w:tr>
        <w:tc>
          <w:tcPr>
            <w:tcW w:type="dxa" w:w="3264"/>
            <w:vAlign w:val="center"/>
          </w:tcPr>
          <w:p>
            <w:r/>
            <w:r>
              <w:rPr>
                <w:b w:val="0"/>
                <w:color w:val="514A41"/>
                <w:sz w:val="18"/>
              </w:rPr>
              <w:t>Basis</w:t>
            </w:r>
          </w:p>
        </w:tc>
        <w:tc>
          <w:tcPr>
            <w:tcW w:type="dxa" w:w="3264"/>
            <w:vAlign w:val="center"/>
          </w:tcPr>
          <w:p>
            <w:r/>
            <w:r>
              <w:rPr>
                <w:b w:val="0"/>
                <w:color w:val="514A41"/>
                <w:sz w:val="18"/>
              </w:rPr>
              <w:t>aktueller Planpfad</w:t>
            </w:r>
          </w:p>
        </w:tc>
        <w:tc>
          <w:tcPr>
            <w:tcW w:type="dxa" w:w="3264"/>
            <w:vAlign w:val="center"/>
          </w:tcPr>
          <w:p>
            <w:r/>
            <w:r>
              <w:rPr>
                <w:b w:val="0"/>
                <w:color w:val="514A41"/>
                <w:sz w:val="18"/>
              </w:rPr>
              <w:t>Welche Mandate und Zahlungszeitpunkte tragen die 93.500 EUR in Jahr 1?</w:t>
            </w:r>
          </w:p>
        </w:tc>
      </w:tr>
      <w:tr>
        <w:tc>
          <w:tcPr>
            <w:tcW w:type="dxa" w:w="3264"/>
            <w:vAlign w:val="center"/>
          </w:tcPr>
          <w:p>
            <w:r/>
            <w:r>
              <w:rPr>
                <w:b w:val="0"/>
                <w:color w:val="514A41"/>
                <w:sz w:val="18"/>
              </w:rPr>
              <w:t>Stress</w:t>
            </w:r>
          </w:p>
        </w:tc>
        <w:tc>
          <w:tcPr>
            <w:tcW w:type="dxa" w:w="3264"/>
            <w:vAlign w:val="center"/>
          </w:tcPr>
          <w:p>
            <w:r/>
            <w:r>
              <w:rPr>
                <w:b w:val="0"/>
                <w:color w:val="514A41"/>
                <w:sz w:val="18"/>
              </w:rPr>
              <w:t>verzögerter Vertrieb oder späterer Start</w:t>
            </w:r>
          </w:p>
        </w:tc>
        <w:tc>
          <w:tcPr>
            <w:tcW w:type="dxa" w:w="3264"/>
            <w:vAlign w:val="center"/>
          </w:tcPr>
          <w:p>
            <w:r/>
            <w:r>
              <w:rPr>
                <w:b w:val="0"/>
                <w:color w:val="514A41"/>
                <w:sz w:val="18"/>
              </w:rPr>
              <w:t>Wie lange reicht Liquidität, wenn ein Launch später kommt oder nur Blueprint-Umsatz entsteht?</w:t>
            </w:r>
          </w:p>
        </w:tc>
      </w:tr>
      <w:tr>
        <w:tc>
          <w:tcPr>
            <w:tcW w:type="dxa" w:w="3264"/>
            <w:vAlign w:val="center"/>
          </w:tcPr>
          <w:p>
            <w:r/>
            <w:r>
              <w:rPr>
                <w:b w:val="0"/>
                <w:color w:val="514A41"/>
                <w:sz w:val="18"/>
              </w:rPr>
              <w:t>Upside</w:t>
            </w:r>
          </w:p>
        </w:tc>
        <w:tc>
          <w:tcPr>
            <w:tcW w:type="dxa" w:w="3264"/>
            <w:vAlign w:val="center"/>
          </w:tcPr>
          <w:p>
            <w:r/>
            <w:r>
              <w:rPr>
                <w:b w:val="0"/>
                <w:color w:val="514A41"/>
                <w:sz w:val="18"/>
              </w:rPr>
              <w:t>schnellerer Proof / Launch</w:t>
            </w:r>
          </w:p>
        </w:tc>
        <w:tc>
          <w:tcPr>
            <w:tcW w:type="dxa" w:w="3264"/>
            <w:vAlign w:val="center"/>
          </w:tcPr>
          <w:p>
            <w:r/>
            <w:r>
              <w:rPr>
                <w:b w:val="0"/>
                <w:color w:val="514A41"/>
                <w:sz w:val="18"/>
              </w:rPr>
              <w:t>Welche Kapazitätsgrenze tritt zuerst auf: Vertrieb, Partnerdelivery oder Gründerzeit?</w:t>
            </w:r>
          </w:p>
        </w:tc>
      </w:tr>
    </w:tbl>
    <w:p/>
    <w:p>
      <w:pPr>
        <w:pStyle w:val="Heading2"/>
      </w:pPr>
      <w:r>
        <w:t>Liquiditätslogik</w:t>
      </w:r>
    </w:p>
    <w:p>
      <w:r>
        <w:t>Die kritische Liquiditätsfrage ist nicht nur "wie hoch ist der Kapitalbedarf?", sondern:</w:t>
      </w:r>
    </w:p>
    <w:p>
      <w:pPr>
        <w:pStyle w:val="ListNumber"/>
      </w:pPr>
      <w:r>
        <w:t>Wann fließen Kundenzahlungen?</w:t>
      </w:r>
    </w:p>
    <w:p>
      <w:pPr>
        <w:pStyle w:val="ListNumber"/>
      </w:pPr>
      <w:r>
        <w:t>Welche Vorleistungen fallen vor Zahlungseingang an?</w:t>
      </w:r>
    </w:p>
    <w:p>
      <w:pPr>
        <w:pStyle w:val="ListNumber"/>
      </w:pPr>
      <w:r>
        <w:t>Welche Fixkosten laufen unabhängig von Mandaten?</w:t>
      </w:r>
    </w:p>
    <w:p>
      <w:pPr>
        <w:pStyle w:val="ListNumber"/>
      </w:pPr>
      <w:r>
        <w:t>Wie lange kann AMAVIO ohne zweiten Launch handeln?</w:t>
      </w:r>
    </w:p>
    <w:p>
      <w:r>
        <w:t>Der Kapitalbedarf von 25.000 EUR ist deshalb als Start- und Risikopuffer zu erklären, nicht als Kundenpreis.</w:t>
      </w:r>
    </w:p>
    <w:p>
      <w:pPr>
        <w:pStyle w:val="Heading2"/>
      </w:pPr>
      <w:r>
        <w:t>Kapazitätslogik</w:t>
      </w:r>
    </w:p>
    <w:p>
      <w:r>
        <w:t>Die Modellannahmen müssen gegen operative Kapazität lesbar bleiben:</w:t>
      </w:r>
    </w:p>
    <w:p>
      <w:pPr>
        <w:pStyle w:val="ListBullet"/>
      </w:pPr>
      <w:r>
        <w:t>Wie viele Discovery-/Blueprint-Projekte kann die Gründerstruktur parallel steuern?</w:t>
      </w:r>
    </w:p>
    <w:p>
      <w:pPr>
        <w:pStyle w:val="ListBullet"/>
      </w:pPr>
      <w:r>
        <w:t>Wie viele Launches können mit vorhandenen Partnern und ohne Qualitätsverlust laufen?</w:t>
      </w:r>
    </w:p>
    <w:p>
      <w:pPr>
        <w:pStyle w:val="ListBullet"/>
      </w:pPr>
      <w:r>
        <w:t>Welche Aufgaben sind skalierbar, welche bleiben manuell?</w:t>
      </w:r>
    </w:p>
    <w:p>
      <w:pPr>
        <w:pStyle w:val="ListBullet"/>
      </w:pPr>
      <w:r>
        <w:t>Ab welchem Punkt braucht AMAVIO feste Partner-SLAs oder interne Koordination?</w:t>
      </w:r>
    </w:p>
    <w:p>
      <w:pPr>
        <w:pStyle w:val="Heading2"/>
      </w:pPr>
      <w:r>
        <w:t>Was im Coach-Gespräch stark wirkt</w:t>
      </w:r>
    </w:p>
    <w:p>
      <w:r>
        <w:t>Stark:</w:t>
      </w:r>
    </w:p>
    <w:p>
      <w:pPr>
        <w:pStyle w:val="ListBullet"/>
      </w:pPr>
      <w:r>
        <w:t>"Wir zeigen die Umsatzlogik bottom-up über Angebot, Menge und Timing."</w:t>
      </w:r>
    </w:p>
    <w:p>
      <w:pPr>
        <w:pStyle w:val="ListBullet"/>
      </w:pPr>
      <w:r>
        <w:t>"Wir trennen Kapitalbedarf, Kundenpreis und Liquiditätsminimum."</w:t>
      </w:r>
    </w:p>
    <w:p>
      <w:pPr>
        <w:pStyle w:val="ListBullet"/>
      </w:pPr>
      <w:r>
        <w:t>"Wir behandeln Partner- und Nachfragebeweise als Gates, nicht als Behauptung."</w:t>
      </w:r>
    </w:p>
    <w:p>
      <w:r>
        <w:t>Schwach:</w:t>
      </w:r>
    </w:p>
    <w:p>
      <w:pPr>
        <w:pStyle w:val="ListBullet"/>
      </w:pPr>
      <w:r>
        <w:t>"Der Markt ist groß, deshalb wachsen wir."</w:t>
      </w:r>
    </w:p>
    <w:p>
      <w:pPr>
        <w:pStyle w:val="ListBullet"/>
      </w:pPr>
      <w:r>
        <w:t>"Die Website/der Pitch beweist Nachfrage."</w:t>
      </w:r>
    </w:p>
    <w:p>
      <w:pPr>
        <w:pStyle w:val="ListBullet"/>
      </w:pPr>
      <w:r>
        <w:t>"Partner können liefern", ohne Capability-Beleg.</w:t>
      </w:r>
    </w:p>
    <w:p>
      <w:pPr>
        <w:pStyle w:val="ListBullet"/>
      </w:pPr>
      <w:r>
        <w:t>"Kapitalbedarf und Launchpreis sind ungefähr dasselbe."</w:t>
      </w:r>
    </w:p>
    <w:p>
      <w:pPr>
        <w:pStyle w:val="Heading2"/>
      </w:pPr>
      <w:r>
        <w:t>Konkrete Fragen an das Finanzmodell</w:t>
      </w:r>
    </w:p>
    <w:p>
      <w:r>
        <w:t>Diese Fragen sollten vor finaler Abgabe direkt im XLSX oder in einer Modell-Legende beantwortbar sein:</w:t>
      </w:r>
    </w:p>
    <w:p>
      <w:pPr>
        <w:pStyle w:val="ListNumber"/>
      </w:pPr>
      <w:r>
        <w:t>Welche Zeilen/Zellen zeigen die Umsatztreiber je Angebot?</w:t>
      </w:r>
    </w:p>
    <w:p>
      <w:pPr>
        <w:pStyle w:val="ListNumber"/>
      </w:pPr>
      <w:r>
        <w:t>Wo ist das Liquiditätsminimum sichtbar?</w:t>
      </w:r>
    </w:p>
    <w:p>
      <w:pPr>
        <w:pStyle w:val="ListNumber"/>
      </w:pPr>
      <w:r>
        <w:t>Welche Annahme verändert EBITDA am stärksten?</w:t>
      </w:r>
    </w:p>
    <w:p>
      <w:pPr>
        <w:pStyle w:val="ListNumber"/>
      </w:pPr>
      <w:r>
        <w:t>Wie ist der Übergang von Jahr 1 zu Jahr 2 begründet?</w:t>
      </w:r>
    </w:p>
    <w:p>
      <w:pPr>
        <w:pStyle w:val="ListNumber"/>
      </w:pPr>
      <w:r>
        <w:t>Welche Kosten sind fix, welche mandatsabhängig?</w:t>
      </w:r>
    </w:p>
    <w:p>
      <w:pPr>
        <w:pStyle w:val="ListNumber"/>
      </w:pPr>
      <w:r>
        <w:t>Sind Szenarien als echte Treiberlogik oder nur als statische Ergebniswerte abgebildet?</w:t>
      </w:r>
    </w:p>
    <w:p>
      <w:pPr>
        <w:pStyle w:val="Heading2"/>
      </w:pPr>
      <w:r>
        <w:t>Empfehlung</w:t>
      </w:r>
    </w:p>
    <w:p>
      <w:r>
        <w:t>Für den Coach-Termin genügt dieses Bridge-Dokument als Sprech- und Prüfstruktur. Für finale Abgabe sollte das XLSX zusätzlich eine kurze sichtbare Modell-Legende oder einen "Coach View" erhalten - aber erst mit Backup, Recalc und visueller Workbook-QA.</w:t>
      </w:r>
    </w:p>
    <w:p>
      <w:pPr>
        <w:sectPr>
          <w:pgSz w:w="12240" w:h="15840"/>
          <w:pgMar w:top="1152" w:right="1224" w:bottom="1080" w:left="1224" w:header="720" w:footer="720" w:gutter="0"/>
          <w:cols w:space="720"/>
          <w:docGrid w:linePitch="360"/>
        </w:sectPr>
      </w:pPr>
    </w:p>
    <w:p>
      <w:pPr>
        <w:pStyle w:val="Heading1"/>
      </w:pPr>
      <w:r>
        <w:t>Erstmandat &amp; Pipeline</w:t>
      </w:r>
    </w:p>
    <w:p>
      <w:r>
        <w:t>Stand: 31. Juli 2026</w:t>
      </w:r>
    </w:p>
    <w:p>
      <w:r>
        <w:rPr>
          <w:i/>
        </w:rPr>
        <w:t>Zweck: Vertriebs- und Nachfragelogik coachfähig machen, ohne Nachfragebeweise zu erfinden.</w:t>
      </w:r>
    </w:p>
    <w:p>
      <w:pPr>
        <w:pStyle w:val="Heading2"/>
      </w:pPr>
      <w:r>
        <w:t>Ideales Erstmandat</w:t>
      </w:r>
    </w:p>
    <w:p>
      <w:r>
        <w:t>Ein ideales erstes Mandat ist nicht der größte Auftrag, sondern der Auftrag, der AMAVIOs Modell am saubersten beweist.</w:t>
      </w:r>
    </w:p>
    <w:p>
      <w:pPr>
        <w:pStyle w:val="Heading3"/>
      </w:pPr>
      <w:r>
        <w:t>Kriterien</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F6EFE2"/>
          </w:tcPr>
          <w:p>
            <w:r/>
            <w:r>
              <w:rPr>
                <w:b/>
                <w:color w:val="10243E"/>
                <w:sz w:val="18"/>
              </w:rPr>
              <w:t>Kriterium</w:t>
            </w:r>
          </w:p>
        </w:tc>
        <w:tc>
          <w:tcPr>
            <w:tcW w:type="dxa" w:w="4896"/>
            <w:vAlign w:val="center"/>
            <w:shd w:fill="F6EFE2"/>
          </w:tcPr>
          <w:p>
            <w:r/>
            <w:r>
              <w:rPr>
                <w:b/>
                <w:color w:val="10243E"/>
                <w:sz w:val="18"/>
              </w:rPr>
              <w:t>Warum es wichtig ist</w:t>
            </w:r>
          </w:p>
        </w:tc>
      </w:tr>
      <w:tr>
        <w:tc>
          <w:tcPr>
            <w:tcW w:type="dxa" w:w="4896"/>
            <w:vAlign w:val="center"/>
          </w:tcPr>
          <w:p>
            <w:r/>
            <w:r>
              <w:rPr>
                <w:b w:val="0"/>
                <w:color w:val="514A41"/>
                <w:sz w:val="18"/>
              </w:rPr>
              <w:t>Wiederholbarer Bedarf</w:t>
            </w:r>
          </w:p>
        </w:tc>
        <w:tc>
          <w:tcPr>
            <w:tcW w:type="dxa" w:w="4896"/>
            <w:vAlign w:val="center"/>
          </w:tcPr>
          <w:p>
            <w:r/>
            <w:r>
              <w:rPr>
                <w:b w:val="0"/>
                <w:color w:val="514A41"/>
                <w:sz w:val="18"/>
              </w:rPr>
              <w:t>Einmalige Sonderfälle beweisen kein skalierbares Modell.</w:t>
            </w:r>
          </w:p>
        </w:tc>
      </w:tr>
      <w:tr>
        <w:tc>
          <w:tcPr>
            <w:tcW w:type="dxa" w:w="4896"/>
            <w:vAlign w:val="center"/>
          </w:tcPr>
          <w:p>
            <w:r/>
            <w:r>
              <w:rPr>
                <w:b w:val="0"/>
                <w:color w:val="514A41"/>
                <w:sz w:val="18"/>
              </w:rPr>
              <w:t>Klarer Arbeitgeber-Owner</w:t>
            </w:r>
          </w:p>
        </w:tc>
        <w:tc>
          <w:tcPr>
            <w:tcW w:type="dxa" w:w="4896"/>
            <w:vAlign w:val="center"/>
          </w:tcPr>
          <w:p>
            <w:r/>
            <w:r>
              <w:rPr>
                <w:b w:val="0"/>
                <w:color w:val="514A41"/>
                <w:sz w:val="18"/>
              </w:rPr>
              <w:t>Ohne HR-/Operations-Owner wird AMAVIO zum Sammelbecken loser Aufgaben.</w:t>
            </w:r>
          </w:p>
        </w:tc>
      </w:tr>
      <w:tr>
        <w:tc>
          <w:tcPr>
            <w:tcW w:type="dxa" w:w="4896"/>
            <w:vAlign w:val="center"/>
          </w:tcPr>
          <w:p>
            <w:r/>
            <w:r>
              <w:rPr>
                <w:b w:val="0"/>
                <w:color w:val="514A41"/>
                <w:sz w:val="18"/>
              </w:rPr>
              <w:t>Definierter Standort</w:t>
            </w:r>
          </w:p>
        </w:tc>
        <w:tc>
          <w:tcPr>
            <w:tcW w:type="dxa" w:w="4896"/>
            <w:vAlign w:val="center"/>
          </w:tcPr>
          <w:p>
            <w:r/>
            <w:r>
              <w:rPr>
                <w:b w:val="0"/>
                <w:color w:val="514A41"/>
                <w:sz w:val="18"/>
              </w:rPr>
              <w:t>Wohnraum, Partner, Kosten und Ankunft sind lokal abhängig.</w:t>
            </w:r>
          </w:p>
        </w:tc>
      </w:tr>
      <w:tr>
        <w:tc>
          <w:tcPr>
            <w:tcW w:type="dxa" w:w="4896"/>
            <w:vAlign w:val="center"/>
          </w:tcPr>
          <w:p>
            <w:r/>
            <w:r>
              <w:rPr>
                <w:b w:val="0"/>
                <w:color w:val="514A41"/>
                <w:sz w:val="18"/>
              </w:rPr>
              <w:t>Konkretes Startfenster</w:t>
            </w:r>
          </w:p>
        </w:tc>
        <w:tc>
          <w:tcPr>
            <w:tcW w:type="dxa" w:w="4896"/>
            <w:vAlign w:val="center"/>
          </w:tcPr>
          <w:p>
            <w:r/>
            <w:r>
              <w:rPr>
                <w:b w:val="0"/>
                <w:color w:val="514A41"/>
                <w:sz w:val="18"/>
              </w:rPr>
              <w:t>Timing macht die Leistung kaufbar und prüfbar.</w:t>
            </w:r>
          </w:p>
        </w:tc>
      </w:tr>
      <w:tr>
        <w:tc>
          <w:tcPr>
            <w:tcW w:type="dxa" w:w="4896"/>
            <w:vAlign w:val="center"/>
          </w:tcPr>
          <w:p>
            <w:r/>
            <w:r>
              <w:rPr>
                <w:b w:val="0"/>
                <w:color w:val="514A41"/>
                <w:sz w:val="18"/>
              </w:rPr>
              <w:t>Budgetrahmen vorhanden</w:t>
            </w:r>
          </w:p>
        </w:tc>
        <w:tc>
          <w:tcPr>
            <w:tcW w:type="dxa" w:w="4896"/>
            <w:vAlign w:val="center"/>
          </w:tcPr>
          <w:p>
            <w:r/>
            <w:r>
              <w:rPr>
                <w:b w:val="0"/>
                <w:color w:val="514A41"/>
                <w:sz w:val="18"/>
              </w:rPr>
              <w:t>Ohne Budget bleibt es Beratung ohne Abschlusswahrscheinlichkeit.</w:t>
            </w:r>
          </w:p>
        </w:tc>
      </w:tr>
      <w:tr>
        <w:tc>
          <w:tcPr>
            <w:tcW w:type="dxa" w:w="4896"/>
            <w:vAlign w:val="center"/>
          </w:tcPr>
          <w:p>
            <w:r/>
            <w:r>
              <w:rPr>
                <w:b w:val="0"/>
                <w:color w:val="514A41"/>
                <w:sz w:val="18"/>
              </w:rPr>
              <w:t>3-10 Personen oder klarer Pilotumfang</w:t>
            </w:r>
          </w:p>
        </w:tc>
        <w:tc>
          <w:tcPr>
            <w:tcW w:type="dxa" w:w="4896"/>
            <w:vAlign w:val="center"/>
          </w:tcPr>
          <w:p>
            <w:r/>
            <w:r>
              <w:rPr>
                <w:b w:val="0"/>
                <w:color w:val="514A41"/>
                <w:sz w:val="18"/>
              </w:rPr>
              <w:t>Groß genug für Prozessbeweis, klein genug für kontrollierte Umsetzung.</w:t>
            </w:r>
          </w:p>
        </w:tc>
      </w:tr>
      <w:tr>
        <w:tc>
          <w:tcPr>
            <w:tcW w:type="dxa" w:w="4896"/>
            <w:vAlign w:val="center"/>
          </w:tcPr>
          <w:p>
            <w:r/>
            <w:r>
              <w:rPr>
                <w:b w:val="0"/>
                <w:color w:val="514A41"/>
                <w:sz w:val="18"/>
              </w:rPr>
              <w:t>Saubere Abnahme möglich</w:t>
            </w:r>
          </w:p>
        </w:tc>
        <w:tc>
          <w:tcPr>
            <w:tcW w:type="dxa" w:w="4896"/>
            <w:vAlign w:val="center"/>
          </w:tcPr>
          <w:p>
            <w:r/>
            <w:r>
              <w:rPr>
                <w:b w:val="0"/>
                <w:color w:val="514A41"/>
                <w:sz w:val="18"/>
              </w:rPr>
              <w:t>Der Kunde muss entscheiden können, ob Ergebnis geliefert wurde.</w:t>
            </w:r>
          </w:p>
        </w:tc>
      </w:tr>
      <w:tr>
        <w:tc>
          <w:tcPr>
            <w:tcW w:type="dxa" w:w="4896"/>
            <w:vAlign w:val="center"/>
          </w:tcPr>
          <w:p>
            <w:r/>
            <w:r>
              <w:rPr>
                <w:b w:val="0"/>
                <w:color w:val="514A41"/>
                <w:sz w:val="18"/>
              </w:rPr>
              <w:t>Keine unerlaubten Garantien nötig</w:t>
            </w:r>
          </w:p>
        </w:tc>
        <w:tc>
          <w:tcPr>
            <w:tcW w:type="dxa" w:w="4896"/>
            <w:vAlign w:val="center"/>
          </w:tcPr>
          <w:p>
            <w:r/>
            <w:r>
              <w:rPr>
                <w:b w:val="0"/>
                <w:color w:val="514A41"/>
                <w:sz w:val="18"/>
              </w:rPr>
              <w:t>Mandat darf nicht auf Wohnraum-, Visa- oder Arbeitsstartgarantien beruhen.</w:t>
            </w:r>
          </w:p>
        </w:tc>
      </w:tr>
    </w:tbl>
    <w:p/>
    <w:p>
      <w:pPr>
        <w:pStyle w:val="Heading2"/>
      </w:pPr>
      <w:r>
        <w:t>Ausschlusskriterien</w:t>
      </w:r>
    </w:p>
    <w:p>
      <w:r>
        <w:t>Ein Erstmandat ist ungeeignet, wenn:</w:t>
      </w:r>
    </w:p>
    <w:p>
      <w:pPr>
        <w:pStyle w:val="ListBullet"/>
      </w:pPr>
      <w:r>
        <w:t>nur "irgendwann vielleicht" Bedarf besteht,</w:t>
      </w:r>
    </w:p>
    <w:p>
      <w:pPr>
        <w:pStyle w:val="ListBullet"/>
      </w:pPr>
      <w:r>
        <w:t>kein Entscheider erreichbar ist,</w:t>
      </w:r>
    </w:p>
    <w:p>
      <w:pPr>
        <w:pStyle w:val="ListBullet"/>
      </w:pPr>
      <w:r>
        <w:t>Budget vollständig offen ist,</w:t>
      </w:r>
    </w:p>
    <w:p>
      <w:pPr>
        <w:pStyle w:val="ListBullet"/>
      </w:pPr>
      <w:r>
        <w:t>Verfügbarkeit oder rechtliche Sicherheit garantiert werden soll,</w:t>
      </w:r>
    </w:p>
    <w:p>
      <w:pPr>
        <w:pStyle w:val="ListBullet"/>
      </w:pPr>
      <w:r>
        <w:t>Partnerfähigkeit am Standort gar nicht prüfbar ist,</w:t>
      </w:r>
    </w:p>
    <w:p>
      <w:pPr>
        <w:pStyle w:val="ListBullet"/>
      </w:pPr>
      <w:r>
        <w:t>AMAVIO nur als Maklerersatz statt als strukturierter Startprozess gesehen wird.</w:t>
      </w:r>
    </w:p>
    <w:p>
      <w:pPr>
        <w:pStyle w:val="Heading2"/>
      </w:pPr>
      <w:r>
        <w:t>Zielaccount-Struktur für Coach-Gespräch</w:t>
      </w:r>
    </w:p>
    <w:p>
      <w:r>
        <w:t>Noch keine erfundenen Namen eintragen. Stattdessen eine Pipeline-Matrix vorbereiten:</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c>
          <w:tcPr>
            <w:tcW w:type="dxa" w:w="1632"/>
            <w:vAlign w:val="center"/>
            <w:shd w:fill="F6EFE2"/>
          </w:tcPr>
          <w:p>
            <w:r/>
            <w:r>
              <w:rPr>
                <w:b/>
                <w:color w:val="10243E"/>
                <w:sz w:val="18"/>
              </w:rPr>
              <w:t>Account-Typ</w:t>
            </w:r>
          </w:p>
        </w:tc>
        <w:tc>
          <w:tcPr>
            <w:tcW w:type="dxa" w:w="1632"/>
            <w:vAlign w:val="center"/>
            <w:shd w:fill="F6EFE2"/>
          </w:tcPr>
          <w:p>
            <w:r/>
            <w:r>
              <w:rPr>
                <w:b/>
                <w:color w:val="10243E"/>
                <w:sz w:val="18"/>
              </w:rPr>
              <w:t>Bedarfssignal</w:t>
            </w:r>
          </w:p>
        </w:tc>
        <w:tc>
          <w:tcPr>
            <w:tcW w:type="dxa" w:w="1632"/>
            <w:vAlign w:val="center"/>
            <w:shd w:fill="F6EFE2"/>
          </w:tcPr>
          <w:p>
            <w:r/>
            <w:r>
              <w:rPr>
                <w:b/>
                <w:color w:val="10243E"/>
                <w:sz w:val="18"/>
              </w:rPr>
              <w:t>Entscheider</w:t>
            </w:r>
          </w:p>
        </w:tc>
        <w:tc>
          <w:tcPr>
            <w:tcW w:type="dxa" w:w="1632"/>
            <w:vAlign w:val="center"/>
            <w:shd w:fill="F6EFE2"/>
          </w:tcPr>
          <w:p>
            <w:r/>
            <w:r>
              <w:rPr>
                <w:b/>
                <w:color w:val="10243E"/>
                <w:sz w:val="18"/>
              </w:rPr>
              <w:t>Standort</w:t>
            </w:r>
          </w:p>
        </w:tc>
        <w:tc>
          <w:tcPr>
            <w:tcW w:type="dxa" w:w="1632"/>
            <w:vAlign w:val="center"/>
            <w:shd w:fill="F6EFE2"/>
          </w:tcPr>
          <w:p>
            <w:r/>
            <w:r>
              <w:rPr>
                <w:b/>
                <w:color w:val="10243E"/>
                <w:sz w:val="18"/>
              </w:rPr>
              <w:t>nächster Test</w:t>
            </w:r>
          </w:p>
        </w:tc>
        <w:tc>
          <w:tcPr>
            <w:tcW w:type="dxa" w:w="1632"/>
            <w:vAlign w:val="center"/>
            <w:shd w:fill="F6EFE2"/>
          </w:tcPr>
          <w:p>
            <w:r/>
            <w:r>
              <w:rPr>
                <w:b/>
                <w:color w:val="10243E"/>
                <w:sz w:val="18"/>
              </w:rPr>
              <w:t>Proof-Stufe</w:t>
            </w:r>
          </w:p>
        </w:tc>
      </w:tr>
      <w:tr>
        <w:tc>
          <w:tcPr>
            <w:tcW w:type="dxa" w:w="1632"/>
            <w:vAlign w:val="center"/>
          </w:tcPr>
          <w:p>
            <w:r/>
            <w:r>
              <w:rPr>
                <w:b w:val="0"/>
                <w:color w:val="514A41"/>
                <w:sz w:val="18"/>
              </w:rPr>
              <w:t>Mittelstand mit internationalem Hiring</w:t>
            </w:r>
          </w:p>
        </w:tc>
        <w:tc>
          <w:tcPr>
            <w:tcW w:type="dxa" w:w="1632"/>
            <w:vAlign w:val="center"/>
          </w:tcPr>
          <w:p>
            <w:r/>
            <w:r>
              <w:rPr>
                <w:b w:val="0"/>
                <w:color w:val="514A41"/>
                <w:sz w:val="18"/>
              </w:rPr>
              <w:t>offene Stellen / Wachstum / Fachkräftemangel</w:t>
            </w:r>
          </w:p>
        </w:tc>
        <w:tc>
          <w:tcPr>
            <w:tcW w:type="dxa" w:w="1632"/>
            <w:vAlign w:val="center"/>
          </w:tcPr>
          <w:p>
            <w:r/>
            <w:r>
              <w:rPr>
                <w:b w:val="0"/>
                <w:color w:val="514A41"/>
                <w:sz w:val="18"/>
              </w:rPr>
              <w:t>HR / Geschäftsführung</w:t>
            </w:r>
          </w:p>
        </w:tc>
        <w:tc>
          <w:tcPr>
            <w:tcW w:type="dxa" w:w="1632"/>
            <w:vAlign w:val="center"/>
          </w:tcPr>
          <w:p>
            <w:r/>
            <w:r>
              <w:rPr>
                <w:b w:val="0"/>
                <w:color w:val="514A41"/>
                <w:sz w:val="18"/>
              </w:rPr>
              <w:t>konkreter Standort</w:t>
            </w:r>
          </w:p>
        </w:tc>
        <w:tc>
          <w:tcPr>
            <w:tcW w:type="dxa" w:w="1632"/>
            <w:vAlign w:val="center"/>
          </w:tcPr>
          <w:p>
            <w:r/>
            <w:r>
              <w:rPr>
                <w:b w:val="0"/>
                <w:color w:val="514A41"/>
                <w:sz w:val="18"/>
              </w:rPr>
              <w:t>Discovery anbieten</w:t>
            </w:r>
          </w:p>
        </w:tc>
        <w:tc>
          <w:tcPr>
            <w:tcW w:type="dxa" w:w="1632"/>
            <w:vAlign w:val="center"/>
          </w:tcPr>
          <w:p>
            <w:r/>
            <w:r>
              <w:rPr>
                <w:b w:val="0"/>
                <w:color w:val="514A41"/>
                <w:sz w:val="18"/>
              </w:rPr>
              <w:t>Gespräch</w:t>
            </w:r>
          </w:p>
        </w:tc>
      </w:tr>
      <w:tr>
        <w:tc>
          <w:tcPr>
            <w:tcW w:type="dxa" w:w="1632"/>
            <w:vAlign w:val="center"/>
          </w:tcPr>
          <w:p>
            <w:r/>
            <w:r>
              <w:rPr>
                <w:b w:val="0"/>
                <w:color w:val="514A41"/>
                <w:sz w:val="18"/>
              </w:rPr>
              <w:t>Pflege-/Gesundheitsnaher Arbeitgeber</w:t>
            </w:r>
          </w:p>
        </w:tc>
        <w:tc>
          <w:tcPr>
            <w:tcW w:type="dxa" w:w="1632"/>
            <w:vAlign w:val="center"/>
          </w:tcPr>
          <w:p>
            <w:r/>
            <w:r>
              <w:rPr>
                <w:b w:val="0"/>
                <w:color w:val="514A41"/>
                <w:sz w:val="18"/>
              </w:rPr>
              <w:t>planbarer Personaleinstieg</w:t>
            </w:r>
          </w:p>
        </w:tc>
        <w:tc>
          <w:tcPr>
            <w:tcW w:type="dxa" w:w="1632"/>
            <w:vAlign w:val="center"/>
          </w:tcPr>
          <w:p>
            <w:r/>
            <w:r>
              <w:rPr>
                <w:b w:val="0"/>
                <w:color w:val="514A41"/>
                <w:sz w:val="18"/>
              </w:rPr>
              <w:t>HR / Operations</w:t>
            </w:r>
          </w:p>
        </w:tc>
        <w:tc>
          <w:tcPr>
            <w:tcW w:type="dxa" w:w="1632"/>
            <w:vAlign w:val="center"/>
          </w:tcPr>
          <w:p>
            <w:r/>
            <w:r>
              <w:rPr>
                <w:b w:val="0"/>
                <w:color w:val="514A41"/>
                <w:sz w:val="18"/>
              </w:rPr>
              <w:t>Standort + Wohnbedarf</w:t>
            </w:r>
          </w:p>
        </w:tc>
        <w:tc>
          <w:tcPr>
            <w:tcW w:type="dxa" w:w="1632"/>
            <w:vAlign w:val="center"/>
          </w:tcPr>
          <w:p>
            <w:r/>
            <w:r>
              <w:rPr>
                <w:b w:val="0"/>
                <w:color w:val="514A41"/>
                <w:sz w:val="18"/>
              </w:rPr>
              <w:t>Readiness Blueprint</w:t>
            </w:r>
          </w:p>
        </w:tc>
        <w:tc>
          <w:tcPr>
            <w:tcW w:type="dxa" w:w="1632"/>
            <w:vAlign w:val="center"/>
          </w:tcPr>
          <w:p>
            <w:r/>
            <w:r>
              <w:rPr>
                <w:b w:val="0"/>
                <w:color w:val="514A41"/>
                <w:sz w:val="18"/>
              </w:rPr>
              <w:t>bezahlte Discovery</w:t>
            </w:r>
          </w:p>
        </w:tc>
      </w:tr>
      <w:tr>
        <w:tc>
          <w:tcPr>
            <w:tcW w:type="dxa" w:w="1632"/>
            <w:vAlign w:val="center"/>
          </w:tcPr>
          <w:p>
            <w:r/>
            <w:r>
              <w:rPr>
                <w:b w:val="0"/>
                <w:color w:val="514A41"/>
                <w:sz w:val="18"/>
              </w:rPr>
              <w:t>Industrie/Logistik/Produktion</w:t>
            </w:r>
          </w:p>
        </w:tc>
        <w:tc>
          <w:tcPr>
            <w:tcW w:type="dxa" w:w="1632"/>
            <w:vAlign w:val="center"/>
          </w:tcPr>
          <w:p>
            <w:r/>
            <w:r>
              <w:rPr>
                <w:b w:val="0"/>
                <w:color w:val="514A41"/>
                <w:sz w:val="18"/>
              </w:rPr>
              <w:t>wiederkehrende Schicht-/Teamstarts</w:t>
            </w:r>
          </w:p>
        </w:tc>
        <w:tc>
          <w:tcPr>
            <w:tcW w:type="dxa" w:w="1632"/>
            <w:vAlign w:val="center"/>
          </w:tcPr>
          <w:p>
            <w:r/>
            <w:r>
              <w:rPr>
                <w:b w:val="0"/>
                <w:color w:val="514A41"/>
                <w:sz w:val="18"/>
              </w:rPr>
              <w:t>Standortleitung / HR</w:t>
            </w:r>
          </w:p>
        </w:tc>
        <w:tc>
          <w:tcPr>
            <w:tcW w:type="dxa" w:w="1632"/>
            <w:vAlign w:val="center"/>
          </w:tcPr>
          <w:p>
            <w:r/>
            <w:r>
              <w:rPr>
                <w:b w:val="0"/>
                <w:color w:val="514A41"/>
                <w:sz w:val="18"/>
              </w:rPr>
              <w:t>Pendelradius relevant</w:t>
            </w:r>
          </w:p>
        </w:tc>
        <w:tc>
          <w:tcPr>
            <w:tcW w:type="dxa" w:w="1632"/>
            <w:vAlign w:val="center"/>
          </w:tcPr>
          <w:p>
            <w:r/>
            <w:r>
              <w:rPr>
                <w:b w:val="0"/>
                <w:color w:val="514A41"/>
                <w:sz w:val="18"/>
              </w:rPr>
              <w:t>Cohort-Check</w:t>
            </w:r>
          </w:p>
        </w:tc>
        <w:tc>
          <w:tcPr>
            <w:tcW w:type="dxa" w:w="1632"/>
            <w:vAlign w:val="center"/>
          </w:tcPr>
          <w:p>
            <w:r/>
            <w:r>
              <w:rPr>
                <w:b w:val="0"/>
                <w:color w:val="514A41"/>
                <w:sz w:val="18"/>
              </w:rPr>
              <w:t>Pilot</w:t>
            </w:r>
          </w:p>
        </w:tc>
      </w:tr>
      <w:tr>
        <w:tc>
          <w:tcPr>
            <w:tcW w:type="dxa" w:w="1632"/>
            <w:vAlign w:val="center"/>
          </w:tcPr>
          <w:p>
            <w:r/>
            <w:r>
              <w:rPr>
                <w:b w:val="0"/>
                <w:color w:val="514A41"/>
                <w:sz w:val="18"/>
              </w:rPr>
              <w:t>Bildungs-/Sprach-/Integrationspartner</w:t>
            </w:r>
          </w:p>
        </w:tc>
        <w:tc>
          <w:tcPr>
            <w:tcW w:type="dxa" w:w="1632"/>
            <w:vAlign w:val="center"/>
          </w:tcPr>
          <w:p>
            <w:r/>
            <w:r>
              <w:rPr>
                <w:b w:val="0"/>
                <w:color w:val="514A41"/>
                <w:sz w:val="18"/>
              </w:rPr>
              <w:t>Zugang zu Kandidaten oder Community</w:t>
            </w:r>
          </w:p>
        </w:tc>
        <w:tc>
          <w:tcPr>
            <w:tcW w:type="dxa" w:w="1632"/>
            <w:vAlign w:val="center"/>
          </w:tcPr>
          <w:p>
            <w:r/>
            <w:r>
              <w:rPr>
                <w:b w:val="0"/>
                <w:color w:val="514A41"/>
                <w:sz w:val="18"/>
              </w:rPr>
              <w:t>Leitung / Kooperation</w:t>
            </w:r>
          </w:p>
        </w:tc>
        <w:tc>
          <w:tcPr>
            <w:tcW w:type="dxa" w:w="1632"/>
            <w:vAlign w:val="center"/>
          </w:tcPr>
          <w:p>
            <w:r/>
            <w:r>
              <w:rPr>
                <w:b w:val="0"/>
                <w:color w:val="514A41"/>
                <w:sz w:val="18"/>
              </w:rPr>
              <w:t>regional</w:t>
            </w:r>
          </w:p>
        </w:tc>
        <w:tc>
          <w:tcPr>
            <w:tcW w:type="dxa" w:w="1632"/>
            <w:vAlign w:val="center"/>
          </w:tcPr>
          <w:p>
            <w:r/>
            <w:r>
              <w:rPr>
                <w:b w:val="0"/>
                <w:color w:val="514A41"/>
                <w:sz w:val="18"/>
              </w:rPr>
              <w:t>Partnerprofil</w:t>
            </w:r>
          </w:p>
        </w:tc>
        <w:tc>
          <w:tcPr>
            <w:tcW w:type="dxa" w:w="1632"/>
            <w:vAlign w:val="center"/>
          </w:tcPr>
          <w:p>
            <w:r/>
            <w:r>
              <w:rPr>
                <w:b w:val="0"/>
                <w:color w:val="514A41"/>
                <w:sz w:val="18"/>
              </w:rPr>
              <w:t>Capability Call</w:t>
            </w:r>
          </w:p>
        </w:tc>
      </w:tr>
      <w:tr>
        <w:tc>
          <w:tcPr>
            <w:tcW w:type="dxa" w:w="1632"/>
            <w:vAlign w:val="center"/>
          </w:tcPr>
          <w:p>
            <w:r/>
            <w:r>
              <w:rPr>
                <w:b w:val="0"/>
                <w:color w:val="514A41"/>
                <w:sz w:val="18"/>
              </w:rPr>
              <w:t>Wohn-/Immobilienpartner</w:t>
            </w:r>
          </w:p>
        </w:tc>
        <w:tc>
          <w:tcPr>
            <w:tcW w:type="dxa" w:w="1632"/>
            <w:vAlign w:val="center"/>
          </w:tcPr>
          <w:p>
            <w:r/>
            <w:r>
              <w:rPr>
                <w:b w:val="0"/>
                <w:color w:val="514A41"/>
                <w:sz w:val="18"/>
              </w:rPr>
              <w:t>verfügbare Einheiten oder Betreiberfähigkeit</w:t>
            </w:r>
          </w:p>
        </w:tc>
        <w:tc>
          <w:tcPr>
            <w:tcW w:type="dxa" w:w="1632"/>
            <w:vAlign w:val="center"/>
          </w:tcPr>
          <w:p>
            <w:r/>
            <w:r>
              <w:rPr>
                <w:b w:val="0"/>
                <w:color w:val="514A41"/>
                <w:sz w:val="18"/>
              </w:rPr>
              <w:t>Eigentümer / Betreiber</w:t>
            </w:r>
          </w:p>
        </w:tc>
        <w:tc>
          <w:tcPr>
            <w:tcW w:type="dxa" w:w="1632"/>
            <w:vAlign w:val="center"/>
          </w:tcPr>
          <w:p>
            <w:r/>
            <w:r>
              <w:rPr>
                <w:b w:val="0"/>
                <w:color w:val="514A41"/>
                <w:sz w:val="18"/>
              </w:rPr>
              <w:t>lokaler Markt</w:t>
            </w:r>
          </w:p>
        </w:tc>
        <w:tc>
          <w:tcPr>
            <w:tcW w:type="dxa" w:w="1632"/>
            <w:vAlign w:val="center"/>
          </w:tcPr>
          <w:p>
            <w:r/>
            <w:r>
              <w:rPr>
                <w:b w:val="0"/>
                <w:color w:val="514A41"/>
                <w:sz w:val="18"/>
              </w:rPr>
              <w:t>Capability Call</w:t>
            </w:r>
          </w:p>
        </w:tc>
        <w:tc>
          <w:tcPr>
            <w:tcW w:type="dxa" w:w="1632"/>
            <w:vAlign w:val="center"/>
          </w:tcPr>
          <w:p>
            <w:r/>
            <w:r>
              <w:rPr>
                <w:b w:val="0"/>
                <w:color w:val="514A41"/>
                <w:sz w:val="18"/>
              </w:rPr>
              <w:t>SOW</w:t>
            </w:r>
          </w:p>
        </w:tc>
      </w:tr>
    </w:tbl>
    <w:p/>
    <w:p>
      <w:pPr>
        <w:pStyle w:val="Heading2"/>
      </w:pPr>
      <w:r>
        <w:t>Proof-Stufen</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F6EFE2"/>
          </w:tcPr>
          <w:p>
            <w:r/>
            <w:r>
              <w:rPr>
                <w:b/>
                <w:color w:val="10243E"/>
                <w:sz w:val="18"/>
              </w:rPr>
              <w:t>Stufe</w:t>
            </w:r>
          </w:p>
        </w:tc>
        <w:tc>
          <w:tcPr>
            <w:tcW w:type="dxa" w:w="3264"/>
            <w:vAlign w:val="center"/>
            <w:shd w:fill="F6EFE2"/>
          </w:tcPr>
          <w:p>
            <w:r/>
            <w:r>
              <w:rPr>
                <w:b/>
                <w:color w:val="10243E"/>
                <w:sz w:val="18"/>
              </w:rPr>
              <w:t>Bedeutung</w:t>
            </w:r>
          </w:p>
        </w:tc>
        <w:tc>
          <w:tcPr>
            <w:tcW w:type="dxa" w:w="3264"/>
            <w:vAlign w:val="center"/>
            <w:shd w:fill="F6EFE2"/>
          </w:tcPr>
          <w:p>
            <w:r/>
            <w:r>
              <w:rPr>
                <w:b/>
                <w:color w:val="10243E"/>
                <w:sz w:val="18"/>
              </w:rPr>
              <w:t>Qualität</w:t>
            </w:r>
          </w:p>
        </w:tc>
      </w:tr>
      <w:tr>
        <w:tc>
          <w:tcPr>
            <w:tcW w:type="dxa" w:w="3264"/>
            <w:vAlign w:val="center"/>
          </w:tcPr>
          <w:p>
            <w:r/>
            <w:r>
              <w:rPr>
                <w:b w:val="0"/>
                <w:color w:val="514A41"/>
                <w:sz w:val="18"/>
              </w:rPr>
              <w:t>Gespräch</w:t>
            </w:r>
          </w:p>
        </w:tc>
        <w:tc>
          <w:tcPr>
            <w:tcW w:type="dxa" w:w="3264"/>
            <w:vAlign w:val="center"/>
          </w:tcPr>
          <w:p>
            <w:r/>
            <w:r>
              <w:rPr>
                <w:b w:val="0"/>
                <w:color w:val="514A41"/>
                <w:sz w:val="18"/>
              </w:rPr>
              <w:t>Interesse oder Problem bestätigt</w:t>
            </w:r>
          </w:p>
        </w:tc>
        <w:tc>
          <w:tcPr>
            <w:tcW w:type="dxa" w:w="3264"/>
            <w:vAlign w:val="center"/>
          </w:tcPr>
          <w:p>
            <w:r/>
            <w:r>
              <w:rPr>
                <w:b w:val="0"/>
                <w:color w:val="514A41"/>
                <w:sz w:val="18"/>
              </w:rPr>
              <w:t>niedrig, aber nützlich</w:t>
            </w:r>
          </w:p>
        </w:tc>
      </w:tr>
      <w:tr>
        <w:tc>
          <w:tcPr>
            <w:tcW w:type="dxa" w:w="3264"/>
            <w:vAlign w:val="center"/>
          </w:tcPr>
          <w:p>
            <w:r/>
            <w:r>
              <w:rPr>
                <w:b w:val="0"/>
                <w:color w:val="514A41"/>
                <w:sz w:val="18"/>
              </w:rPr>
              <w:t>Discovery gebucht</w:t>
            </w:r>
          </w:p>
        </w:tc>
        <w:tc>
          <w:tcPr>
            <w:tcW w:type="dxa" w:w="3264"/>
            <w:vAlign w:val="center"/>
          </w:tcPr>
          <w:p>
            <w:r/>
            <w:r>
              <w:rPr>
                <w:b w:val="0"/>
                <w:color w:val="514A41"/>
                <w:sz w:val="18"/>
              </w:rPr>
              <w:t>Zeit und Entscheidungspfad vorhanden</w:t>
            </w:r>
          </w:p>
        </w:tc>
        <w:tc>
          <w:tcPr>
            <w:tcW w:type="dxa" w:w="3264"/>
            <w:vAlign w:val="center"/>
          </w:tcPr>
          <w:p>
            <w:r/>
            <w:r>
              <w:rPr>
                <w:b w:val="0"/>
                <w:color w:val="514A41"/>
                <w:sz w:val="18"/>
              </w:rPr>
              <w:t>mittel</w:t>
            </w:r>
          </w:p>
        </w:tc>
      </w:tr>
      <w:tr>
        <w:tc>
          <w:tcPr>
            <w:tcW w:type="dxa" w:w="3264"/>
            <w:vAlign w:val="center"/>
          </w:tcPr>
          <w:p>
            <w:r/>
            <w:r>
              <w:rPr>
                <w:b w:val="0"/>
                <w:color w:val="514A41"/>
                <w:sz w:val="18"/>
              </w:rPr>
              <w:t>bezahlter Blueprint</w:t>
            </w:r>
          </w:p>
        </w:tc>
        <w:tc>
          <w:tcPr>
            <w:tcW w:type="dxa" w:w="3264"/>
            <w:vAlign w:val="center"/>
          </w:tcPr>
          <w:p>
            <w:r/>
            <w:r>
              <w:rPr>
                <w:b w:val="0"/>
                <w:color w:val="514A41"/>
                <w:sz w:val="18"/>
              </w:rPr>
              <w:t>Zahlungsbereitschaft belegt</w:t>
            </w:r>
          </w:p>
        </w:tc>
        <w:tc>
          <w:tcPr>
            <w:tcW w:type="dxa" w:w="3264"/>
            <w:vAlign w:val="center"/>
          </w:tcPr>
          <w:p>
            <w:r/>
            <w:r>
              <w:rPr>
                <w:b w:val="0"/>
                <w:color w:val="514A41"/>
                <w:sz w:val="18"/>
              </w:rPr>
              <w:t>hoch</w:t>
            </w:r>
          </w:p>
        </w:tc>
      </w:tr>
      <w:tr>
        <w:tc>
          <w:tcPr>
            <w:tcW w:type="dxa" w:w="3264"/>
            <w:vAlign w:val="center"/>
          </w:tcPr>
          <w:p>
            <w:r/>
            <w:r>
              <w:rPr>
                <w:b w:val="0"/>
                <w:color w:val="514A41"/>
                <w:sz w:val="18"/>
              </w:rPr>
              <w:t>Pilot / Launch</w:t>
            </w:r>
          </w:p>
        </w:tc>
        <w:tc>
          <w:tcPr>
            <w:tcW w:type="dxa" w:w="3264"/>
            <w:vAlign w:val="center"/>
          </w:tcPr>
          <w:p>
            <w:r/>
            <w:r>
              <w:rPr>
                <w:b w:val="0"/>
                <w:color w:val="514A41"/>
                <w:sz w:val="18"/>
              </w:rPr>
              <w:t>Delivery und Zahlungslogik belegt</w:t>
            </w:r>
          </w:p>
        </w:tc>
        <w:tc>
          <w:tcPr>
            <w:tcW w:type="dxa" w:w="3264"/>
            <w:vAlign w:val="center"/>
          </w:tcPr>
          <w:p>
            <w:r/>
            <w:r>
              <w:rPr>
                <w:b w:val="0"/>
                <w:color w:val="514A41"/>
                <w:sz w:val="18"/>
              </w:rPr>
              <w:t>sehr hoch</w:t>
            </w:r>
          </w:p>
        </w:tc>
      </w:tr>
      <w:tr>
        <w:tc>
          <w:tcPr>
            <w:tcW w:type="dxa" w:w="3264"/>
            <w:vAlign w:val="center"/>
          </w:tcPr>
          <w:p>
            <w:r/>
            <w:r>
              <w:rPr>
                <w:b w:val="0"/>
                <w:color w:val="514A41"/>
                <w:sz w:val="18"/>
              </w:rPr>
              <w:t>Wiederholung</w:t>
            </w:r>
          </w:p>
        </w:tc>
        <w:tc>
          <w:tcPr>
            <w:tcW w:type="dxa" w:w="3264"/>
            <w:vAlign w:val="center"/>
          </w:tcPr>
          <w:p>
            <w:r/>
            <w:r>
              <w:rPr>
                <w:b w:val="0"/>
                <w:color w:val="514A41"/>
                <w:sz w:val="18"/>
              </w:rPr>
              <w:t>Skalierbarkeit belegt</w:t>
            </w:r>
          </w:p>
        </w:tc>
        <w:tc>
          <w:tcPr>
            <w:tcW w:type="dxa" w:w="3264"/>
            <w:vAlign w:val="center"/>
          </w:tcPr>
          <w:p>
            <w:r/>
            <w:r>
              <w:rPr>
                <w:b w:val="0"/>
                <w:color w:val="514A41"/>
                <w:sz w:val="18"/>
              </w:rPr>
              <w:t>entscheidend</w:t>
            </w:r>
          </w:p>
        </w:tc>
      </w:tr>
    </w:tbl>
    <w:p/>
    <w:p>
      <w:pPr>
        <w:pStyle w:val="Heading2"/>
      </w:pPr>
      <w:r>
        <w:t>Coach-taugliche Aussage</w:t>
      </w:r>
    </w:p>
    <w:p>
      <w:r>
        <w:t>"Wir behandeln Pipeline nicht als Behauptung, sondern als Proof-Stufen. Ein guter erster Auftrag muss nicht groß sein. Er muss zeigen, dass AMAVIO Bedarf, Standort, Budget, Partnerfähigkeit und Abnahme in einen wiederholbaren Prozess bringt."</w:t>
      </w:r>
    </w:p>
    <w:p>
      <w:pPr>
        <w:pStyle w:val="Heading2"/>
      </w:pPr>
      <w:r>
        <w:t>Nächster operativer Schritt</w:t>
      </w:r>
    </w:p>
    <w:p>
      <w:r>
        <w:t>Eine konkrete Zielaccount-Liste mit 10-20 Einträgen anlegen und je Account nur belegbare Informationen pflegen:</w:t>
      </w:r>
    </w:p>
    <w:p>
      <w:pPr>
        <w:pStyle w:val="ListBullet"/>
      </w:pPr>
      <w:r>
        <w:t>Name</w:t>
      </w:r>
    </w:p>
    <w:p>
      <w:pPr>
        <w:pStyle w:val="ListBullet"/>
      </w:pPr>
      <w:r>
        <w:t>Branche</w:t>
      </w:r>
    </w:p>
    <w:p>
      <w:pPr>
        <w:pStyle w:val="ListBullet"/>
      </w:pPr>
      <w:r>
        <w:t>Standort</w:t>
      </w:r>
    </w:p>
    <w:p>
      <w:pPr>
        <w:pStyle w:val="ListBullet"/>
      </w:pPr>
      <w:r>
        <w:t>Bedarfssignal</w:t>
      </w:r>
    </w:p>
    <w:p>
      <w:pPr>
        <w:pStyle w:val="ListBullet"/>
      </w:pPr>
      <w:r>
        <w:t>vermuteter Entscheider</w:t>
      </w:r>
    </w:p>
    <w:p>
      <w:pPr>
        <w:pStyle w:val="ListBullet"/>
      </w:pPr>
      <w:r>
        <w:t>nächster Kontakt-/Testschritt</w:t>
      </w:r>
    </w:p>
    <w:p>
      <w:pPr>
        <w:pStyle w:val="ListBullet"/>
      </w:pPr>
      <w:r>
        <w:t>Proof-Stufe</w:t>
      </w:r>
    </w:p>
    <w:p>
      <w:pPr>
        <w:pStyle w:val="ListBullet"/>
      </w:pPr>
      <w:r>
        <w:t>Risiko / offene Frage</w:t>
      </w:r>
    </w:p>
    <w:p>
      <w:r>
        <w:t>Keine Referenzen, Gespräche oder Verfügbarkeiten eintragen, die nicht belegbar sind.</w:t>
      </w:r>
    </w:p>
    <w:p>
      <w:pPr>
        <w:sectPr>
          <w:pgSz w:w="12240" w:h="15840"/>
          <w:pgMar w:top="1152" w:right="1224" w:bottom="1080" w:left="1224" w:header="720" w:footer="720" w:gutter="0"/>
          <w:cols w:space="720"/>
          <w:docGrid w:linePitch="360"/>
        </w:sectPr>
      </w:pPr>
    </w:p>
    <w:p>
      <w:pPr>
        <w:pStyle w:val="Heading1"/>
      </w:pPr>
      <w:r>
        <w:t>Source Refresh</w:t>
      </w:r>
    </w:p>
    <w:p>
      <w:r>
        <w:t>Stand: 31. Juli 2026</w:t>
      </w:r>
    </w:p>
    <w:p>
      <w:r>
        <w:rPr>
          <w:i/>
        </w:rPr>
        <w:t>Zweck: kritische Markt-, Fachkräfte- und Rechtsaussagen stichprobenartig mit aktuellen Primär-/Behördenquellen absichern. Dieses Dokument ersetzt keine Rechtsberatung.</w:t>
      </w:r>
    </w:p>
    <w:p>
      <w:pPr>
        <w:pStyle w:val="Heading2"/>
      </w:pPr>
      <w:r>
        <w:t>1. §34c-Gate</w:t>
      </w:r>
    </w:p>
    <w:p>
      <w:r>
        <w:rPr>
          <w:i/>
        </w:rPr>
        <w:t>Quelle:</w:t>
      </w:r>
    </w:p>
    <w:p>
      <w:pPr>
        <w:pStyle w:val="ListBullet"/>
      </w:pPr>
      <w:r>
        <w:t>Gesetzestext §34c Gewerbeordnung: https://www.gesetze-im-internet.de/gewo/__34c.html</w:t>
      </w:r>
    </w:p>
    <w:p>
      <w:pPr>
        <w:pStyle w:val="ListBullet"/>
      </w:pPr>
      <w:r>
        <w:t>Makler- und Bauträgerverordnung (MaBV): https://www.gesetze-im-internet.de/gewo_34cdv/BJNR013140974.html</w:t>
      </w:r>
    </w:p>
    <w:p>
      <w:r>
        <w:t>Relevanz für AMAVIO:</w:t>
      </w:r>
    </w:p>
    <w:p>
      <w:r>
        <w:t>§34c GewO berührt gewerbsmäßige Vermittlung oder Nachweis von Abschlussgelegenheiten für Grundstücke, grundstücksgleiche Rechte, gewerbliche Räume oder Wohnräume sowie weitere Tätigkeiten wie Wohnimmobilienverwaltung. AMAVIO sollte deshalb sprachlich und vertraglich sauber trennen zwischen:</w:t>
      </w:r>
    </w:p>
    <w:p>
      <w:pPr>
        <w:pStyle w:val="ListBullet"/>
      </w:pPr>
      <w:r>
        <w:t>strukturierter Bedarfsklärung,</w:t>
      </w:r>
    </w:p>
    <w:p>
      <w:pPr>
        <w:pStyle w:val="ListBullet"/>
      </w:pPr>
      <w:r>
        <w:t>Projekt-/Ankunftskoordination,</w:t>
      </w:r>
    </w:p>
    <w:p>
      <w:pPr>
        <w:pStyle w:val="ListBullet"/>
      </w:pPr>
      <w:r>
        <w:t>Partner-/Leistungsfähigkeit,</w:t>
      </w:r>
    </w:p>
    <w:p>
      <w:pPr>
        <w:pStyle w:val="ListBullet"/>
      </w:pPr>
      <w:r>
        <w:t>und möglicher erlaubnispflichtiger Vermittlungslogik.</w:t>
      </w:r>
    </w:p>
    <w:p>
      <w:r>
        <w:t>Coach-Fazit:</w:t>
      </w:r>
    </w:p>
    <w:p>
      <w:r>
        <w:t>Nicht behaupten: "§34c ist sicher irrelevant." Besser: "§34c ist ein P1-Gate; Leistungsumfang und Vertragslogik werden vor Abschluss rechtlich abgegrenzt."</w:t>
      </w:r>
    </w:p>
    <w:p>
      <w:pPr>
        <w:pStyle w:val="Heading2"/>
      </w:pPr>
      <w:r>
        <w:t>2. Fachkräfte- und Engpasslogik</w:t>
      </w:r>
    </w:p>
    <w:p>
      <w:r>
        <w:rPr>
          <w:i/>
        </w:rPr>
        <w:t>Quelle:</w:t>
      </w:r>
    </w:p>
    <w:p>
      <w:pPr>
        <w:pStyle w:val="ListBullet"/>
      </w:pPr>
      <w:r>
        <w:t>Bundesagentur für Arbeit, Fachkräfteengpassanalyse 2025: https://statistik.arbeitsagentur.de/DE/Statischer-Content/Statistiken/Themen-im-Fokus/Fachkraeftebedarf/Fachkraefteengpassanalyse/Fachkraefteengpassanalyse.html</w:t>
      </w:r>
    </w:p>
    <w:p>
      <w:pPr>
        <w:pStyle w:val="ListBullet"/>
      </w:pPr>
      <w:r>
        <w:t>Interaktive Engpassanalyse der BA: https://statistik.arbeitsagentur.de/DE/Navigation/Statistiken/Interaktive-Statistiken/Fachkraeftebedarf/Engpassanalyse-Nav.html</w:t>
      </w:r>
    </w:p>
    <w:p>
      <w:r>
        <w:t>Relevanz für AMAVIO:</w:t>
      </w:r>
    </w:p>
    <w:p>
      <w:r>
        <w:t>Die BA meldet für 2025 weiterhin Fachkräfteengpässe, aber nicht als pauschalen allgemeinen Arbeitskräftemangel. Das ist wichtig für die AMAVIO-Argumentation:</w:t>
      </w:r>
    </w:p>
    <w:p>
      <w:pPr>
        <w:pStyle w:val="ListBullet"/>
      </w:pPr>
      <w:r>
        <w:t>stark: berufsfeld- und branchenspezifische Engpässe adressieren,</w:t>
      </w:r>
    </w:p>
    <w:p>
      <w:pPr>
        <w:pStyle w:val="ListBullet"/>
      </w:pPr>
      <w:r>
        <w:t>schwach: pauschal behaupten, überall fehle Personal.</w:t>
      </w:r>
    </w:p>
    <w:p>
      <w:r>
        <w:t>Coach-Fazit:</w:t>
      </w:r>
    </w:p>
    <w:p>
      <w:r>
        <w:t>AMAVIO sollte seine Zielkunden über konkrete Engpassbranchen und operative Hiring-Situationen erklären, nicht über einen zu breiten "Fachkräftemangel überall"-Claim.</w:t>
      </w:r>
    </w:p>
    <w:p>
      <w:pPr>
        <w:pStyle w:val="Heading2"/>
      </w:pPr>
      <w:r>
        <w:t>3. Zuwanderung und Erwerbstätigkeit</w:t>
      </w:r>
    </w:p>
    <w:p>
      <w:r>
        <w:t>Quellen:</w:t>
      </w:r>
    </w:p>
    <w:p>
      <w:pPr>
        <w:pStyle w:val="ListBullet"/>
      </w:pPr>
      <w:r>
        <w:t>Destatis Fachkräfte-Fokus: https://www.destatis.de/DE/Im-Fokus/Fachkraefte/_inhalt.html</w:t>
      </w:r>
    </w:p>
    <w:p>
      <w:pPr>
        <w:pStyle w:val="ListBullet"/>
      </w:pPr>
      <w:r>
        <w:t>Destatis Zuwanderung: https://www.destatis.de/DE/Im-Fokus/Fachkraefte/Zuwanderung/_inhalt.html</w:t>
      </w:r>
    </w:p>
    <w:p>
      <w:pPr>
        <w:pStyle w:val="ListBullet"/>
      </w:pPr>
      <w:r>
        <w:t>Destatis Pressemitteilung Nettozuwanderung 2025: https://www.destatis.de/DE/Presse/Pressemitteilungen/2026/06/PD26_184_12411.html</w:t>
      </w:r>
    </w:p>
    <w:p>
      <w:pPr>
        <w:pStyle w:val="ListBullet"/>
      </w:pPr>
      <w:r>
        <w:t>Destatis Erwerbstätigkeit/Fachkräfte: https://www.destatis.de/DE/Im-Fokus/Fachkraefte/Erwerbstaetigkeit/_inhalt.html</w:t>
      </w:r>
    </w:p>
    <w:p>
      <w:r>
        <w:t>Relevanz für AMAVIO:</w:t>
      </w:r>
    </w:p>
    <w:p>
      <w:r>
        <w:t>Destatis beschreibt Zuwanderung qualifizierter Arbeitskräfte als relevanten Baustein gegen Fachkräfteengpässe. Gleichzeitig ist die Nettozuwanderung 2025 gegenüber 2024 gesunken. Das spricht für eine nüchterne, nicht überdrehte Marktargumentation:</w:t>
      </w:r>
    </w:p>
    <w:p>
      <w:pPr>
        <w:pStyle w:val="ListBullet"/>
      </w:pPr>
      <w:r>
        <w:t>AMAVIO löst keinen makroökonomischen Fachkräftemangel.</w:t>
      </w:r>
    </w:p>
    <w:p>
      <w:pPr>
        <w:pStyle w:val="ListBullet"/>
      </w:pPr>
      <w:r>
        <w:t>AMAVIO löst einen konkreten operativen Startprozess nach Hiring-Entscheidung.</w:t>
      </w:r>
    </w:p>
    <w:p>
      <w:pPr>
        <w:pStyle w:val="ListBullet"/>
      </w:pPr>
      <w:r>
        <w:t>Die Stärke liegt in Ankunft, Wohnfähigkeit, Koordination und Stabilisierung.</w:t>
      </w:r>
    </w:p>
    <w:p>
      <w:pPr>
        <w:pStyle w:val="Heading2"/>
      </w:pPr>
      <w:r>
        <w:t>4. Formulierungsregeln für Businessplan und Pitch</w:t>
      </w:r>
    </w:p>
    <w:p>
      <w:r>
        <w:t>Verwenden:</w:t>
      </w:r>
    </w:p>
    <w:p>
      <w:pPr>
        <w:pStyle w:val="ListBullet"/>
      </w:pPr>
      <w:r>
        <w:t>"berufs- und branchenspezifische Engpässe"</w:t>
      </w:r>
    </w:p>
    <w:p>
      <w:pPr>
        <w:pStyle w:val="ListBullet"/>
      </w:pPr>
      <w:r>
        <w:t>"internationale Beschäftigung bleibt ein relevanter Baustein"</w:t>
      </w:r>
    </w:p>
    <w:p>
      <w:pPr>
        <w:pStyle w:val="ListBullet"/>
      </w:pPr>
      <w:r>
        <w:t>"operative Lücke zwischen Zusage und arbeitsfähigem Start"</w:t>
      </w:r>
    </w:p>
    <w:p>
      <w:pPr>
        <w:pStyle w:val="ListBullet"/>
      </w:pPr>
      <w:r>
        <w:t>"P1-Rechtsklärung zur Abgrenzung von Vermittlungs-/Maklerlogik"</w:t>
      </w:r>
    </w:p>
    <w:p>
      <w:r>
        <w:t>Vermeiden:</w:t>
      </w:r>
    </w:p>
    <w:p>
      <w:pPr>
        <w:pStyle w:val="ListBullet"/>
      </w:pPr>
      <w:r>
        <w:t>"Deutschland hat überall Fachkräftemangel"</w:t>
      </w:r>
    </w:p>
    <w:p>
      <w:pPr>
        <w:pStyle w:val="ListBullet"/>
      </w:pPr>
      <w:r>
        <w:t>"Wohnraum kann garantiert werden"</w:t>
      </w:r>
    </w:p>
    <w:p>
      <w:pPr>
        <w:pStyle w:val="ListBullet"/>
      </w:pPr>
      <w:r>
        <w:t>"AMAVIO vermittelt rechtssicher Wohnraum", solange §34c nicht geprüft ist</w:t>
      </w:r>
    </w:p>
    <w:p>
      <w:pPr>
        <w:pStyle w:val="ListBullet"/>
      </w:pPr>
      <w:r>
        <w:t>"Zuwanderung wächst stetig", weil die Nettozuwanderung 2025 laut Destatis gesunken ist</w:t>
      </w:r>
    </w:p>
    <w:p>
      <w:pPr>
        <w:pStyle w:val="Heading2"/>
      </w:pPr>
      <w:r>
        <w:t>5. Nächster Schritt</w:t>
      </w:r>
    </w:p>
    <w:p>
      <w:r>
        <w:t>Vor finaler Abgabe sollten Businessplan und Decks stichprobenartig gegen diese Formulierungsregeln geprüft werden. Falls dort breite oder rechtlich harte Aussagen stehen, sollten sie abgeschwächt oder mit Quelle/Beleg präzisiert werden.</w:t>
      </w:r>
    </w:p>
    <w:p>
      <w:pPr>
        <w:sectPr>
          <w:pgSz w:w="12240" w:h="15840"/>
          <w:pgMar w:top="1152" w:right="1224" w:bottom="1080" w:left="1224" w:header="720" w:footer="720" w:gutter="0"/>
          <w:cols w:space="720"/>
          <w:docGrid w:linePitch="360"/>
        </w:sectPr>
      </w:pPr>
    </w:p>
    <w:p>
      <w:pPr>
        <w:pStyle w:val="Heading1"/>
      </w:pPr>
      <w:r>
        <w:t>14-Tage-Arbeitsplan</w:t>
      </w:r>
    </w:p>
    <w:p>
      <w:r>
        <w:t>Startpunkt: 31. Juli 2026 Coach-Ziel: 6. August 2026 Arbeitsziel: coachfähiges Paket stabilisieren und danach finalisierungsfähig machen.</w:t>
      </w:r>
    </w:p>
    <w:p>
      <w:pPr>
        <w:pStyle w:val="Heading2"/>
      </w:pPr>
      <w:r>
        <w:t>Arbeitsprinzip</w:t>
      </w:r>
    </w:p>
    <w:p>
      <w:r>
        <w:t>Nicht alles gleichzeitig verbessern. Erst Belegkette schließen, dann Design/Export finalisieren, dann Website-Erlebnis ausbauen.</w:t>
      </w:r>
    </w:p>
    <w:p>
      <w:pPr>
        <w:pStyle w:val="Heading2"/>
      </w:pPr>
      <w:r>
        <w:t>Workstreams</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vAlign w:val="center"/>
            <w:shd w:fill="F6EFE2"/>
          </w:tcPr>
          <w:p>
            <w:r/>
            <w:r>
              <w:rPr>
                <w:b/>
                <w:color w:val="10243E"/>
                <w:sz w:val="18"/>
              </w:rPr>
              <w:t>Zeitraum</w:t>
            </w:r>
          </w:p>
        </w:tc>
        <w:tc>
          <w:tcPr>
            <w:tcW w:type="dxa" w:w="1958"/>
            <w:vAlign w:val="center"/>
            <w:shd w:fill="F6EFE2"/>
          </w:tcPr>
          <w:p>
            <w:r/>
            <w:r>
              <w:rPr>
                <w:b/>
                <w:color w:val="10243E"/>
                <w:sz w:val="18"/>
              </w:rPr>
              <w:t>Workstream</w:t>
            </w:r>
          </w:p>
        </w:tc>
        <w:tc>
          <w:tcPr>
            <w:tcW w:type="dxa" w:w="1958"/>
            <w:vAlign w:val="center"/>
            <w:shd w:fill="F6EFE2"/>
          </w:tcPr>
          <w:p>
            <w:r/>
            <w:r>
              <w:rPr>
                <w:b/>
                <w:color w:val="10243E"/>
                <w:sz w:val="18"/>
              </w:rPr>
              <w:t>Owner</w:t>
            </w:r>
          </w:p>
        </w:tc>
        <w:tc>
          <w:tcPr>
            <w:tcW w:type="dxa" w:w="1958"/>
            <w:vAlign w:val="center"/>
            <w:shd w:fill="F6EFE2"/>
          </w:tcPr>
          <w:p>
            <w:r/>
            <w:r>
              <w:rPr>
                <w:b/>
                <w:color w:val="10243E"/>
                <w:sz w:val="18"/>
              </w:rPr>
              <w:t>Ergebnis</w:t>
            </w:r>
          </w:p>
        </w:tc>
        <w:tc>
          <w:tcPr>
            <w:tcW w:type="dxa" w:w="1958"/>
            <w:vAlign w:val="center"/>
            <w:shd w:fill="F6EFE2"/>
          </w:tcPr>
          <w:p>
            <w:r/>
            <w:r>
              <w:rPr>
                <w:b/>
                <w:color w:val="10243E"/>
                <w:sz w:val="18"/>
              </w:rPr>
              <w:t>Akzeptanzkriterium</w:t>
            </w:r>
          </w:p>
        </w:tc>
      </w:tr>
      <w:tr>
        <w:tc>
          <w:tcPr>
            <w:tcW w:type="dxa" w:w="1958"/>
            <w:vAlign w:val="center"/>
          </w:tcPr>
          <w:p>
            <w:r/>
            <w:r>
              <w:rPr>
                <w:b w:val="0"/>
                <w:color w:val="514A41"/>
                <w:sz w:val="18"/>
              </w:rPr>
              <w:t>Tag 1-2</w:t>
            </w:r>
          </w:p>
        </w:tc>
        <w:tc>
          <w:tcPr>
            <w:tcW w:type="dxa" w:w="1958"/>
            <w:vAlign w:val="center"/>
          </w:tcPr>
          <w:p>
            <w:r/>
            <w:r>
              <w:rPr>
                <w:b w:val="0"/>
                <w:color w:val="514A41"/>
                <w:sz w:val="18"/>
              </w:rPr>
              <w:t>Coach-Paket schließen</w:t>
            </w:r>
          </w:p>
        </w:tc>
        <w:tc>
          <w:tcPr>
            <w:tcW w:type="dxa" w:w="1958"/>
            <w:vAlign w:val="center"/>
          </w:tcPr>
          <w:p>
            <w:r/>
            <w:r>
              <w:rPr>
                <w:b w:val="0"/>
                <w:color w:val="514A41"/>
                <w:sz w:val="18"/>
              </w:rPr>
              <w:t>AMAVIO + Codex</w:t>
            </w:r>
          </w:p>
        </w:tc>
        <w:tc>
          <w:tcPr>
            <w:tcW w:type="dxa" w:w="1958"/>
            <w:vAlign w:val="center"/>
          </w:tcPr>
          <w:p>
            <w:r/>
            <w:r>
              <w:rPr>
                <w:b w:val="0"/>
                <w:color w:val="514A41"/>
                <w:sz w:val="18"/>
              </w:rPr>
              <w:t>5-Minuten-Story, P1-Gates, Manifest, Finanzmodell-Brücke</w:t>
            </w:r>
          </w:p>
        </w:tc>
        <w:tc>
          <w:tcPr>
            <w:tcW w:type="dxa" w:w="1958"/>
            <w:vAlign w:val="center"/>
          </w:tcPr>
          <w:p>
            <w:r/>
            <w:r>
              <w:rPr>
                <w:b w:val="0"/>
                <w:color w:val="514A41"/>
                <w:sz w:val="18"/>
              </w:rPr>
              <w:t>Coach kann Konzept, Zahlen und Risiken in 10 Minuten erfassen</w:t>
            </w:r>
          </w:p>
        </w:tc>
      </w:tr>
      <w:tr>
        <w:tc>
          <w:tcPr>
            <w:tcW w:type="dxa" w:w="1958"/>
            <w:vAlign w:val="center"/>
          </w:tcPr>
          <w:p>
            <w:r/>
            <w:r>
              <w:rPr>
                <w:b w:val="0"/>
                <w:color w:val="514A41"/>
                <w:sz w:val="18"/>
              </w:rPr>
              <w:t>Tag 1-3</w:t>
            </w:r>
          </w:p>
        </w:tc>
        <w:tc>
          <w:tcPr>
            <w:tcW w:type="dxa" w:w="1958"/>
            <w:vAlign w:val="center"/>
          </w:tcPr>
          <w:p>
            <w:r/>
            <w:r>
              <w:rPr>
                <w:b w:val="0"/>
                <w:color w:val="514A41"/>
                <w:sz w:val="18"/>
              </w:rPr>
              <w:t>Deck-/One-Pager-QA</w:t>
            </w:r>
          </w:p>
        </w:tc>
        <w:tc>
          <w:tcPr>
            <w:tcW w:type="dxa" w:w="1958"/>
            <w:vAlign w:val="center"/>
          </w:tcPr>
          <w:p>
            <w:r/>
            <w:r>
              <w:rPr>
                <w:b w:val="0"/>
                <w:color w:val="514A41"/>
                <w:sz w:val="18"/>
              </w:rPr>
              <w:t>Codex</w:t>
            </w:r>
          </w:p>
        </w:tc>
        <w:tc>
          <w:tcPr>
            <w:tcW w:type="dxa" w:w="1958"/>
            <w:vAlign w:val="center"/>
          </w:tcPr>
          <w:p>
            <w:r/>
            <w:r>
              <w:rPr>
                <w:b w:val="0"/>
                <w:color w:val="514A41"/>
                <w:sz w:val="18"/>
              </w:rPr>
              <w:t>Text-/Notes-Extrakte, Versionsprüfung, Renderplan</w:t>
            </w:r>
          </w:p>
        </w:tc>
        <w:tc>
          <w:tcPr>
            <w:tcW w:type="dxa" w:w="1958"/>
            <w:vAlign w:val="center"/>
          </w:tcPr>
          <w:p>
            <w:r/>
            <w:r>
              <w:rPr>
                <w:b w:val="0"/>
                <w:color w:val="514A41"/>
                <w:sz w:val="18"/>
              </w:rPr>
              <w:t>keine alten v1.7-/92.000-Treffer; sichtbare Slides unverändert oder neu gerendert</w:t>
            </w:r>
          </w:p>
        </w:tc>
      </w:tr>
      <w:tr>
        <w:tc>
          <w:tcPr>
            <w:tcW w:type="dxa" w:w="1958"/>
            <w:vAlign w:val="center"/>
          </w:tcPr>
          <w:p>
            <w:r/>
            <w:r>
              <w:rPr>
                <w:b w:val="0"/>
                <w:color w:val="514A41"/>
                <w:sz w:val="18"/>
              </w:rPr>
              <w:t>Tag 2-4</w:t>
            </w:r>
          </w:p>
        </w:tc>
        <w:tc>
          <w:tcPr>
            <w:tcW w:type="dxa" w:w="1958"/>
            <w:vAlign w:val="center"/>
          </w:tcPr>
          <w:p>
            <w:r/>
            <w:r>
              <w:rPr>
                <w:b w:val="0"/>
                <w:color w:val="514A41"/>
                <w:sz w:val="18"/>
              </w:rPr>
              <w:t>Finanzmodell-Erklärung</w:t>
            </w:r>
          </w:p>
        </w:tc>
        <w:tc>
          <w:tcPr>
            <w:tcW w:type="dxa" w:w="1958"/>
            <w:vAlign w:val="center"/>
          </w:tcPr>
          <w:p>
            <w:r/>
            <w:r>
              <w:rPr>
                <w:b w:val="0"/>
                <w:color w:val="514A41"/>
                <w:sz w:val="18"/>
              </w:rPr>
              <w:t>AMAVIO + Codex</w:t>
            </w:r>
          </w:p>
        </w:tc>
        <w:tc>
          <w:tcPr>
            <w:tcW w:type="dxa" w:w="1958"/>
            <w:vAlign w:val="center"/>
          </w:tcPr>
          <w:p>
            <w:r/>
            <w:r>
              <w:rPr>
                <w:b w:val="0"/>
                <w:color w:val="514A41"/>
                <w:sz w:val="18"/>
              </w:rPr>
              <w:t>Szenario-/Treiberlogik und Liquiditätsfragen sichtbar</w:t>
            </w:r>
          </w:p>
        </w:tc>
        <w:tc>
          <w:tcPr>
            <w:tcW w:type="dxa" w:w="1958"/>
            <w:vAlign w:val="center"/>
          </w:tcPr>
          <w:p>
            <w:r/>
            <w:r>
              <w:rPr>
                <w:b w:val="0"/>
                <w:color w:val="514A41"/>
                <w:sz w:val="18"/>
              </w:rPr>
              <w:t>Coach kann wichtigste Annahmen und Risiken direkt prüfen</w:t>
            </w:r>
          </w:p>
        </w:tc>
      </w:tr>
      <w:tr>
        <w:tc>
          <w:tcPr>
            <w:tcW w:type="dxa" w:w="1958"/>
            <w:vAlign w:val="center"/>
          </w:tcPr>
          <w:p>
            <w:r/>
            <w:r>
              <w:rPr>
                <w:b w:val="0"/>
                <w:color w:val="514A41"/>
                <w:sz w:val="18"/>
              </w:rPr>
              <w:t>Tag 3-5</w:t>
            </w:r>
          </w:p>
        </w:tc>
        <w:tc>
          <w:tcPr>
            <w:tcW w:type="dxa" w:w="1958"/>
            <w:vAlign w:val="center"/>
          </w:tcPr>
          <w:p>
            <w:r/>
            <w:r>
              <w:rPr>
                <w:b w:val="0"/>
                <w:color w:val="514A41"/>
                <w:sz w:val="18"/>
              </w:rPr>
              <w:t>Businessplan-Kompaktentscheidung</w:t>
            </w:r>
          </w:p>
        </w:tc>
        <w:tc>
          <w:tcPr>
            <w:tcW w:type="dxa" w:w="1958"/>
            <w:vAlign w:val="center"/>
          </w:tcPr>
          <w:p>
            <w:r/>
            <w:r>
              <w:rPr>
                <w:b w:val="0"/>
                <w:color w:val="514A41"/>
                <w:sz w:val="18"/>
              </w:rPr>
              <w:t>AMAVIO + Codex</w:t>
            </w:r>
          </w:p>
        </w:tc>
        <w:tc>
          <w:tcPr>
            <w:tcW w:type="dxa" w:w="1958"/>
            <w:vAlign w:val="center"/>
          </w:tcPr>
          <w:p>
            <w:r/>
            <w:r>
              <w:rPr>
                <w:b w:val="0"/>
                <w:color w:val="514A41"/>
                <w:sz w:val="18"/>
              </w:rPr>
              <w:t>Entscheidung: Master 57 Seiten behalten plus Kompaktbriefing oder gekürzte Fassung bauen</w:t>
            </w:r>
          </w:p>
        </w:tc>
        <w:tc>
          <w:tcPr>
            <w:tcW w:type="dxa" w:w="1958"/>
            <w:vAlign w:val="center"/>
          </w:tcPr>
          <w:p>
            <w:r/>
            <w:r>
              <w:rPr>
                <w:b w:val="0"/>
                <w:color w:val="514A41"/>
                <w:sz w:val="18"/>
              </w:rPr>
              <w:t>keine unkontrollierte Kürzung; klare Zielversion</w:t>
            </w:r>
          </w:p>
        </w:tc>
      </w:tr>
      <w:tr>
        <w:tc>
          <w:tcPr>
            <w:tcW w:type="dxa" w:w="1958"/>
            <w:vAlign w:val="center"/>
          </w:tcPr>
          <w:p>
            <w:r/>
            <w:r>
              <w:rPr>
                <w:b w:val="0"/>
                <w:color w:val="514A41"/>
                <w:sz w:val="18"/>
              </w:rPr>
              <w:t>Tag 4-6</w:t>
            </w:r>
          </w:p>
        </w:tc>
        <w:tc>
          <w:tcPr>
            <w:tcW w:type="dxa" w:w="1958"/>
            <w:vAlign w:val="center"/>
          </w:tcPr>
          <w:p>
            <w:r/>
            <w:r>
              <w:rPr>
                <w:b w:val="0"/>
                <w:color w:val="514A41"/>
                <w:sz w:val="18"/>
              </w:rPr>
              <w:t>Quellen-/Rechtsstichprobe</w:t>
            </w:r>
          </w:p>
        </w:tc>
        <w:tc>
          <w:tcPr>
            <w:tcW w:type="dxa" w:w="1958"/>
            <w:vAlign w:val="center"/>
          </w:tcPr>
          <w:p>
            <w:r/>
            <w:r>
              <w:rPr>
                <w:b w:val="0"/>
                <w:color w:val="514A41"/>
                <w:sz w:val="18"/>
              </w:rPr>
              <w:t>AMAVIO + Codex</w:t>
            </w:r>
          </w:p>
        </w:tc>
        <w:tc>
          <w:tcPr>
            <w:tcW w:type="dxa" w:w="1958"/>
            <w:vAlign w:val="center"/>
          </w:tcPr>
          <w:p>
            <w:r/>
            <w:r>
              <w:rPr>
                <w:b w:val="0"/>
                <w:color w:val="514A41"/>
                <w:sz w:val="18"/>
              </w:rPr>
              <w:t>kritische Markt-, Fachkräfte- und §34c-/Leistungsgrenzen aktualisiert</w:t>
            </w:r>
          </w:p>
        </w:tc>
        <w:tc>
          <w:tcPr>
            <w:tcW w:type="dxa" w:w="1958"/>
            <w:vAlign w:val="center"/>
          </w:tcPr>
          <w:p>
            <w:r/>
            <w:r>
              <w:rPr>
                <w:b w:val="0"/>
                <w:color w:val="514A41"/>
                <w:sz w:val="18"/>
              </w:rPr>
              <w:t>keine rechtlich riskanten Behauptungen ohne Kennzeichnung</w:t>
            </w:r>
          </w:p>
        </w:tc>
      </w:tr>
      <w:tr>
        <w:tc>
          <w:tcPr>
            <w:tcW w:type="dxa" w:w="1958"/>
            <w:vAlign w:val="center"/>
          </w:tcPr>
          <w:p>
            <w:r/>
            <w:r>
              <w:rPr>
                <w:b w:val="0"/>
                <w:color w:val="514A41"/>
                <w:sz w:val="18"/>
              </w:rPr>
              <w:t>Tag 5-7</w:t>
            </w:r>
          </w:p>
        </w:tc>
        <w:tc>
          <w:tcPr>
            <w:tcW w:type="dxa" w:w="1958"/>
            <w:vAlign w:val="center"/>
          </w:tcPr>
          <w:p>
            <w:r/>
            <w:r>
              <w:rPr>
                <w:b w:val="0"/>
                <w:color w:val="514A41"/>
                <w:sz w:val="18"/>
              </w:rPr>
              <w:t>Coach-Review vorbereiten</w:t>
            </w:r>
          </w:p>
        </w:tc>
        <w:tc>
          <w:tcPr>
            <w:tcW w:type="dxa" w:w="1958"/>
            <w:vAlign w:val="center"/>
          </w:tcPr>
          <w:p>
            <w:r/>
            <w:r>
              <w:rPr>
                <w:b w:val="0"/>
                <w:color w:val="514A41"/>
                <w:sz w:val="18"/>
              </w:rPr>
              <w:t>AMAVIO</w:t>
            </w:r>
          </w:p>
        </w:tc>
        <w:tc>
          <w:tcPr>
            <w:tcW w:type="dxa" w:w="1958"/>
            <w:vAlign w:val="center"/>
          </w:tcPr>
          <w:p>
            <w:r/>
            <w:r>
              <w:rPr>
                <w:b w:val="0"/>
                <w:color w:val="514A41"/>
                <w:sz w:val="18"/>
              </w:rPr>
              <w:t>Fragen, Reihenfolge, Dokumentpaket, offene Belege</w:t>
            </w:r>
          </w:p>
        </w:tc>
        <w:tc>
          <w:tcPr>
            <w:tcW w:type="dxa" w:w="1958"/>
            <w:vAlign w:val="center"/>
          </w:tcPr>
          <w:p>
            <w:r/>
            <w:r>
              <w:rPr>
                <w:b w:val="0"/>
                <w:color w:val="514A41"/>
                <w:sz w:val="18"/>
              </w:rPr>
              <w:t>Coach-Termin kann ohne Sucharbeit stattfinden</w:t>
            </w:r>
          </w:p>
        </w:tc>
      </w:tr>
      <w:tr>
        <w:tc>
          <w:tcPr>
            <w:tcW w:type="dxa" w:w="1958"/>
            <w:vAlign w:val="center"/>
          </w:tcPr>
          <w:p>
            <w:r/>
            <w:r>
              <w:rPr>
                <w:b w:val="0"/>
                <w:color w:val="514A41"/>
                <w:sz w:val="18"/>
              </w:rPr>
              <w:t>Tag 7-10</w:t>
            </w:r>
          </w:p>
        </w:tc>
        <w:tc>
          <w:tcPr>
            <w:tcW w:type="dxa" w:w="1958"/>
            <w:vAlign w:val="center"/>
          </w:tcPr>
          <w:p>
            <w:r/>
            <w:r>
              <w:rPr>
                <w:b w:val="0"/>
                <w:color w:val="514A41"/>
                <w:sz w:val="18"/>
              </w:rPr>
              <w:t>Design-/Layout-Finalisierung Office</w:t>
            </w:r>
          </w:p>
        </w:tc>
        <w:tc>
          <w:tcPr>
            <w:tcW w:type="dxa" w:w="1958"/>
            <w:vAlign w:val="center"/>
          </w:tcPr>
          <w:p>
            <w:r/>
            <w:r>
              <w:rPr>
                <w:b w:val="0"/>
                <w:color w:val="514A41"/>
                <w:sz w:val="18"/>
              </w:rPr>
              <w:t>Codex</w:t>
            </w:r>
          </w:p>
        </w:tc>
        <w:tc>
          <w:tcPr>
            <w:tcW w:type="dxa" w:w="1958"/>
            <w:vAlign w:val="center"/>
          </w:tcPr>
          <w:p>
            <w:r/>
            <w:r>
              <w:rPr>
                <w:b w:val="0"/>
                <w:color w:val="514A41"/>
                <w:sz w:val="18"/>
              </w:rPr>
              <w:t>Businessplan/Decks visuell gehoben, PDFs neu exportiert</w:t>
            </w:r>
          </w:p>
        </w:tc>
        <w:tc>
          <w:tcPr>
            <w:tcW w:type="dxa" w:w="1958"/>
            <w:vAlign w:val="center"/>
          </w:tcPr>
          <w:p>
            <w:r/>
            <w:r>
              <w:rPr>
                <w:b w:val="0"/>
                <w:color w:val="514A41"/>
                <w:sz w:val="18"/>
              </w:rPr>
              <w:t>Backup, Render, Seiten-/Folienzahl, Textlayer sauber</w:t>
            </w:r>
          </w:p>
        </w:tc>
      </w:tr>
      <w:tr>
        <w:tc>
          <w:tcPr>
            <w:tcW w:type="dxa" w:w="1958"/>
            <w:vAlign w:val="center"/>
          </w:tcPr>
          <w:p>
            <w:r/>
            <w:r>
              <w:rPr>
                <w:b w:val="0"/>
                <w:color w:val="514A41"/>
                <w:sz w:val="18"/>
              </w:rPr>
              <w:t>Tag 8-12</w:t>
            </w:r>
          </w:p>
        </w:tc>
        <w:tc>
          <w:tcPr>
            <w:tcW w:type="dxa" w:w="1958"/>
            <w:vAlign w:val="center"/>
          </w:tcPr>
          <w:p>
            <w:r/>
            <w:r>
              <w:rPr>
                <w:b w:val="0"/>
                <w:color w:val="514A41"/>
                <w:sz w:val="18"/>
              </w:rPr>
              <w:t>Website-Signature-Pilot</w:t>
            </w:r>
          </w:p>
        </w:tc>
        <w:tc>
          <w:tcPr>
            <w:tcW w:type="dxa" w:w="1958"/>
            <w:vAlign w:val="center"/>
          </w:tcPr>
          <w:p>
            <w:r/>
            <w:r>
              <w:rPr>
                <w:b w:val="0"/>
                <w:color w:val="514A41"/>
                <w:sz w:val="18"/>
              </w:rPr>
              <w:t>Codex + neue UI/UX-Skills</w:t>
            </w:r>
          </w:p>
        </w:tc>
        <w:tc>
          <w:tcPr>
            <w:tcW w:type="dxa" w:w="1958"/>
            <w:vAlign w:val="center"/>
          </w:tcPr>
          <w:p>
            <w:r/>
            <w:r>
              <w:rPr>
                <w:b w:val="0"/>
                <w:color w:val="514A41"/>
                <w:sz w:val="18"/>
              </w:rPr>
              <w:t>3D-/Motion-Journey oder hochwertiger Hero-Medienpfad</w:t>
            </w:r>
          </w:p>
        </w:tc>
        <w:tc>
          <w:tcPr>
            <w:tcW w:type="dxa" w:w="1958"/>
            <w:vAlign w:val="center"/>
          </w:tcPr>
          <w:p>
            <w:r/>
            <w:r>
              <w:rPr>
                <w:b w:val="0"/>
                <w:color w:val="514A41"/>
                <w:sz w:val="18"/>
              </w:rPr>
              <w:t>technisch grün, mobile sauber, kein Spielzeug-Effekt</w:t>
            </w:r>
          </w:p>
        </w:tc>
      </w:tr>
      <w:tr>
        <w:tc>
          <w:tcPr>
            <w:tcW w:type="dxa" w:w="1958"/>
            <w:vAlign w:val="center"/>
          </w:tcPr>
          <w:p>
            <w:r/>
            <w:r>
              <w:rPr>
                <w:b w:val="0"/>
                <w:color w:val="514A41"/>
                <w:sz w:val="18"/>
              </w:rPr>
              <w:t>Tag 10-14</w:t>
            </w:r>
          </w:p>
        </w:tc>
        <w:tc>
          <w:tcPr>
            <w:tcW w:type="dxa" w:w="1958"/>
            <w:vAlign w:val="center"/>
          </w:tcPr>
          <w:p>
            <w:r/>
            <w:r>
              <w:rPr>
                <w:b w:val="0"/>
                <w:color w:val="514A41"/>
                <w:sz w:val="18"/>
              </w:rPr>
              <w:t>Finale Abgabe-Hygiene</w:t>
            </w:r>
          </w:p>
        </w:tc>
        <w:tc>
          <w:tcPr>
            <w:tcW w:type="dxa" w:w="1958"/>
            <w:vAlign w:val="center"/>
          </w:tcPr>
          <w:p>
            <w:r/>
            <w:r>
              <w:rPr>
                <w:b w:val="0"/>
                <w:color w:val="514A41"/>
                <w:sz w:val="18"/>
              </w:rPr>
              <w:t>Codex</w:t>
            </w:r>
          </w:p>
        </w:tc>
        <w:tc>
          <w:tcPr>
            <w:tcW w:type="dxa" w:w="1958"/>
            <w:vAlign w:val="center"/>
          </w:tcPr>
          <w:p>
            <w:r/>
            <w:r>
              <w:rPr>
                <w:b w:val="0"/>
                <w:color w:val="514A41"/>
                <w:sz w:val="18"/>
              </w:rPr>
              <w:t>Submission-Ordner, Hashes, QA-Logs, Git-Status getrennt</w:t>
            </w:r>
          </w:p>
        </w:tc>
        <w:tc>
          <w:tcPr>
            <w:tcW w:type="dxa" w:w="1958"/>
            <w:vAlign w:val="center"/>
          </w:tcPr>
          <w:p>
            <w:r/>
            <w:r>
              <w:rPr>
                <w:b w:val="0"/>
                <w:color w:val="514A41"/>
                <w:sz w:val="18"/>
              </w:rPr>
              <w:t>keine Backups/Caches im finalen Paket; klare Abgabereihenfolge</w:t>
            </w:r>
          </w:p>
        </w:tc>
      </w:tr>
    </w:tbl>
    <w:p/>
    <w:p>
      <w:pPr>
        <w:pStyle w:val="Heading2"/>
      </w:pPr>
      <w:r>
        <w:t>Bis zum Coach-Termin prioritär</w:t>
      </w:r>
    </w:p>
    <w:p>
      <w:pPr>
        <w:pStyle w:val="ListNumber"/>
      </w:pPr>
      <w:r>
        <w:t>P1-Gates mit belegbaren nächsten Schritten.</w:t>
      </w:r>
    </w:p>
    <w:p>
      <w:pPr>
        <w:pStyle w:val="ListNumber"/>
      </w:pPr>
      <w:r>
        <w:t>Coach-Story sicher sprechen.</w:t>
      </w:r>
    </w:p>
    <w:p>
      <w:pPr>
        <w:pStyle w:val="ListNumber"/>
      </w:pPr>
      <w:r>
        <w:t>Investor- und Employer-Deck nicht vermischen.</w:t>
      </w:r>
    </w:p>
    <w:p>
      <w:pPr>
        <w:pStyle w:val="ListNumber"/>
      </w:pPr>
      <w:r>
        <w:t>Finanzmodell v1.8 erklären, nicht verteidigen.</w:t>
      </w:r>
    </w:p>
    <w:p>
      <w:pPr>
        <w:pStyle w:val="ListNumber"/>
      </w:pPr>
      <w:r>
        <w:t>Businessplan nicht voreilig kürzen, bevor Zielversion entschieden ist.</w:t>
      </w:r>
    </w:p>
    <w:p>
      <w:pPr>
        <w:pStyle w:val="Heading2"/>
      </w:pPr>
      <w:r>
        <w:t>Nach dem Coach-Termin</w:t>
      </w:r>
    </w:p>
    <w:p>
      <w:pPr>
        <w:pStyle w:val="ListNumber"/>
      </w:pPr>
      <w:r>
        <w:t>Feedback in Businessplan und Decks einarbeiten.</w:t>
      </w:r>
    </w:p>
    <w:p>
      <w:pPr>
        <w:pStyle w:val="ListNumber"/>
      </w:pPr>
      <w:r>
        <w:t>Kompaktfassung oder Executive Addendum bauen.</w:t>
      </w:r>
    </w:p>
    <w:p>
      <w:pPr>
        <w:pStyle w:val="ListNumber"/>
      </w:pPr>
      <w:r>
        <w:t>Office-Dateien mit Backup final exportieren.</w:t>
      </w:r>
    </w:p>
    <w:p>
      <w:pPr>
        <w:pStyle w:val="ListNumber"/>
      </w:pPr>
      <w:r>
        <w:t>Website mit UI/UX-/Motion-Skills wieder aufnehmen.</w:t>
      </w:r>
    </w:p>
    <w:p>
      <w:pPr>
        <w:pStyle w:val="ListNumber"/>
      </w:pPr>
      <w:r>
        <w:t>Finales Paket mit Manifest und Hashes schließen.</w:t>
      </w:r>
    </w:p>
    <w:p>
      <w:pPr>
        <w:pStyle w:val="Heading2"/>
      </w:pPr>
      <w:r>
        <w:t>Risiko, das wir aktiv vermeiden</w:t>
      </w:r>
    </w:p>
    <w:p>
      <w:pPr>
        <w:pStyle w:val="ListBullet"/>
      </w:pPr>
      <w:r>
        <w:t>Website wird spektakulärer, bevor Kernunterlagen belastbar sind.</w:t>
      </w:r>
    </w:p>
    <w:p>
      <w:pPr>
        <w:pStyle w:val="ListBullet"/>
      </w:pPr>
      <w:r>
        <w:t>Businessplan wird gekürzt und verliert Belegkraft.</w:t>
      </w:r>
    </w:p>
    <w:p>
      <w:pPr>
        <w:pStyle w:val="ListBullet"/>
      </w:pPr>
      <w:r>
        <w:t>Decks werden visuell verändert, ohne Render-/Overflow-QA.</w:t>
      </w:r>
    </w:p>
    <w:p>
      <w:pPr>
        <w:pStyle w:val="ListBullet"/>
      </w:pPr>
      <w:r>
        <w:t>Finanzmodell wird überschrieben, ohne Recalc-/Backup-Beleg.</w:t>
      </w:r>
    </w:p>
    <w:p>
      <w:pPr>
        <w:pStyle w:val="ListBullet"/>
      </w:pPr>
      <w:r>
        <w:t>Alte Backups, Caches oder Arbeitsstände landen im Abgabepaket.</w:t>
      </w:r>
    </w:p>
    <w:p>
      <w:pPr>
        <w:sectPr>
          <w:pgSz w:w="12240" w:h="15840"/>
          <w:pgMar w:top="1152" w:right="1224" w:bottom="1080" w:left="1224" w:header="720" w:footer="720" w:gutter="0"/>
          <w:cols w:space="720"/>
          <w:docGrid w:linePitch="360"/>
        </w:sectPr>
      </w:pPr>
    </w:p>
    <w:p>
      <w:pPr>
        <w:pStyle w:val="Heading1"/>
      </w:pPr>
      <w:r>
        <w:t>Submission Manifest</w:t>
      </w:r>
    </w:p>
    <w:p>
      <w:r>
        <w:t>Stand: 31. Juli 2026</w:t>
      </w:r>
    </w:p>
    <w:p>
      <w:r>
        <w:rPr>
          <w:i/>
        </w:rPr>
        <w:t>Zweck: führende Dateien, Versionen, Zielgruppen und QA-Status für Coach-Preview und spätere Abgabe kontrollierbar machen.</w:t>
      </w:r>
    </w:p>
    <w:p>
      <w:r>
        <w:t>Hash-Beleg:</w:t>
      </w:r>
    </w:p>
    <w:p>
      <w:r>
        <w:t>04_Final_Abgabe_v2_1/99_QA/coach_manifest_hashes_20260731.json</w:t>
      </w:r>
    </w:p>
    <w:p>
      <w:pPr>
        <w:pStyle w:val="Heading2"/>
      </w:pPr>
      <w:r>
        <w:t>Führende Linie</w:t>
      </w:r>
    </w:p>
    <w:p>
      <w:pPr>
        <w:pStyle w:val="ListNumber"/>
      </w:pPr>
      <w:r>
        <w:t>Businessplan v2.2 ist der Vollbeleg.</w:t>
      </w:r>
    </w:p>
    <w:p>
      <w:pPr>
        <w:pStyle w:val="ListNumber"/>
      </w:pPr>
      <w:r>
        <w:t>Finanzmodell v1.8 ist die führende Zahlenquelle.</w:t>
      </w:r>
    </w:p>
    <w:p>
      <w:pPr>
        <w:pStyle w:val="ListNumber"/>
      </w:pPr>
      <w:r>
        <w:t>Investor Deck erklärt Kapital-, Risiko- und Proof-Logik.</w:t>
      </w:r>
    </w:p>
    <w:p>
      <w:pPr>
        <w:pStyle w:val="ListNumber"/>
      </w:pPr>
      <w:r>
        <w:t>Employer Deck erklärt Kunden-/Kauflogik.</w:t>
      </w:r>
    </w:p>
    <w:p>
      <w:pPr>
        <w:pStyle w:val="ListNumber"/>
      </w:pPr>
      <w:r>
        <w:t>One-Pager ist der schnelle Einstieg.</w:t>
      </w:r>
    </w:p>
    <w:p>
      <w:pPr>
        <w:pStyle w:val="ListNumber"/>
      </w:pPr>
      <w:r>
        <w:t>Partner Capability Deck erklärt die Lieferpartnerfähigkeit.</w:t>
      </w:r>
    </w:p>
    <w:p>
      <w:pPr>
        <w:pStyle w:val="Heading2"/>
      </w:pPr>
      <w:r>
        <w:t>Coach-Paket - empfohlene Reihenfolge</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vAlign w:val="center"/>
            <w:shd w:fill="F6EFE2"/>
          </w:tcPr>
          <w:p>
            <w:r/>
            <w:r>
              <w:rPr>
                <w:b/>
                <w:color w:val="10243E"/>
                <w:sz w:val="18"/>
              </w:rPr>
              <w:t>Reihenfolge</w:t>
            </w:r>
          </w:p>
        </w:tc>
        <w:tc>
          <w:tcPr>
            <w:tcW w:type="dxa" w:w="2448"/>
            <w:vAlign w:val="center"/>
            <w:shd w:fill="F6EFE2"/>
          </w:tcPr>
          <w:p>
            <w:r/>
            <w:r>
              <w:rPr>
                <w:b/>
                <w:color w:val="10243E"/>
                <w:sz w:val="18"/>
              </w:rPr>
              <w:t>Datei</w:t>
            </w:r>
          </w:p>
        </w:tc>
        <w:tc>
          <w:tcPr>
            <w:tcW w:type="dxa" w:w="2448"/>
            <w:vAlign w:val="center"/>
            <w:shd w:fill="F6EFE2"/>
          </w:tcPr>
          <w:p>
            <w:r/>
            <w:r>
              <w:rPr>
                <w:b/>
                <w:color w:val="10243E"/>
                <w:sz w:val="18"/>
              </w:rPr>
              <w:t>Zweck</w:t>
            </w:r>
          </w:p>
        </w:tc>
        <w:tc>
          <w:tcPr>
            <w:tcW w:type="dxa" w:w="2448"/>
            <w:vAlign w:val="center"/>
            <w:shd w:fill="F6EFE2"/>
          </w:tcPr>
          <w:p>
            <w:r/>
            <w:r>
              <w:rPr>
                <w:b/>
                <w:color w:val="10243E"/>
                <w:sz w:val="18"/>
              </w:rPr>
              <w:t>Status</w:t>
            </w:r>
          </w:p>
        </w:tc>
      </w:tr>
      <w:tr>
        <w:tc>
          <w:tcPr>
            <w:tcW w:type="dxa" w:w="2448"/>
            <w:vAlign w:val="center"/>
          </w:tcPr>
          <w:p>
            <w:r/>
            <w:r>
              <w:rPr>
                <w:b w:val="0"/>
                <w:color w:val="514A41"/>
                <w:sz w:val="18"/>
              </w:rPr>
              <w:t>1</w:t>
            </w:r>
          </w:p>
        </w:tc>
        <w:tc>
          <w:tcPr>
            <w:tcW w:type="dxa" w:w="2448"/>
            <w:vAlign w:val="center"/>
          </w:tcPr>
          <w:p>
            <w:r/>
            <w:r>
              <w:rPr>
                <w:b w:val="0"/>
                <w:color w:val="514A41"/>
                <w:sz w:val="18"/>
              </w:rPr>
              <w:t>AMAVIO_Living_One_Pager_v2_2_FINAL.pptx / .pdf</w:t>
            </w:r>
          </w:p>
        </w:tc>
        <w:tc>
          <w:tcPr>
            <w:tcW w:type="dxa" w:w="2448"/>
            <w:vAlign w:val="center"/>
          </w:tcPr>
          <w:p>
            <w:r/>
            <w:r>
              <w:rPr>
                <w:b w:val="0"/>
                <w:color w:val="514A41"/>
                <w:sz w:val="18"/>
              </w:rPr>
              <w:t>Einstieg, Angebot, Preisanker, erste Einordnung</w:t>
            </w:r>
          </w:p>
        </w:tc>
        <w:tc>
          <w:tcPr>
            <w:tcW w:type="dxa" w:w="2448"/>
            <w:vAlign w:val="center"/>
          </w:tcPr>
          <w:p>
            <w:r/>
            <w:r>
              <w:rPr>
                <w:b w:val="0"/>
                <w:color w:val="514A41"/>
                <w:sz w:val="18"/>
              </w:rPr>
              <w:t>Text-Extrakt sauber; keine v1.7-Treffer</w:t>
            </w:r>
          </w:p>
        </w:tc>
      </w:tr>
      <w:tr>
        <w:tc>
          <w:tcPr>
            <w:tcW w:type="dxa" w:w="2448"/>
            <w:vAlign w:val="center"/>
          </w:tcPr>
          <w:p>
            <w:r/>
            <w:r>
              <w:rPr>
                <w:b w:val="0"/>
                <w:color w:val="514A41"/>
                <w:sz w:val="18"/>
              </w:rPr>
              <w:t>2</w:t>
            </w:r>
          </w:p>
        </w:tc>
        <w:tc>
          <w:tcPr>
            <w:tcW w:type="dxa" w:w="2448"/>
            <w:vAlign w:val="center"/>
          </w:tcPr>
          <w:p>
            <w:r/>
            <w:r>
              <w:rPr>
                <w:b w:val="0"/>
                <w:color w:val="514A41"/>
                <w:sz w:val="18"/>
              </w:rPr>
              <w:t>AMAVIO_Living_Investor_Readiness_Deck_v3_2_FINAL.pptx / .pdf</w:t>
            </w:r>
          </w:p>
        </w:tc>
        <w:tc>
          <w:tcPr>
            <w:tcW w:type="dxa" w:w="2448"/>
            <w:vAlign w:val="center"/>
          </w:tcPr>
          <w:p>
            <w:r/>
            <w:r>
              <w:rPr>
                <w:b w:val="0"/>
                <w:color w:val="514A41"/>
                <w:sz w:val="18"/>
              </w:rPr>
              <w:t>Finanzierungs-, Risiko- und Proof-Logik</w:t>
            </w:r>
          </w:p>
        </w:tc>
        <w:tc>
          <w:tcPr>
            <w:tcW w:type="dxa" w:w="2448"/>
            <w:vAlign w:val="center"/>
          </w:tcPr>
          <w:p>
            <w:r/>
            <w:r>
              <w:rPr>
                <w:b w:val="0"/>
                <w:color w:val="514A41"/>
                <w:sz w:val="18"/>
              </w:rPr>
              <w:t>Notes korrigiert; keine v1.7-Treffer</w:t>
            </w:r>
          </w:p>
        </w:tc>
      </w:tr>
      <w:tr>
        <w:tc>
          <w:tcPr>
            <w:tcW w:type="dxa" w:w="2448"/>
            <w:vAlign w:val="center"/>
          </w:tcPr>
          <w:p>
            <w:r/>
            <w:r>
              <w:rPr>
                <w:b w:val="0"/>
                <w:color w:val="514A41"/>
                <w:sz w:val="18"/>
              </w:rPr>
              <w:t>3</w:t>
            </w:r>
          </w:p>
        </w:tc>
        <w:tc>
          <w:tcPr>
            <w:tcW w:type="dxa" w:w="2448"/>
            <w:vAlign w:val="center"/>
          </w:tcPr>
          <w:p>
            <w:r/>
            <w:r>
              <w:rPr>
                <w:b w:val="0"/>
                <w:color w:val="514A41"/>
                <w:sz w:val="18"/>
              </w:rPr>
              <w:t>AMAVIO_Living_Employer_Decision_Deck_v5_2_FINAL.pptx / .pdf</w:t>
            </w:r>
          </w:p>
        </w:tc>
        <w:tc>
          <w:tcPr>
            <w:tcW w:type="dxa" w:w="2448"/>
            <w:vAlign w:val="center"/>
          </w:tcPr>
          <w:p>
            <w:r/>
            <w:r>
              <w:rPr>
                <w:b w:val="0"/>
                <w:color w:val="514A41"/>
                <w:sz w:val="18"/>
              </w:rPr>
              <w:t>Arbeitgebernutzen, Kaufentscheidung, operative Umsetzung</w:t>
            </w:r>
          </w:p>
        </w:tc>
        <w:tc>
          <w:tcPr>
            <w:tcW w:type="dxa" w:w="2448"/>
            <w:vAlign w:val="center"/>
          </w:tcPr>
          <w:p>
            <w:r/>
            <w:r>
              <w:rPr>
                <w:b w:val="0"/>
                <w:color w:val="514A41"/>
                <w:sz w:val="18"/>
              </w:rPr>
              <w:t>Notes korrigiert; Risikoformulierung bewusst einschränkend</w:t>
            </w:r>
          </w:p>
        </w:tc>
      </w:tr>
      <w:tr>
        <w:tc>
          <w:tcPr>
            <w:tcW w:type="dxa" w:w="2448"/>
            <w:vAlign w:val="center"/>
          </w:tcPr>
          <w:p>
            <w:r/>
            <w:r>
              <w:rPr>
                <w:b w:val="0"/>
                <w:color w:val="514A41"/>
                <w:sz w:val="18"/>
              </w:rPr>
              <w:t>4</w:t>
            </w:r>
          </w:p>
        </w:tc>
        <w:tc>
          <w:tcPr>
            <w:tcW w:type="dxa" w:w="2448"/>
            <w:vAlign w:val="center"/>
          </w:tcPr>
          <w:p>
            <w:r/>
            <w:r>
              <w:rPr>
                <w:b w:val="0"/>
                <w:color w:val="514A41"/>
                <w:sz w:val="18"/>
              </w:rPr>
              <w:t>AMAVIO_Living_Businessplan_Master_2026_v2_2_FINAL.docx / .pdf</w:t>
            </w:r>
          </w:p>
        </w:tc>
        <w:tc>
          <w:tcPr>
            <w:tcW w:type="dxa" w:w="2448"/>
            <w:vAlign w:val="center"/>
          </w:tcPr>
          <w:p>
            <w:r/>
            <w:r>
              <w:rPr>
                <w:b w:val="0"/>
                <w:color w:val="514A41"/>
                <w:sz w:val="18"/>
              </w:rPr>
              <w:t>Vollbeleg für Konzept, Modell, Markt, Umsetzung</w:t>
            </w:r>
          </w:p>
        </w:tc>
        <w:tc>
          <w:tcPr>
            <w:tcW w:type="dxa" w:w="2448"/>
            <w:vAlign w:val="center"/>
          </w:tcPr>
          <w:p>
            <w:r/>
            <w:r>
              <w:rPr>
                <w:b w:val="0"/>
                <w:color w:val="514A41"/>
                <w:sz w:val="18"/>
              </w:rPr>
              <w:t>v2.2 / 57 Seiten als führende Fassung</w:t>
            </w:r>
          </w:p>
        </w:tc>
      </w:tr>
      <w:tr>
        <w:tc>
          <w:tcPr>
            <w:tcW w:type="dxa" w:w="2448"/>
            <w:vAlign w:val="center"/>
          </w:tcPr>
          <w:p>
            <w:r/>
            <w:r>
              <w:rPr>
                <w:b w:val="0"/>
                <w:color w:val="514A41"/>
                <w:sz w:val="18"/>
              </w:rPr>
              <w:t>5</w:t>
            </w:r>
          </w:p>
        </w:tc>
        <w:tc>
          <w:tcPr>
            <w:tcW w:type="dxa" w:w="2448"/>
            <w:vAlign w:val="center"/>
          </w:tcPr>
          <w:p>
            <w:r/>
            <w:r>
              <w:rPr>
                <w:b w:val="0"/>
                <w:color w:val="514A41"/>
                <w:sz w:val="18"/>
              </w:rPr>
              <w:t>AMAVIO_Finanzmodell_36_Monate_v1_8_FINAL.xlsx</w:t>
            </w:r>
          </w:p>
        </w:tc>
        <w:tc>
          <w:tcPr>
            <w:tcW w:type="dxa" w:w="2448"/>
            <w:vAlign w:val="center"/>
          </w:tcPr>
          <w:p>
            <w:r/>
            <w:r>
              <w:rPr>
                <w:b w:val="0"/>
                <w:color w:val="514A41"/>
                <w:sz w:val="18"/>
              </w:rPr>
              <w:t>Detailfragen zu Zahlen, Szenarien und Liquidität</w:t>
            </w:r>
          </w:p>
        </w:tc>
        <w:tc>
          <w:tcPr>
            <w:tcW w:type="dxa" w:w="2448"/>
            <w:vAlign w:val="center"/>
          </w:tcPr>
          <w:p>
            <w:r/>
            <w:r>
              <w:rPr>
                <w:b w:val="0"/>
                <w:color w:val="514A41"/>
                <w:sz w:val="18"/>
              </w:rPr>
              <w:t>v1.8 als führende Zahlenquelle</w:t>
            </w:r>
          </w:p>
        </w:tc>
      </w:tr>
      <w:tr>
        <w:tc>
          <w:tcPr>
            <w:tcW w:type="dxa" w:w="2448"/>
            <w:vAlign w:val="center"/>
          </w:tcPr>
          <w:p>
            <w:r/>
            <w:r>
              <w:rPr>
                <w:b w:val="0"/>
                <w:color w:val="514A41"/>
                <w:sz w:val="18"/>
              </w:rPr>
              <w:t>6</w:t>
            </w:r>
          </w:p>
        </w:tc>
        <w:tc>
          <w:tcPr>
            <w:tcW w:type="dxa" w:w="2448"/>
            <w:vAlign w:val="center"/>
          </w:tcPr>
          <w:p>
            <w:r/>
            <w:r>
              <w:rPr>
                <w:b w:val="0"/>
                <w:color w:val="514A41"/>
                <w:sz w:val="18"/>
              </w:rPr>
              <w:t>AMAVIO_Living_Partner_Capability_Deck_v3_2_FINAL.pptx / .pdf</w:t>
            </w:r>
          </w:p>
        </w:tc>
        <w:tc>
          <w:tcPr>
            <w:tcW w:type="dxa" w:w="2448"/>
            <w:vAlign w:val="center"/>
          </w:tcPr>
          <w:p>
            <w:r/>
            <w:r>
              <w:rPr>
                <w:b w:val="0"/>
                <w:color w:val="514A41"/>
                <w:sz w:val="18"/>
              </w:rPr>
              <w:t>Partnerfähigkeit und Lieferlogik</w:t>
            </w:r>
          </w:p>
        </w:tc>
        <w:tc>
          <w:tcPr>
            <w:tcW w:type="dxa" w:w="2448"/>
            <w:vAlign w:val="center"/>
          </w:tcPr>
          <w:p>
            <w:r/>
            <w:r>
              <w:rPr>
                <w:b w:val="0"/>
                <w:color w:val="514A41"/>
                <w:sz w:val="18"/>
              </w:rPr>
              <w:t>Text-Extrakt sauber; keine v1.7-Treffer</w:t>
            </w:r>
          </w:p>
        </w:tc>
      </w:tr>
    </w:tbl>
    <w:p/>
    <w:p>
      <w:pPr>
        <w:pStyle w:val="Heading2"/>
      </w:pPr>
      <w:r>
        <w:t>Nicht verwechseln</w:t>
      </w:r>
    </w:p>
    <w:p>
      <w:pPr>
        <w:pStyle w:val="ListBullet"/>
      </w:pPr>
      <w:r>
        <w:t>Kapitalbedarf: 25.000 EUR</w:t>
      </w:r>
    </w:p>
    <w:p>
      <w:pPr>
        <w:pStyle w:val="ListBullet"/>
      </w:pPr>
      <w:r>
        <w:t>Cohort Landing Launch: ab 29.500 EUR netto</w:t>
      </w:r>
    </w:p>
    <w:p>
      <w:pPr>
        <w:pStyle w:val="ListBullet"/>
      </w:pPr>
      <w:r>
        <w:t>Umsatzwerte: 93.500 / 269.000 / 442.000 EUR</w:t>
      </w:r>
    </w:p>
    <w:p>
      <w:pPr>
        <w:pStyle w:val="ListBullet"/>
      </w:pPr>
      <w:r>
        <w:t>EBITDA-Werte: 34.950 / 120.320 / 169.300 EUR</w:t>
      </w:r>
    </w:p>
    <w:p>
      <w:pPr>
        <w:pStyle w:val="Heading2"/>
      </w:pPr>
      <w:r>
        <w:t>Abgabehinweise</w:t>
      </w:r>
    </w:p>
    <w:p>
      <w:pPr>
        <w:pStyle w:val="ListBullet"/>
      </w:pPr>
      <w:r>
        <w:t>Für den Coach reicht die aktuelle Linie als Arbeitsstand.</w:t>
      </w:r>
    </w:p>
    <w:p>
      <w:pPr>
        <w:pStyle w:val="ListBullet"/>
      </w:pPr>
      <w:r>
        <w:t>Für finale Abgabe müssen nach der letzten sichtbaren Office-Änderung Render-/Kontaktbogenchecks aktualisiert werden.</w:t>
      </w:r>
    </w:p>
    <w:p>
      <w:pPr>
        <w:pStyle w:val="ListBullet"/>
      </w:pPr>
      <w:r>
        <w:t>Keine finalen DOCX/PDF/PPTX/XLSX ohne Backup überschreiben.</w:t>
      </w:r>
    </w:p>
    <w:p>
      <w:pPr>
        <w:pStyle w:val="ListBullet"/>
      </w:pPr>
      <w:r>
        <w:t>Keine _backups, lokalen Render-Caches, .next, node_modules oder temporären Logs in eine finale Abgabe aufnehmen.</w:t>
      </w:r>
    </w:p>
    <w:p>
      <w:pPr>
        <w:pStyle w:val="Heading2"/>
      </w:pPr>
      <w:r>
        <w:t>Offene Restgates vor finaler Abgabe</w:t>
      </w:r>
    </w:p>
    <w:p>
      <w:pPr>
        <w:pStyle w:val="ListBullet"/>
      </w:pPr>
      <w:r>
        <w:t>P1-Gate-Liste mit Belegstatus finalisieren.</w:t>
      </w:r>
    </w:p>
    <w:p>
      <w:pPr>
        <w:pStyle w:val="ListBullet"/>
      </w:pPr>
      <w:r>
        <w:t>Businessplan-Layout/Kompaktfassung entscheiden.</w:t>
      </w:r>
    </w:p>
    <w:p>
      <w:pPr>
        <w:pStyle w:val="ListBullet"/>
      </w:pPr>
      <w:r>
        <w:t>PDF-/PPTX-Finals nach letzter sichtbarer Änderung neu exportieren und rendern.</w:t>
      </w:r>
    </w:p>
    <w:p>
      <w:pPr>
        <w:pStyle w:val="ListBullet"/>
      </w:pPr>
      <w:r>
        <w:t>Website erst wieder fortführen, wenn zusätzliche UI/UX-/Motion-/3D-Skills verfügbar oder bewusst nicht nötig sind.</w:t>
      </w:r>
    </w:p>
    <w:sectPr w:rsidR="00FC693F" w:rsidRPr="0006063C" w:rsidSect="00034616">
      <w:pgSz w:w="12240" w:h="15840"/>
      <w:pgMar w:top="1152"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14A41"/>
        <w:sz w:val="16"/>
      </w:rPr>
      <w:t>AMAVIO Living - Coach Readiness Paket - 31. Juli 2026</w:t>
    </w:r>
    <w:r>
      <w:rPr>
        <w:color w:val="514A41"/>
        <w:sz w:val="16"/>
      </w:rPr>
      <w:t>AMAVIO Living - Coach Readiness Paket - 31. Juli 2026</w:t>
    </w:r>
    <w:r>
      <w:rPr>
        <w:color w:val="514A41"/>
        <w:sz w:val="16"/>
      </w:rPr>
      <w:t>AMAVIO Living - Coach Readiness Paket - 31. Juli 2026</w:t>
    </w:r>
    <w:r>
      <w:rPr>
        <w:color w:val="514A41"/>
        <w:sz w:val="16"/>
      </w:rPr>
      <w:t>AMAVIO Living - Coach Readiness Paket - 31. Juli 2026</w:t>
    </w:r>
    <w:r>
      <w:rPr>
        <w:color w:val="514A41"/>
        <w:sz w:val="16"/>
      </w:rPr>
      <w:t>AMAVIO Living - Coach Readiness Paket - 31. Juli 2026</w:t>
    </w:r>
    <w:r>
      <w:rPr>
        <w:color w:val="514A41"/>
        <w:sz w:val="16"/>
      </w:rPr>
      <w:t>AMAVIO Living - Coach Readiness Paket - 31. Juli 2026</w:t>
    </w:r>
    <w:r>
      <w:rPr>
        <w:color w:val="514A41"/>
        <w:sz w:val="16"/>
      </w:rPr>
      <w:t>AMAVIO Living - Coach Readiness Paket - 31. Juli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Calibri" w:hAnsi="Calibri"/>
      <w:color w:val="514A4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10243E"/>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10243E"/>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b/>
      <w:bCs/>
      <w:color w:val="B9785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