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 w:line="240" w:lineRule="auto"/>
        <w:jc w:val="left"/>
      </w:pPr>
      <w:r>
        <w:rPr>
          <w:rFonts w:ascii="Arial" w:hAnsi="Arial"/>
          <w:b/>
          <w:color w:val="B98A3D"/>
          <w:sz w:val="28"/>
        </w:rPr>
        <w:t>AMAVIO LIVING</w:t>
      </w:r>
    </w:p>
    <w:p>
      <w:pPr>
        <w:spacing w:before="680" w:after="440" w:line="240" w:lineRule="auto"/>
        <w:jc w:val="left"/>
      </w:pPr>
      <w:r>
        <w:rPr>
          <w:rFonts w:ascii="Arial" w:hAnsi="Arial"/>
          <w:b/>
          <w:color w:val="226B5A"/>
          <w:sz w:val="19"/>
        </w:rPr>
        <w:t>BUSINESSPLAN · MASTERFASSUNG 2026</w:t>
      </w:r>
    </w:p>
    <w:p>
      <w:pPr>
        <w:spacing w:after="260" w:line="235" w:lineRule="auto"/>
        <w:pBdr>
          <w:bottom w:val="single" w:sz="12" w:space="10" w:color="B08D57"/>
          <w:bottom w:val="single" w:sz="8" w:space="7" w:color="B98A3D"/>
        </w:pBdr>
        <w:jc w:val="left"/>
      </w:pPr>
      <w:r>
        <w:rPr>
          <w:rFonts w:ascii="Arial" w:hAnsi="Arial"/>
          <w:b/>
          <w:color w:val="102D3F"/>
          <w:sz w:val="56"/>
        </w:rPr>
        <w:t>Workforce Housing, Arrival Management</w:t>
        <w:br/>
        <w:t>und Integration</w:t>
      </w:r>
    </w:p>
    <w:p>
      <w:pPr>
        <w:spacing w:after="360" w:line="269" w:lineRule="auto"/>
        <w:jc w:val="left"/>
      </w:pPr>
      <w:r>
        <w:rPr>
          <w:rFonts w:ascii="Arial" w:hAnsi="Arial"/>
          <w:b w:val="0"/>
          <w:color w:val="226B5A"/>
          <w:sz w:val="26"/>
        </w:rPr>
        <w:t>B2B-Infrastruktur für Arbeitgeber mit internationalem Fachkräftebedarf</w:t>
      </w:r>
    </w:p>
    <w:p>
      <w:pPr>
        <w:spacing w:before="680" w:after="320" w:line="259" w:lineRule="auto"/>
        <w:shd w:fill="F7F3EA"/>
        <w:pBdr>
          <w:left w:val="single" w:sz="18" w:space="10" w:color="B08D57"/>
        </w:pBdr>
        <w:ind w:left="180" w:right="120"/>
        <w:jc w:val="left"/>
      </w:pPr>
      <w:r>
        <w:rPr>
          <w:rFonts w:ascii="Arial" w:hAnsi="Arial"/>
          <w:b/>
          <w:color w:val="102D3F"/>
          <w:sz w:val="20"/>
        </w:rPr>
        <w:t>LEITIDEE  AMAVIO überführt Personalgewinnung in einen planbaren Arbeitsstart: durch Wohnraumbeschaffung, Projektsteuerung, Bezugsfertigkeit, Ankunft und organisatorische Stabilisierung.</w:t>
      </w:r>
    </w:p>
    <w:p>
      <w:pPr>
        <w:spacing w:before="1360" w:after="60" w:line="240" w:lineRule="auto"/>
        <w:jc w:val="left"/>
      </w:pPr>
      <w:r>
        <w:rPr>
          <w:rFonts w:ascii="Arial" w:hAnsi="Arial"/>
          <w:b/>
          <w:color w:val="102D3F"/>
          <w:sz w:val="18"/>
        </w:rPr>
        <w:t>AMAVIO Holding UG (haftungsbeschränkt)</w:t>
      </w:r>
    </w:p>
    <w:p>
      <w:pPr>
        <w:spacing w:after="60" w:line="240" w:lineRule="auto"/>
        <w:jc w:val="left"/>
      </w:pPr>
      <w:r>
        <w:rPr>
          <w:rFonts w:ascii="Arial" w:hAnsi="Arial"/>
          <w:b w:val="0"/>
          <w:color w:val="53616B"/>
          <w:sz w:val="17"/>
        </w:rPr>
        <w:t>Düsseldorf · Marke: AMAVIO Living · Stand: 28. Juli 2026</w:t>
      </w:r>
    </w:p>
    <w:p>
      <w:pPr>
        <w:spacing w:after="60" w:line="240" w:lineRule="auto"/>
        <w:jc w:val="left"/>
      </w:pPr>
      <w:r>
        <w:rPr>
          <w:rFonts w:ascii="Arial" w:hAnsi="Arial"/>
          <w:b w:val="0"/>
          <w:color w:val="53616B"/>
          <w:sz w:val="17"/>
        </w:rPr>
        <w:t>Gründer: Zaki Amawi</w:t>
      </w:r>
    </w:p>
    <w:p>
      <w:pPr>
        <w:spacing w:after="0" w:line="240" w:lineRule="auto"/>
        <w:jc w:val="left"/>
      </w:pPr>
      <w:r>
        <w:rPr>
          <w:rFonts w:ascii="Arial" w:hAnsi="Arial"/>
          <w:b w:val="0"/>
          <w:color w:val="53616B"/>
          <w:sz w:val="17"/>
        </w:rPr>
        <w:t>Verwendungszweck: Tragfähigkeitsprüfung, Finanzierung, Unternehmenssteuerung und ausgewählte B2B-Gespräche</w:t>
      </w:r>
    </w:p>
    <w:p>
      <w:pPr>
        <w:pStyle w:val="Heading1"/>
        <w:keepNext/>
        <w:pageBreakBefore/>
        <w:pBdr>
          <w:bottom w:val="single" w:sz="8" w:space="6" w:color="B08D57"/>
        </w:pBdr>
        <w:spacing w:after="80" w:before="140" w:line="240" w:lineRule="auto"/>
      </w:pPr>
      <w:r>
        <w:rPr>
          <w:rFonts w:ascii="Arial" w:hAnsi="Arial" w:eastAsia="Arial" w:cs="Arial"/>
          <w:b/>
          <w:color w:val="102A43"/>
          <w:sz w:val="32"/>
        </w:rPr>
        <w:t>Dokumentprofil und Leselogik</w:t>
      </w:r>
    </w:p>
    <w:p>
      <w:pPr>
        <w:pStyle w:val="BodyText"/>
        <w:spacing w:after="44" w:before="0" w:line="245" w:lineRule="auto"/>
        <w:jc w:val="left"/>
      </w:pPr>
      <w:r>
        <w:rPr>
          <w:sz w:val="19"/>
        </w:rPr>
        <w:t>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gesondert zu prüfende Wachstumsoption.</w:t>
      </w:r>
    </w:p>
    <w:p>
      <w:pPr>
        <w:spacing w:before="0" w:after="44" w:line="245" w:lineRule="auto"/>
        <w:shd w:fill="EEF3F7"/>
        <w:pBdr>
          <w:left w:val="single" w:sz="18" w:space="10" w:color="1E3A5F"/>
        </w:pBdr>
        <w:ind w:left="180" w:right="120"/>
        <w:jc w:val="left"/>
      </w:pPr>
      <w:r>
        <w:rPr>
          <w:rFonts w:ascii="Arial" w:hAnsi="Arial" w:eastAsia="Arial" w:cs="Arial"/>
          <w:b/>
          <w:color w:val="1E3A5F"/>
          <w:sz w:val="19"/>
        </w:rPr>
        <w:t xml:space="preserve">EVIDENZSTANDARD  </w:t>
      </w:r>
      <w:r>
        <w:rPr>
          <w:rFonts w:ascii="Arial" w:hAnsi="Arial" w:eastAsia="Arial" w:cs="Arial"/>
          <w:color w:val="243447"/>
          <w:sz w:val="19"/>
        </w:rPr>
        <w:t>Externe Tatsachen werden über zentral nummerierte Quellen belegt. Preis-, Zeit-, Kapazitäts- und Umsatzwerte sind AMAVIO-Planannahmen und mit dem 36-Monats-Finanzmodell abzugleichen. Fördermittel, LOIs und spätere Objektumsätze werden nicht als sicher vorausgesetzt.</w:t>
      </w:r>
    </w:p>
    <w:tbl>
      <w:tblPr>
        <w:tblStyle w:val="TableGrid"/>
        <w:tblW w:type="auto" w:w="0"/>
        <w:tblLayout w:type="fixed"/>
        <w:tblLook w:firstColumn="1" w:firstRow="1" w:lastColumn="0" w:lastRow="0" w:noHBand="0" w:noVBand="1" w:val="04A0"/>
      </w:tblPr>
      <w:tblGrid>
        <w:gridCol w:w="2438"/>
        <w:gridCol w:w="7143"/>
      </w:tblGrid>
      <w:tr>
        <w:trPr>
          <w:tblHeader/>
          <w:tblHeader w:val="true"/>
        </w:trPr>
        <w:tc>
          <w:tcPr>
            <w:tcW w:type="dxa" w:w="4876"/>
            <w:vAlign w:val="center"/>
            <w:shd w:fill="102D3F" w:val="clea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color w:val="FFFFFF"/>
                <w:sz w:val="17"/>
              </w:rPr>
              <w:t>Kernpunkt</w:t>
            </w:r>
          </w:p>
        </w:tc>
        <w:tc>
          <w:tcPr>
            <w:tcW w:type="dxa" w:w="4876"/>
            <w:vAlign w:val="center"/>
            <w:shd w:fill="102D3F" w:val="clea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color w:val="FFFFFF"/>
                <w:sz w:val="17"/>
              </w:rPr>
              <w:t>Planungsstand</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Rechtsträger</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AMAVIO Holding UG (haftungsbeschränkt)</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val="0"/>
                <w:color w:val="1F2933"/>
                <w:sz w:val="17"/>
              </w:rPr>
              <w:t>Operativer Marktstart</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val="0"/>
                <w:color w:val="1F2933"/>
                <w:sz w:val="17"/>
              </w:rPr>
              <w:t>Nordrhein-Westfalen; anschließend kunden- und partnergeführt weitere Regionen</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Primäre Startkunden</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Krankenhäuser, Pflegeeinrichtungen und internationale Recruitingpartner</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val="0"/>
                <w:color w:val="1F2933"/>
                <w:sz w:val="17"/>
              </w:rPr>
              <w:t>Erlöslogik</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val="0"/>
                <w:color w:val="1F2933"/>
                <w:sz w:val="17"/>
              </w:rPr>
              <w:t>Blueprint-, Launch- und laufende Housing-&amp;-Arrival-Office-Mandate</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Startfinanzierung</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7"/>
              </w:rPr>
              <w:t>25.000 EUR Gesamtstartmittel in Planung: 500 EUR Stammkapital + 24.500 EUR dokumentierte Zuführung/Darlehen</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val="0"/>
                <w:color w:val="1F2933"/>
                <w:sz w:val="17"/>
              </w:rPr>
              <w:t>Basiscase Umsatz</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cs="Arial"/>
                <w:b w:val="0"/>
                <w:color w:val="1F2933"/>
                <w:sz w:val="17"/>
              </w:rPr>
              <w:t>93.500 EUR / 269.000 EUR / 442.000 EUR in den Geschäftsjahren 1–3</w:t>
            </w:r>
          </w:p>
        </w:tc>
      </w:tr>
      <w:tr>
        <w:tc>
          <w:tcPr>
            <w:tcW w:type="dxa" w:w="2438"/>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Wachstumsprinzip</w:t>
            </w:r>
          </w:p>
        </w:tc>
        <w:tc>
          <w:tcPr>
            <w:tcW w:type="dxa" w:w="7143"/>
            <w:vAlign w:val="center"/>
            <w:tcMar>
              <w:top w:w="78" w:type="dxa"/>
              <w:start w:w="105" w:type="dxa"/>
              <w:bottom w:w="78" w:type="dxa"/>
              <w:end w:w="105" w:type="dxa"/>
            </w:tcMa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eastAsia="Arial" w:cs="Arial"/>
                <w:b w:val="0"/>
                <w:color w:val="1F2933"/>
                <w:sz w:val="17"/>
              </w:rPr>
              <w:t>Bezahltes Mandat und nachgewiesene Nachfrage vor Personal-, Software- oder Objektbindung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 Geschäftsidee und Leistungsmodell</w:t>
      </w:r>
    </w:p>
    <w:p>
      <w:pPr>
        <w:pStyle w:val="Heading2"/>
        <w:keepNext/>
        <w:pBdr>
          <w:bottom w:val="single" w:sz="8" w:space="6" w:color="B08D57"/>
        </w:pBdr>
        <w:spacing w:after="50" w:before="100" w:line="240" w:lineRule="auto"/>
      </w:pPr>
      <w:r>
        <w:rPr>
          <w:rFonts w:ascii="Arial" w:hAnsi="Arial" w:eastAsia="Arial" w:cs="Arial"/>
          <w:b/>
          <w:color w:val="1E3A5F"/>
          <w:sz w:val="24"/>
        </w:rPr>
        <w:t>Executive Summary</w:t>
      </w:r>
    </w:p>
    <w:p>
      <w:pPr>
        <w:pStyle w:val="BodyText"/>
        <w:spacing w:after="44" w:before="0" w:line="245" w:lineRule="auto"/>
        <w:jc w:val="left"/>
      </w:pPr>
      <w:r>
        <w:rPr>
          <w:rFonts w:ascii="Arial" w:hAnsi="Arial" w:eastAsia="Arial"/>
          <w:i w:val="0"/>
          <w:color w:val="243447"/>
          <w:sz w:val="19"/>
        </w:rPr>
        <w:t>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pPr>
        <w:pStyle w:val="BodyText"/>
        <w:spacing w:after="44" w:before="0" w:line="245" w:lineRule="auto"/>
        <w:jc w:val="left"/>
      </w:pPr>
      <w:r>
        <w:rPr>
          <w:rFonts w:ascii="Arial" w:hAnsi="Arial" w:eastAsia="Arial"/>
          <w:i w:val="0"/>
          <w:color w:val="243447"/>
          <w:sz w:val="19"/>
        </w:rPr>
        <w:t>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pPr>
        <w:pStyle w:val="BodyText"/>
        <w:spacing w:after="44" w:before="0" w:line="245" w:lineRule="auto"/>
        <w:jc w:val="left"/>
      </w:pPr>
      <w:r>
        <w:rPr>
          <w:rFonts w:ascii="Arial" w:hAnsi="Arial" w:eastAsia="Arial"/>
          <w:i w:val="0"/>
          <w:color w:val="243447"/>
          <w:sz w:val="19"/>
        </w:rPr>
        <w:t>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POSITIONIERUNG  </w:t>
      </w:r>
      <w:r>
        <w:rPr>
          <w:rFonts w:ascii="Arial" w:hAnsi="Arial" w:eastAsia="Arial"/>
          <w:color w:val="243447"/>
          <w:sz w:val="19"/>
        </w:rPr>
        <w:t>AMAVIO ist kein klassischer Makler und kein Relocation-Dienstleister mit einzelnen Zusatzleistungen. Das Unternehmen positioniert sich als Workforce-Housing-, Arrival- und Integrationspartner – mit einem festen Ansprechpartner, klaren Projektphasen und messbaren Ergebnissen.</w:t>
      </w:r>
    </w:p>
    <w:p>
      <w:pPr>
        <w:pStyle w:val="BodyText"/>
        <w:spacing w:after="44" w:before="0" w:line="245" w:lineRule="auto"/>
        <w:jc w:val="left"/>
      </w:pPr>
      <w:r>
        <w:rPr>
          <w:rFonts w:ascii="Arial" w:hAnsi="Arial" w:eastAsia="Arial"/>
          <w:i w:val="0"/>
          <w:color w:val="243447"/>
          <w:sz w:val="19"/>
        </w:rPr>
        <w:t>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pPr>
        <w:pStyle w:val="BodyText"/>
        <w:spacing w:after="44" w:before="0" w:line="245" w:lineRule="auto"/>
        <w:jc w:val="left"/>
      </w:pPr>
      <w:r>
        <w:rPr>
          <w:rFonts w:ascii="Arial" w:hAnsi="Arial" w:eastAsia="Arial"/>
          <w:i w:val="0"/>
          <w:color w:val="243447"/>
          <w:sz w:val="19"/>
        </w:rPr>
        <w:t>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pPr>
        <w:pStyle w:val="BodyText"/>
        <w:spacing w:after="44" w:before="0" w:line="245" w:lineRule="auto"/>
        <w:jc w:val="left"/>
      </w:pPr>
      <w:r>
        <w:rPr>
          <w:rFonts w:ascii="Arial" w:hAnsi="Arial" w:eastAsia="Arial"/>
          <w:i w:val="0"/>
          <w:color w:val="243447"/>
          <w:sz w:val="19"/>
        </w:rPr>
        <w:t>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pPr>
        <w:pStyle w:val="Heading2"/>
        <w:keepNext/>
        <w:pBdr>
          <w:bottom w:val="single" w:sz="8" w:space="6" w:color="B08D57"/>
        </w:pBdr>
        <w:spacing w:after="50" w:before="100" w:line="240" w:lineRule="auto"/>
      </w:pPr>
      <w:r>
        <w:rPr>
          <w:rFonts w:ascii="Arial" w:hAnsi="Arial" w:eastAsia="Arial" w:cs="Arial"/>
          <w:b/>
          <w:color w:val="1E3A5F"/>
          <w:sz w:val="24"/>
        </w:rPr>
        <w:t>Ausgangslage: Die operative Lücke nach dem Recruiting</w:t>
      </w:r>
    </w:p>
    <w:p>
      <w:pPr>
        <w:pStyle w:val="BodyText"/>
        <w:spacing w:after="44" w:before="0" w:line="245" w:lineRule="auto"/>
        <w:jc w:val="left"/>
      </w:pPr>
      <w:r>
        <w:rPr>
          <w:rFonts w:ascii="Arial" w:hAnsi="Arial" w:eastAsia="Arial"/>
          <w:i w:val="0"/>
          <w:color w:val="243447"/>
          <w:sz w:val="19"/>
        </w:rPr>
        <w:t>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p>
      <w:pPr>
        <w:spacing w:before="0" w:after="44" w:line="245" w:lineRule="auto"/>
        <w:ind w:left="0"/>
        <w:jc w:val="left"/>
      </w:pPr>
      <w:r>
        <w:rPr>
          <w:rFonts w:ascii="Arial" w:hAnsi="Arial" w:eastAsia="Arial"/>
          <w:b/>
          <w:color w:val="B08D57"/>
          <w:sz w:val="19"/>
        </w:rPr>
        <w:t xml:space="preserve">01  </w:t>
      </w:r>
      <w:r>
        <w:rPr>
          <w:rFonts w:ascii="Arial" w:hAnsi="Arial" w:eastAsia="Arial"/>
          <w:b/>
          <w:color w:val="102A43"/>
          <w:sz w:val="19"/>
        </w:rPr>
        <w:t xml:space="preserve">Personalbedarf  </w:t>
      </w:r>
      <w:r>
        <w:rPr>
          <w:rFonts w:ascii="Arial" w:hAnsi="Arial" w:eastAsia="Arial"/>
          <w:color w:val="243447"/>
          <w:sz w:val="19"/>
        </w:rPr>
        <w:t>Ein Arbeitgeber gewinnt internationale Beschäftigte und definiert Starttermine, Einsatzorte sowie Qualifikationsanforderungen.</w:t>
      </w:r>
    </w:p>
    <w:p>
      <w:pPr>
        <w:spacing w:before="0" w:after="44" w:line="245" w:lineRule="auto"/>
        <w:ind w:left="0"/>
        <w:jc w:val="left"/>
      </w:pPr>
      <w:r>
        <w:rPr>
          <w:rFonts w:ascii="Arial" w:hAnsi="Arial" w:eastAsia="Arial"/>
          <w:b/>
          <w:color w:val="B08D57"/>
          <w:sz w:val="19"/>
        </w:rPr>
        <w:t xml:space="preserve">02  </w:t>
      </w:r>
      <w:r>
        <w:rPr>
          <w:rFonts w:ascii="Arial" w:hAnsi="Arial" w:eastAsia="Arial"/>
          <w:b/>
          <w:color w:val="102A43"/>
          <w:sz w:val="19"/>
        </w:rPr>
        <w:t xml:space="preserve">Wohn- und Ankunftsbedarf  </w:t>
      </w:r>
      <w:r>
        <w:rPr>
          <w:rFonts w:ascii="Arial" w:hAnsi="Arial" w:eastAsia="Arial"/>
          <w:color w:val="243447"/>
          <w:sz w:val="19"/>
        </w:rPr>
        <w:t>Die Beschäftigten benötigen rechtzeitig geeigneten Wohnraum, nachvollziehbare Unterlagen und klare Ansprechpartner.</w:t>
      </w:r>
    </w:p>
    <w:p>
      <w:pPr>
        <w:spacing w:before="0" w:after="44" w:line="245" w:lineRule="auto"/>
        <w:ind w:left="0"/>
        <w:jc w:val="left"/>
      </w:pPr>
      <w:r>
        <w:rPr>
          <w:rFonts w:ascii="Arial" w:hAnsi="Arial" w:eastAsia="Arial"/>
          <w:b/>
          <w:color w:val="B08D57"/>
          <w:sz w:val="19"/>
        </w:rPr>
        <w:t xml:space="preserve">03  </w:t>
      </w:r>
      <w:r>
        <w:rPr>
          <w:rFonts w:ascii="Arial" w:hAnsi="Arial" w:eastAsia="Arial"/>
          <w:b/>
          <w:color w:val="102A43"/>
          <w:sz w:val="19"/>
        </w:rPr>
        <w:t xml:space="preserve">Operative Fragmentierung  </w:t>
      </w:r>
      <w:r>
        <w:rPr>
          <w:rFonts w:ascii="Arial" w:hAnsi="Arial" w:eastAsia="Arial"/>
          <w:color w:val="243447"/>
          <w:sz w:val="19"/>
        </w:rPr>
        <w:t>HR, Führungskräfte, Vermieter, Handwerker, Lieferanten und Behörden arbeiten häufig ohne gemeinsame Projektsteuerung.</w:t>
      </w:r>
    </w:p>
    <w:p>
      <w:pPr>
        <w:spacing w:before="0" w:after="44" w:line="245" w:lineRule="auto"/>
        <w:ind w:left="0"/>
        <w:jc w:val="left"/>
      </w:pPr>
      <w:r>
        <w:rPr>
          <w:rFonts w:ascii="Arial" w:hAnsi="Arial" w:eastAsia="Arial"/>
          <w:b/>
          <w:color w:val="B08D57"/>
          <w:sz w:val="19"/>
        </w:rPr>
        <w:t xml:space="preserve">04  </w:t>
      </w:r>
      <w:r>
        <w:rPr>
          <w:rFonts w:ascii="Arial" w:hAnsi="Arial" w:eastAsia="Arial"/>
          <w:b/>
          <w:color w:val="102A43"/>
          <w:sz w:val="19"/>
        </w:rPr>
        <w:t xml:space="preserve">Risikomoment  </w:t>
      </w:r>
      <w:r>
        <w:rPr>
          <w:rFonts w:ascii="Arial" w:hAnsi="Arial" w:eastAsia="Arial"/>
          <w:color w:val="243447"/>
          <w:sz w:val="19"/>
        </w:rPr>
        <w:t>Verzögerungen oder fehlende Orientierung können den Arbeitsstart, die Zufriedenheit und die Bindung beeinträchtigen.</w:t>
      </w:r>
    </w:p>
    <w:p>
      <w:pPr>
        <w:spacing w:before="0" w:after="44" w:line="245" w:lineRule="auto"/>
        <w:ind w:left="0"/>
        <w:jc w:val="left"/>
      </w:pPr>
      <w:r>
        <w:rPr>
          <w:rFonts w:ascii="Arial" w:hAnsi="Arial" w:eastAsia="Arial"/>
          <w:b/>
          <w:color w:val="B08D57"/>
          <w:sz w:val="19"/>
        </w:rPr>
        <w:t xml:space="preserve">05  </w:t>
      </w:r>
      <w:r>
        <w:rPr>
          <w:rFonts w:ascii="Arial" w:hAnsi="Arial" w:eastAsia="Arial"/>
          <w:b/>
          <w:color w:val="102A43"/>
          <w:sz w:val="19"/>
        </w:rPr>
        <w:t xml:space="preserve">AMAVIO-Lösung  </w:t>
      </w:r>
      <w:r>
        <w:rPr>
          <w:rFonts w:ascii="Arial" w:hAnsi="Arial" w:eastAsia="Arial"/>
          <w:color w:val="243447"/>
          <w:sz w:val="19"/>
        </w:rPr>
        <w:t>Ein durchgängiger Prozess verbindet Bedarf, Objekt, Bezugsfertigkeit, Einzug, Stabilisierung und Managementreporting.</w:t>
      </w:r>
    </w:p>
    <w:p>
      <w:pPr>
        <w:pStyle w:val="Heading3"/>
        <w:keepNext/>
        <w:spacing w:after="30" w:before="70" w:line="240" w:lineRule="auto"/>
      </w:pPr>
      <w:r>
        <w:rPr>
          <w:rFonts w:ascii="Arial" w:hAnsi="Arial" w:eastAsia="Arial" w:cs="Arial"/>
          <w:b/>
          <w:color w:val="102A43"/>
          <w:sz w:val="20"/>
        </w:rPr>
        <w:t>Fachkräfteengpass und Wohnraum als Standortfaktor</w:t>
      </w:r>
    </w:p>
    <w:p>
      <w:pPr>
        <w:pStyle w:val="BodyText"/>
        <w:spacing w:after="44" w:before="0" w:line="245" w:lineRule="auto"/>
        <w:jc w:val="left"/>
      </w:pPr>
      <w:r>
        <w:rPr>
          <w:rFonts w:ascii="Arial" w:hAnsi="Arial" w:eastAsia="Arial"/>
          <w:i w:val="0"/>
          <w:color w:val="243447"/>
          <w:sz w:val="19"/>
        </w:rPr>
        <w:t>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pPr>
        <w:pStyle w:val="BodyText"/>
        <w:spacing w:after="44" w:before="0" w:line="245" w:lineRule="auto"/>
        <w:jc w:val="left"/>
      </w:pPr>
      <w:r>
        <w:rPr>
          <w:rFonts w:ascii="Arial" w:hAnsi="Arial" w:eastAsia="Arial"/>
          <w:i w:val="0"/>
          <w:color w:val="243447"/>
          <w:sz w:val="19"/>
        </w:rPr>
        <w:t>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Pflegebeschäftigte das Rentenalter. Diese Entwicklung macht internationale Personalgewinnung zu einem dauerhaften Teil der Personalstrategie – und Wohn- sowie Integrationsinfrastruktur zu einer operativen Voraussetzung. [Q17]</w:t>
      </w:r>
    </w:p>
    <w:p>
      <w:pPr>
        <w:pStyle w:val="Heading3"/>
        <w:keepNext/>
        <w:spacing w:after="30" w:before="70" w:line="240" w:lineRule="auto"/>
      </w:pPr>
      <w:r>
        <w:rPr>
          <w:rFonts w:ascii="Arial" w:hAnsi="Arial" w:eastAsia="Arial" w:cs="Arial"/>
          <w:b/>
          <w:color w:val="102A43"/>
          <w:sz w:val="20"/>
        </w:rPr>
        <w:t>Wohnraum als Recruiting- und Bindungsinstrument</w:t>
      </w:r>
    </w:p>
    <w:p>
      <w:pPr>
        <w:pStyle w:val="BodyText"/>
        <w:spacing w:after="44" w:before="0" w:line="245" w:lineRule="auto"/>
        <w:jc w:val="left"/>
      </w:pPr>
      <w:r>
        <w:rPr>
          <w:rFonts w:ascii="Arial" w:hAnsi="Arial" w:eastAsia="Arial"/>
          <w:i w:val="0"/>
          <w:color w:val="243447"/>
          <w:sz w:val="19"/>
        </w:rPr>
        <w:t>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pPr>
        <w:pStyle w:val="BodyText"/>
        <w:spacing w:after="44" w:before="0" w:line="245" w:lineRule="auto"/>
        <w:jc w:val="left"/>
      </w:pPr>
      <w:r>
        <w:rPr>
          <w:rFonts w:ascii="Arial" w:hAnsi="Arial" w:eastAsia="Arial"/>
          <w:i w:val="0"/>
          <w:color w:val="243447"/>
          <w:sz w:val="19"/>
        </w:rPr>
        <w:t>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pPr>
        <w:pStyle w:val="Heading2"/>
        <w:keepNext/>
        <w:pBdr>
          <w:bottom w:val="single" w:sz="8" w:space="6" w:color="B08D57"/>
        </w:pBdr>
        <w:spacing w:after="50" w:before="100" w:line="240" w:lineRule="auto"/>
      </w:pPr>
      <w:r>
        <w:rPr>
          <w:rFonts w:ascii="Arial" w:hAnsi="Arial" w:eastAsia="Arial" w:cs="Arial"/>
          <w:b/>
          <w:color w:val="1E3A5F"/>
          <w:sz w:val="24"/>
        </w:rPr>
        <w:t>Das AMAVIO-Leistungsmodell</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KERNVERSPRECHEN  </w:t>
      </w:r>
      <w:r>
        <w:rPr>
          <w:rFonts w:ascii="Arial" w:hAnsi="Arial" w:eastAsia="Arial"/>
          <w:color w:val="243447"/>
          <w:sz w:val="19"/>
        </w:rPr>
        <w:t>Ein Auftrag, ein verantworteter Projektplan und ein nachvollziehbarer Übergang von der Personalplanung bis zum stabilen Ankommen.</w:t>
      </w:r>
    </w:p>
    <w:p>
      <w:pPr>
        <w:pStyle w:val="Heading3"/>
        <w:keepNext/>
        <w:spacing w:after="30" w:before="70" w:line="240" w:lineRule="auto"/>
      </w:pPr>
      <w:r>
        <w:rPr>
          <w:rFonts w:ascii="Arial" w:hAnsi="Arial" w:eastAsia="Arial" w:cs="Arial"/>
          <w:b/>
          <w:color w:val="102A43"/>
          <w:sz w:val="20"/>
        </w:rPr>
        <w:t>Zwei Erlös- und Risikostufen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2600"/>
        <w:gridCol w:w="3050"/>
        <w:gridCol w:w="2250"/>
      </w:tblGrid>
      <w:tr>
        <w:trPr>
          <w:tblHeader/>
          <w:tblHeader w:val="true"/>
        </w:trPr>
        <w:tc>
          <w:tcPr>
            <w:tcW w:type="dxa" w:w="1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Modell</w:t>
            </w:r>
          </w:p>
        </w:tc>
        <w:tc>
          <w:tcPr>
            <w:tcW w:type="dxa" w:w="2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Leistung und Erlös</w:t>
            </w:r>
          </w:p>
        </w:tc>
        <w:tc>
          <w:tcPr>
            <w:tcW w:type="dxa" w:w="3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Kapital- und Risikoprofil</w:t>
            </w:r>
          </w:p>
        </w:tc>
        <w:tc>
          <w:tcPr>
            <w:tcW w:type="dxa" w:w="2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Einsatz</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 und Servicemodell</w:t>
            </w:r>
          </w:p>
        </w:tc>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Konzept-, Projekt-, Setup- und Managementhonorare</w:t>
            </w:r>
          </w:p>
        </w:tc>
        <w:tc>
          <w:tcPr>
            <w:tcW w:type="dxa" w:w="3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Geringe eigene Kapitalbindung; Verträge und Investitionen grundsätzlich beim Kunden</w:t>
            </w:r>
          </w:p>
        </w:tc>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Markteintritt und Hauptumsatzquelle in Phase 1</w:t>
            </w:r>
          </w:p>
        </w:tc>
      </w:tr>
      <w:tr>
        <w:trPr>
          <w:cantSplit/>
        </w:trPr>
        <w:tc>
          <w:tcPr>
            <w:tcW w:type="dxa" w:w="1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Selektives Betreiber-/Anmietmodell</w:t>
            </w:r>
          </w:p>
        </w:tc>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 Betreiber-, Management- und Serviceerlöse</w:t>
            </w:r>
          </w:p>
        </w:tc>
        <w:tc>
          <w:tcPr>
            <w:tcW w:type="dxa" w:w="3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Eigene Kaution, Einrichtung, Fixkosten und Leerstandsrisiko</w:t>
            </w:r>
          </w:p>
        </w:tc>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Nur nach Nachfrage-, Rechts-, Finanz- und Exit-Gate</w:t>
            </w:r>
          </w:p>
        </w:tc>
      </w:tr>
    </w:tbl>
    <w:p>
      <w:pPr>
        <w:pStyle w:val="BodyText"/>
        <w:spacing w:after="44" w:before="0" w:line="245" w:lineRule="auto"/>
        <w:jc w:val="left"/>
      </w:pPr>
      <w:r>
        <w:rPr>
          <w:rFonts w:ascii="Arial" w:hAnsi="Arial" w:eastAsia="Arial"/>
          <w:i w:val="0"/>
          <w:color w:val="243447"/>
          <w:sz w:val="19"/>
        </w:rPr>
        <w:t>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pPr>
        <w:pStyle w:val="Heading3"/>
        <w:keepNext/>
        <w:spacing w:after="30" w:before="70" w:line="240" w:lineRule="auto"/>
      </w:pPr>
      <w:r>
        <w:rPr>
          <w:rFonts w:ascii="Arial" w:hAnsi="Arial" w:eastAsia="Arial" w:cs="Arial"/>
          <w:b/>
          <w:color w:val="102A43"/>
          <w:sz w:val="20"/>
        </w:rPr>
        <w:t>Leistungsumfang von Bedarf bis Stabilisierung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280"/>
        <w:gridCol w:w="3120"/>
        <w:gridCol w:w="3550"/>
        <w:gridCol w:w="1800"/>
      </w:tblGrid>
      <w:tr>
        <w:trPr>
          <w:tblHeader/>
          <w:tblHeader w:val="true"/>
        </w:trPr>
        <w:tc>
          <w:tcPr>
            <w:tcW w:type="dxa" w:w="128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Phase</w:t>
            </w:r>
          </w:p>
        </w:tc>
        <w:tc>
          <w:tcPr>
            <w:tcW w:type="dxa" w:w="312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AMAVIO-Leistung</w:t>
            </w:r>
          </w:p>
        </w:tc>
        <w:tc>
          <w:tcPr>
            <w:tcW w:type="dxa" w:w="35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Dokumentiertes Ergebnis</w:t>
            </w:r>
          </w:p>
        </w:tc>
        <w:tc>
          <w:tcPr>
            <w:tcW w:type="dxa" w:w="1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Richtzeit</w:t>
            </w:r>
          </w:p>
        </w:tc>
      </w:tr>
      <w:tr>
        <w:trPr>
          <w:cantSplit/>
        </w:trPr>
        <w:tc>
          <w:tcPr>
            <w:tcW w:type="dxa" w:w="128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 · Bedarf</w:t>
            </w:r>
          </w:p>
        </w:tc>
        <w:tc>
          <w:tcPr>
            <w:tcW w:type="dxa" w:w="31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Stakeholder, Standorte, Starttermine, Zielgruppen, Budget</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Bedarfsmatrix, Zielbild, RACI, Ausgangs-KPIs</w:t>
            </w:r>
          </w:p>
        </w:tc>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1–2 Wochen</w:t>
            </w:r>
          </w:p>
        </w:tc>
      </w:tr>
      <w:tr>
        <w:trPr>
          <w:cantSplit/>
        </w:trPr>
        <w:tc>
          <w:tcPr>
            <w:tcW w:type="dxa" w:w="128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 · Konzept</w:t>
            </w:r>
          </w:p>
        </w:tc>
        <w:tc>
          <w:tcPr>
            <w:tcW w:type="dxa" w:w="31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Wohnformen, Suchradius, Übergang, Kostenkorridor</w:t>
            </w:r>
          </w:p>
        </w:tc>
        <w:tc>
          <w:tcPr>
            <w:tcW w:type="dxa" w:w="3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Wohnraumstrategie, Varianten- und Risikovergleich</w:t>
            </w:r>
          </w:p>
        </w:tc>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2–3 Wochen</w:t>
            </w:r>
          </w:p>
        </w:tc>
      </w:tr>
      <w:tr>
        <w:trPr>
          <w:cantSplit/>
        </w:trPr>
        <w:tc>
          <w:tcPr>
            <w:tcW w:type="dxa" w:w="128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 · Beschaffung</w:t>
            </w:r>
          </w:p>
        </w:tc>
        <w:tc>
          <w:tcPr>
            <w:tcW w:type="dxa" w:w="31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Marktansprache, Longlist, Besichtigungen, Partner</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Shortlist, Objektsteckbriefe, Entscheidungsmatrix</w:t>
            </w:r>
          </w:p>
        </w:tc>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3–10 Wochen</w:t>
            </w:r>
          </w:p>
        </w:tc>
      </w:tr>
      <w:tr>
        <w:trPr>
          <w:cantSplit/>
        </w:trPr>
        <w:tc>
          <w:tcPr>
            <w:tcW w:type="dxa" w:w="128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4 · Prüfung</w:t>
            </w:r>
          </w:p>
        </w:tc>
        <w:tc>
          <w:tcPr>
            <w:tcW w:type="dxa" w:w="31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Kaufmännische und nutzungsbezogene Vorprüfung</w:t>
            </w:r>
          </w:p>
        </w:tc>
        <w:tc>
          <w:tcPr>
            <w:tcW w:type="dxa" w:w="3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Budget, Risikoregister, externe Prüfaufträge</w:t>
            </w:r>
          </w:p>
        </w:tc>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1–3 Wochen</w:t>
            </w:r>
          </w:p>
        </w:tc>
      </w:tr>
      <w:tr>
        <w:trPr>
          <w:cantSplit/>
        </w:trPr>
        <w:tc>
          <w:tcPr>
            <w:tcW w:type="dxa" w:w="128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 · Realisierung</w:t>
            </w:r>
          </w:p>
        </w:tc>
        <w:tc>
          <w:tcPr>
            <w:tcW w:type="dxa" w:w="31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Verträge koordinieren, Handwerker, Möbel, Anschlüsse</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Realisierungsplan, Inventar, Mängel- und Übergabeakte</w:t>
            </w:r>
          </w:p>
        </w:tc>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3–10 Wochen</w:t>
            </w:r>
          </w:p>
        </w:tc>
      </w:tr>
      <w:tr>
        <w:trPr>
          <w:cantSplit/>
        </w:trPr>
        <w:tc>
          <w:tcPr>
            <w:tcW w:type="dxa" w:w="128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6 · Einzug</w:t>
            </w:r>
          </w:p>
        </w:tc>
        <w:tc>
          <w:tcPr>
            <w:tcW w:type="dxa" w:w="31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Zuordnung, Vorabinformation, Schlüssel, Orientierung</w:t>
            </w:r>
          </w:p>
        </w:tc>
        <w:tc>
          <w:tcPr>
            <w:tcW w:type="dxa" w:w="3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Belegungsplan, Protokolle, Welcome-Unterlagen</w:t>
            </w:r>
          </w:p>
        </w:tc>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2–4 Wochen</w:t>
            </w:r>
          </w:p>
        </w:tc>
      </w:tr>
      <w:tr>
        <w:trPr>
          <w:cantSplit/>
        </w:trPr>
        <w:tc>
          <w:tcPr>
            <w:tcW w:type="dxa" w:w="128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7 · Stabilisierung</w:t>
            </w:r>
          </w:p>
        </w:tc>
        <w:tc>
          <w:tcPr>
            <w:tcW w:type="dxa" w:w="31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Sprechstunden, Mängel, Feedback, Reporting</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30-/60-/90-Tage-Report und Maßnahmenplan</w:t>
            </w:r>
          </w:p>
        </w:tc>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3–36 Monate</w:t>
            </w:r>
          </w:p>
        </w:tc>
      </w:tr>
    </w:tbl>
    <w:p>
      <w:pPr>
        <w:pStyle w:val="BodyText"/>
        <w:spacing w:after="44" w:before="0" w:line="245" w:lineRule="auto"/>
        <w:jc w:val="left"/>
      </w:pPr>
      <w:r>
        <w:rPr>
          <w:rFonts w:ascii="Arial" w:hAnsi="Arial" w:eastAsia="Arial"/>
          <w:i w:val="0"/>
          <w:color w:val="243447"/>
          <w:sz w:val="19"/>
        </w:rPr>
        <w:t>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pPr>
        <w:pStyle w:val="Heading2"/>
        <w:keepNext/>
        <w:pBdr>
          <w:bottom w:val="single" w:sz="8" w:space="6" w:color="B08D57"/>
        </w:pBdr>
        <w:spacing w:after="50" w:before="100" w:line="240" w:lineRule="auto"/>
      </w:pPr>
      <w:r>
        <w:rPr>
          <w:rFonts w:ascii="Arial" w:hAnsi="Arial" w:eastAsia="Arial" w:cs="Arial"/>
          <w:b/>
          <w:color w:val="1E3A5F"/>
          <w:sz w:val="24"/>
        </w:rPr>
        <w:t>Leistungsbeschreibung</w:t>
      </w:r>
    </w:p>
    <w:p>
      <w:pPr>
        <w:pStyle w:val="Heading3"/>
        <w:keepNext/>
        <w:spacing w:after="30" w:before="70" w:line="240" w:lineRule="auto"/>
      </w:pPr>
      <w:r>
        <w:rPr>
          <w:rFonts w:ascii="Arial" w:hAnsi="Arial" w:eastAsia="Arial" w:cs="Arial"/>
          <w:b/>
          <w:color w:val="102A43"/>
          <w:sz w:val="20"/>
        </w:rPr>
        <w:t>Bedarf, Wohnraumstrategie und Business Case</w:t>
      </w:r>
    </w:p>
    <w:p>
      <w:pPr>
        <w:pStyle w:val="BodyText"/>
        <w:spacing w:after="44" w:before="0" w:line="245" w:lineRule="auto"/>
        <w:jc w:val="left"/>
      </w:pPr>
      <w:r>
        <w:rPr>
          <w:rFonts w:ascii="Arial" w:hAnsi="Arial" w:eastAsia="Arial"/>
          <w:i w:val="0"/>
          <w:color w:val="243447"/>
          <w:sz w:val="19"/>
        </w:rPr>
        <w:t>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pPr>
        <w:pStyle w:val="Heading3"/>
        <w:keepNext/>
        <w:spacing w:after="30" w:before="70" w:line="240" w:lineRule="auto"/>
      </w:pPr>
      <w:r>
        <w:rPr>
          <w:rFonts w:ascii="Arial" w:hAnsi="Arial" w:eastAsia="Arial" w:cs="Arial"/>
          <w:b/>
          <w:color w:val="102A43"/>
          <w:sz w:val="20"/>
        </w:rPr>
        <w:t>Objekt- und Partnerbeschaffung</w:t>
      </w:r>
    </w:p>
    <w:p>
      <w:pPr>
        <w:pStyle w:val="BodyText"/>
        <w:spacing w:after="44" w:before="0" w:line="245" w:lineRule="auto"/>
        <w:jc w:val="left"/>
      </w:pPr>
      <w:r>
        <w:rPr>
          <w:rFonts w:ascii="Arial" w:hAnsi="Arial" w:eastAsia="Arial"/>
          <w:i w:val="0"/>
          <w:color w:val="243447"/>
          <w:sz w:val="19"/>
        </w:rPr>
        <w:t>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Nebenkosten, Kaution, Einrichtung, Laufzeit, Kündigung, erkennbare Nutzungsfragen und Betriebskosten. Technische Gutachten, Brandschutz, Bau- und Rechtsprüfung werden von qualifizierten Fachpartnern erbracht.</w:t>
      </w:r>
    </w:p>
    <w:p>
      <w:pPr>
        <w:pStyle w:val="Heading3"/>
        <w:keepNext/>
        <w:spacing w:after="30" w:before="70" w:line="240" w:lineRule="auto"/>
      </w:pPr>
      <w:r>
        <w:rPr>
          <w:rFonts w:ascii="Arial" w:hAnsi="Arial" w:eastAsia="Arial" w:cs="Arial"/>
          <w:b/>
          <w:color w:val="102A43"/>
          <w:sz w:val="20"/>
        </w:rPr>
        <w:t>Vertrags-, Handwerker- und Möblierungskoordination</w:t>
      </w:r>
    </w:p>
    <w:p>
      <w:pPr>
        <w:pStyle w:val="BodyText"/>
        <w:spacing w:after="44" w:before="0" w:line="245" w:lineRule="auto"/>
        <w:jc w:val="left"/>
      </w:pPr>
      <w:r>
        <w:rPr>
          <w:rFonts w:ascii="Arial" w:hAnsi="Arial" w:eastAsia="Arial"/>
          <w:i w:val="0"/>
          <w:color w:val="243447"/>
          <w:sz w:val="19"/>
        </w:rPr>
        <w:t>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pPr>
        <w:pStyle w:val="Heading3"/>
        <w:keepNext/>
        <w:spacing w:after="30" w:before="70" w:line="240" w:lineRule="auto"/>
      </w:pPr>
      <w:r>
        <w:rPr>
          <w:rFonts w:ascii="Arial" w:hAnsi="Arial" w:eastAsia="Arial" w:cs="Arial"/>
          <w:b/>
          <w:color w:val="102A43"/>
          <w:sz w:val="20"/>
        </w:rPr>
        <w:t>Einzug, Behördenorientierung und Integration</w:t>
      </w:r>
    </w:p>
    <w:p>
      <w:pPr>
        <w:pStyle w:val="BodyText"/>
        <w:spacing w:after="44" w:before="0" w:line="245" w:lineRule="auto"/>
        <w:jc w:val="left"/>
      </w:pPr>
      <w:r>
        <w:rPr>
          <w:rFonts w:ascii="Arial" w:hAnsi="Arial" w:eastAsia="Arial"/>
          <w:i w:val="0"/>
          <w:color w:val="243447"/>
          <w:sz w:val="19"/>
        </w:rPr>
        <w:t>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pPr>
        <w:pStyle w:val="BodyText"/>
        <w:spacing w:after="44" w:before="0" w:line="245" w:lineRule="auto"/>
        <w:jc w:val="left"/>
      </w:pPr>
      <w:r>
        <w:rPr>
          <w:rFonts w:ascii="Arial" w:hAnsi="Arial" w:eastAsia="Arial"/>
          <w:i w:val="0"/>
          <w:color w:val="243447"/>
          <w:sz w:val="19"/>
        </w:rPr>
        <w:t>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pPr>
        <w:pStyle w:val="Heading3"/>
        <w:keepNext/>
        <w:spacing w:after="30" w:before="70" w:line="240" w:lineRule="auto"/>
      </w:pPr>
      <w:r>
        <w:rPr>
          <w:rFonts w:ascii="Arial" w:hAnsi="Arial" w:eastAsia="Arial" w:cs="Arial"/>
          <w:b/>
          <w:color w:val="102A43"/>
          <w:sz w:val="20"/>
        </w:rPr>
        <w:t>Immer enthalten und optional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875"/>
        <w:gridCol w:w="4875"/>
      </w:tblGrid>
      <w:tr>
        <w:trPr>
          <w:tblHeader/>
          <w:tblHeader w:val="true"/>
        </w:trPr>
        <w:tc>
          <w:tcPr>
            <w:tcW w:type="dxa" w:w="4875"/>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Standard in jedem Mandat</w:t>
            </w:r>
          </w:p>
        </w:tc>
        <w:tc>
          <w:tcPr>
            <w:tcW w:type="dxa" w:w="4875"/>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Optionale Zusatzmodule</w:t>
            </w:r>
          </w:p>
        </w:tc>
      </w:tr>
      <w:tr>
        <w:trPr>
          <w:cantSplit/>
        </w:trPr>
        <w:tc>
          <w:tcPr>
            <w:tcW w:type="dxa" w:w="4875"/>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Kick-off, Bedarfserhebung und Projektauftrag</w:t>
            </w:r>
          </w:p>
        </w:tc>
        <w:tc>
          <w:tcPr>
            <w:tcW w:type="dxa" w:w="4875"/>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Erweiterte regionale oder bundesweite Objektsuche</w:t>
            </w:r>
          </w:p>
        </w:tc>
      </w:tr>
      <w:tr>
        <w:trPr>
          <w:cantSplit/>
        </w:trPr>
        <w:tc>
          <w:tcPr>
            <w:tcW w:type="dxa" w:w="4875"/>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Terminplan, Verantwortungsmatrix und Risikoregister</w:t>
            </w:r>
          </w:p>
        </w:tc>
        <w:tc>
          <w:tcPr>
            <w:tcW w:type="dxa" w:w="4875"/>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Technische/rechtliche Due Diligence durch Dritte</w:t>
            </w:r>
          </w:p>
        </w:tc>
      </w:tr>
      <w:tr>
        <w:trPr>
          <w:cantSplit/>
        </w:trPr>
        <w:tc>
          <w:tcPr>
            <w:tcW w:type="dxa" w:w="4875"/>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Definierte Status- und Entscheidungstermine</w:t>
            </w:r>
          </w:p>
        </w:tc>
        <w:tc>
          <w:tcPr>
            <w:tcW w:type="dxa" w:w="4875"/>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Umbau-, Handwerker- und Beschaffungssteuerung</w:t>
            </w:r>
          </w:p>
        </w:tc>
      </w:tr>
      <w:tr>
        <w:trPr>
          <w:cantSplit/>
        </w:trPr>
        <w:tc>
          <w:tcPr>
            <w:tcW w:type="dxa" w:w="4875"/>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Budget-, Änderungs- und Freigabemanagement</w:t>
            </w:r>
          </w:p>
        </w:tc>
        <w:tc>
          <w:tcPr>
            <w:tcW w:type="dxa" w:w="4875"/>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Mehrsprachige Vor-Ort- und Wochenendbegleitung</w:t>
            </w:r>
          </w:p>
        </w:tc>
      </w:tr>
      <w:tr>
        <w:trPr>
          <w:cantSplit/>
        </w:trPr>
        <w:tc>
          <w:tcPr>
            <w:tcW w:type="dxa" w:w="4875"/>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Dokumenten-, Übergabe- und Abnahmeakte</w:t>
            </w:r>
          </w:p>
        </w:tc>
        <w:tc>
          <w:tcPr>
            <w:tcW w:type="dxa" w:w="4875"/>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Laufendes Housing-, Community- und KPI-Management</w:t>
            </w:r>
          </w:p>
        </w:tc>
      </w:tr>
      <w:tr>
        <w:trPr>
          <w:cantSplit/>
        </w:trPr>
        <w:tc>
          <w:tcPr>
            <w:tcW w:type="dxa" w:w="4875"/>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Projektabschlussbericht</w:t>
            </w:r>
          </w:p>
        </w:tc>
        <w:tc>
          <w:tcPr>
            <w:tcW w:type="dxa" w:w="4875"/>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Kinderbetreuungs-, Betreiber- oder Zwischenmietmodul</w:t>
            </w:r>
          </w:p>
        </w:tc>
      </w:tr>
    </w:tbl>
    <w:p>
      <w:pPr>
        <w:pStyle w:val="BodyText"/>
        <w:spacing w:after="44" w:before="0" w:line="245" w:lineRule="auto"/>
        <w:jc w:val="left"/>
      </w:pPr>
      <w:r>
        <w:rPr>
          <w:rFonts w:ascii="Arial" w:hAnsi="Arial" w:eastAsia="Arial"/>
          <w:i w:val="0"/>
          <w:color w:val="243447"/>
          <w:sz w:val="19"/>
        </w:rPr>
        <w:t>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pPr>
        <w:pStyle w:val="Heading2"/>
        <w:keepNext/>
        <w:pBdr>
          <w:bottom w:val="single" w:sz="8" w:space="6" w:color="B08D57"/>
        </w:pBdr>
        <w:spacing w:after="50" w:before="100" w:line="240" w:lineRule="auto"/>
      </w:pPr>
      <w:r>
        <w:rPr>
          <w:rFonts w:ascii="Arial" w:hAnsi="Arial" w:eastAsia="Arial" w:cs="Arial"/>
          <w:b/>
          <w:color w:val="1E3A5F"/>
          <w:sz w:val="24"/>
        </w:rPr>
        <w:t>Drei Leistungspakete und Vergütung</w:t>
      </w:r>
    </w:p>
    <w:p>
      <w:pPr>
        <w:pStyle w:val="BodyText"/>
        <w:keepNext/>
        <w:spacing w:after="44" w:before="0" w:line="245" w:lineRule="auto"/>
        <w:jc w:val="left"/>
      </w:pPr>
      <w:r>
        <w:rPr>
          <w:rFonts w:ascii="Arial" w:hAnsi="Arial" w:eastAsia="Arial"/>
          <w:i w:val="0"/>
          <w:color w:val="243447"/>
          <w:sz w:val="19"/>
        </w:rPr>
        <w:t>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700"/>
        <w:gridCol w:w="2450"/>
        <w:gridCol w:w="3600"/>
        <w:gridCol w:w="2000"/>
      </w:tblGrid>
      <w:tr>
        <w:trPr>
          <w:tblHeader/>
          <w:tblHeader w:val="true"/>
        </w:trPr>
        <w:tc>
          <w:tcPr>
            <w:tcW w:type="dxa" w:w="1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Paket</w:t>
            </w:r>
          </w:p>
        </w:tc>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Ergebnis</w:t>
            </w:r>
          </w:p>
        </w:tc>
        <w:tc>
          <w:tcPr>
            <w:tcW w:type="dxa" w:w="3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Umfang</w:t>
            </w:r>
          </w:p>
        </w:tc>
        <w:tc>
          <w:tcPr>
            <w:tcW w:type="dxa" w:w="2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Vergütung</w:t>
            </w:r>
          </w:p>
        </w:tc>
      </w:tr>
      <w:tr>
        <w:trPr>
          <w:cantSplit/>
        </w:trPr>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 · AMAVIO Blueprint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Entscheidungsreife Wohnraum- und Arrival-Strategie</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4–6 Wochen; Bedarf, Varianten, Grobbudget, Risiken, Roadmap, Managementpräsentation</w:t>
            </w:r>
          </w:p>
        </w:tc>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Pilot ab 12.500 EUR; Standard 21.000–22.500 EUR netto</w:t>
            </w:r>
          </w:p>
        </w:tc>
      </w:tr>
      <w:tr>
        <w:trPr>
          <w:cantSplit/>
        </w:trPr>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 · AMAVIO Launch</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Bezugsfertige Wohnlösung für eine konkrete Rekrutierungswelle</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8–16 Wochen bei Bestand; Suche, Koordination, Einrichtung, Einzug, 4 Wochen Stabilisierung</w:t>
            </w:r>
          </w:p>
        </w:tc>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Pilot ab 29.500 EUR (&lt; 300 Std.); Standard 33.750–65.000 EUR netto zzgl. Fremdkosten</w:t>
            </w:r>
          </w:p>
        </w:tc>
      </w:tr>
      <w:tr>
        <w:trPr>
          <w:cantSplit/>
        </w:trPr>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 · Housing &amp; Arrival Office</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Dauerhafte externe Housing- und Ankunftsfunktion</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Setup, laufende Bedarfe, Einzüge, Sprechstunde, Eskalation, Community, KPI-Reporting</w:t>
            </w:r>
          </w:p>
        </w:tc>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Reduziertes Setup ab 15.000 EUR; Standard 20.250–33.750 EUR + 4.500–12.000 EUR/Monat</w:t>
            </w:r>
          </w:p>
        </w:tc>
      </w:tr>
    </w:tbl>
    <w:p>
      <w:pPr>
        <w:pStyle w:val="Heading3"/>
        <w:keepNext/>
        <w:spacing w:after="30" w:before="70" w:line="240" w:lineRule="auto"/>
      </w:pPr>
      <w:r>
        <w:rPr>
          <w:rFonts w:ascii="Arial" w:hAnsi="Arial" w:eastAsia="Arial" w:cs="Arial"/>
          <w:b/>
          <w:color w:val="102A43"/>
          <w:sz w:val="20"/>
        </w:rPr>
        <w:t>Kalkulationslogik und persönlicher Zeiteinsatz</w:t>
      </w:r>
    </w:p>
    <w:p>
      <w:pPr>
        <w:pStyle w:val="BodyText"/>
        <w:spacing w:after="44" w:before="0" w:line="245" w:lineRule="auto"/>
        <w:jc w:val="left"/>
      </w:pPr>
      <w:r>
        <w:rPr>
          <w:rFonts w:ascii="Arial" w:hAnsi="Arial" w:eastAsia="Arial"/>
          <w:i w:val="0"/>
          <w:color w:val="243447"/>
          <w:sz w:val="19"/>
        </w:rPr>
        <w:t>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2450"/>
        <w:gridCol w:w="3000"/>
        <w:gridCol w:w="2500"/>
      </w:tblGrid>
      <w:tr>
        <w:trPr>
          <w:tblHeader/>
          <w:tblHeader w:val="true"/>
        </w:trPr>
        <w:tc>
          <w:tcPr>
            <w:tcW w:type="dxa" w:w="1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Paket</w:t>
            </w:r>
          </w:p>
        </w:tc>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Gründerzeit</w:t>
            </w:r>
          </w:p>
        </w:tc>
        <w:tc>
          <w:tcPr>
            <w:tcW w:type="dxa" w:w="3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Externe/variable Arbeit</w:t>
            </w:r>
          </w:p>
        </w:tc>
        <w:tc>
          <w:tcPr>
            <w:tcW w:type="dxa" w:w="2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Preislogik</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Blueprint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Pilot bis ca. 100 Std.; Standard 120–190 Std.</w:t>
            </w:r>
          </w:p>
        </w:tc>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Recherche, Daten, ggf. Fachinterviews</w:t>
            </w:r>
          </w:p>
        </w:tc>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Festpreis nach Standorten und Varianten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Launch</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Pilot unter 300 Std.; Standard 300–600 Std.</w:t>
            </w:r>
          </w:p>
        </w:tc>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Technik, Recht, Handwerk, Lieferanten</w:t>
            </w:r>
          </w:p>
        </w:tc>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Festpreis + transparente Fremdkosten; ggf. Meilensteine</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Housing &amp; Arrival Office</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Reduziertes Setup bis ca. 130 Std.; Standard 180–300 Std.; danach laufend</w:t>
            </w:r>
          </w:p>
        </w:tc>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Vor-Ort-, Sprach- und Spezialpartner</w:t>
            </w:r>
          </w:p>
        </w:tc>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Setup + Grundgebühr + definierte variable Einzüge</w:t>
            </w:r>
          </w:p>
        </w:tc>
      </w:tr>
    </w:tbl>
    <w:p>
      <w:pPr>
        <w:spacing w:before="0" w:after="44" w:line="245" w:lineRule="auto"/>
        <w:shd w:fill="EEF3F7"/>
        <w:pBdr>
          <w:left w:val="single" w:sz="18" w:space="10" w:color="1E3A5F"/>
        </w:pBdr>
        <w:ind w:left="180" w:right="120"/>
        <w:jc w:val="left"/>
      </w:pPr>
      <w:r>
        <w:rPr>
          <w:rFonts w:ascii="Arial" w:hAnsi="Arial" w:eastAsia="Arial"/>
          <w:b/>
          <w:color w:val="1E3A5F"/>
          <w:sz w:val="19"/>
        </w:rPr>
        <w:t xml:space="preserve">ZAHLUNGS- UND ABNAHMEMODELL  </w:t>
      </w:r>
      <w:r>
        <w:rPr>
          <w:rFonts w:ascii="Arial" w:hAnsi="Arial" w:eastAsia="Arial"/>
          <w:color w:val="243447"/>
          <w:sz w:val="19"/>
        </w:rPr>
        <w:t>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pPr>
        <w:pStyle w:val="Heading2"/>
        <w:keepNext/>
        <w:pBdr>
          <w:bottom w:val="single" w:sz="8" w:space="6" w:color="B08D57"/>
        </w:pBdr>
        <w:spacing w:after="50" w:before="100" w:line="240" w:lineRule="auto"/>
      </w:pPr>
      <w:r>
        <w:rPr>
          <w:rFonts w:ascii="Arial" w:hAnsi="Arial" w:eastAsia="Arial" w:cs="Arial"/>
          <w:b/>
          <w:color w:val="1E3A5F"/>
          <w:sz w:val="24"/>
        </w:rPr>
        <w:t>Wirtschaftlicher Nutzen für Arbeitgeber</w:t>
      </w:r>
    </w:p>
    <w:p>
      <w:pPr>
        <w:pStyle w:val="BodyText"/>
        <w:spacing w:after="44" w:before="0" w:line="245" w:lineRule="auto"/>
        <w:jc w:val="left"/>
      </w:pPr>
      <w:r>
        <w:rPr>
          <w:rFonts w:ascii="Arial" w:hAnsi="Arial" w:eastAsia="Arial"/>
          <w:i w:val="0"/>
          <w:color w:val="243447"/>
          <w:sz w:val="19"/>
        </w:rPr>
        <w:t>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pPr>
        <w:pStyle w:val="Heading3"/>
        <w:keepNext/>
        <w:spacing w:after="30" w:before="70" w:line="240" w:lineRule="auto"/>
      </w:pPr>
      <w:r>
        <w:rPr>
          <w:rFonts w:ascii="Arial" w:hAnsi="Arial" w:eastAsia="Arial" w:cs="Arial"/>
          <w:b/>
          <w:color w:val="102A43"/>
          <w:sz w:val="20"/>
        </w:rPr>
        <w:t>Arbeitgeberbezogenes Kostenmodell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200"/>
        <w:gridCol w:w="3450"/>
      </w:tblGrid>
      <w:tr>
        <w:trPr>
          <w:tblHeader/>
          <w:tblHeader w:val="true"/>
        </w:trPr>
        <w:tc>
          <w:tcPr>
            <w:tcW w:type="dxa" w:w="2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Kostenblock</w:t>
            </w:r>
          </w:p>
        </w:tc>
        <w:tc>
          <w:tcPr>
            <w:tcW w:type="dxa" w:w="4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Berechnung</w:t>
            </w:r>
          </w:p>
        </w:tc>
        <w:tc>
          <w:tcPr>
            <w:tcW w:type="dxa" w:w="3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Datenquelle beim Kunden</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Interne Koordination</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Stunden von HR, Recruiting, Führung, Verwaltung × Vollkostensatz</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Zeiterhebung/Interviews</w:t>
            </w:r>
          </w:p>
        </w:tc>
      </w:tr>
      <w:tr>
        <w:trPr>
          <w:cantSplit/>
        </w:trPr>
        <w:tc>
          <w:tcPr>
            <w:tcW w:type="dxa" w:w="2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Verzögerter Arbeitsstart</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Tage zwischen Soll- und Ist-Start × intern definierter Ausfallwert</w:t>
            </w:r>
          </w:p>
        </w:tc>
        <w:tc>
          <w:tcPr>
            <w:tcW w:type="dxa" w:w="3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Personal- und Dienstplandaten</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Externe Rekrutierung</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Vermittlung, Sprache, Anerkennung, Reise, Visa, Dokumente</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Rechnungen und Verträge</w:t>
            </w:r>
          </w:p>
        </w:tc>
      </w:tr>
      <w:tr>
        <w:trPr>
          <w:cantSplit/>
        </w:trPr>
        <w:tc>
          <w:tcPr>
            <w:tcW w:type="dxa" w:w="2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Wohnen und Einrichtung</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Suche, Übergangshotel, Kaution, Möbel, Transporte, Leerstand</w:t>
            </w:r>
          </w:p>
        </w:tc>
        <w:tc>
          <w:tcPr>
            <w:tcW w:type="dxa" w:w="3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Objekt- und Kreditorendaten</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Früher Austritt/No-show</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tatsächlich versunkene Kosten + Wiederbesetzungsaufwand</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HR-Falldaten</w:t>
            </w:r>
          </w:p>
        </w:tc>
      </w:tr>
    </w:tbl>
    <w:p>
      <w:pPr>
        <w:pStyle w:val="BodyText"/>
        <w:spacing w:after="44" w:before="0" w:line="245" w:lineRule="auto"/>
        <w:jc w:val="left"/>
      </w:pPr>
      <w:r>
        <w:rPr>
          <w:rFonts w:ascii="Arial" w:hAnsi="Arial" w:eastAsia="Arial"/>
          <w:i w:val="0"/>
          <w:color w:val="243447"/>
          <w:sz w:val="19"/>
        </w:rPr>
        <w:t>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100"/>
        <w:gridCol w:w="3600"/>
      </w:tblGrid>
      <w:tr>
        <w:trPr>
          <w:tblHeader/>
          <w:tblHeader w:val="true"/>
        </w:trPr>
        <w:tc>
          <w:tcPr>
            <w:tcW w:type="dxa" w:w="2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KPI</w:t>
            </w:r>
          </w:p>
        </w:tc>
        <w:tc>
          <w:tcPr>
            <w:tcW w:type="dxa" w:w="4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Definition</w:t>
            </w:r>
          </w:p>
        </w:tc>
        <w:tc>
          <w:tcPr>
            <w:tcW w:type="dxa" w:w="3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Steuerungsnutzen</w:t>
            </w:r>
          </w:p>
        </w:tc>
      </w:tr>
      <w:tr>
        <w:trPr>
          <w:cantSplit/>
        </w:trPr>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Time-to-Housing</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Tage von freigegebenem Bedarf bis verfügbarer Wohnlösung</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Geschwindigkeit und Supply-Leistung</w:t>
            </w:r>
          </w:p>
        </w:tc>
      </w:tr>
      <w:tr>
        <w:trPr>
          <w:cantSplit/>
        </w:trPr>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On-time Move-in</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Anteil Einzüge am geplanten Termin</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Planbarkeit des Arbeitsstarts</w:t>
            </w:r>
          </w:p>
        </w:tc>
      </w:tr>
      <w:tr>
        <w:trPr>
          <w:cantSplit/>
        </w:trPr>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HR Coordination Hours</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Interne Kundenstunden je Ankunft</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Entlastung und Prozessreife</w:t>
            </w:r>
          </w:p>
        </w:tc>
      </w:tr>
      <w:tr>
        <w:trPr>
          <w:cantSplit/>
        </w:trPr>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Issue Resolution Time</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Zeit bis dokumentierte Lösung eines Housing-Falls</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Servicequalität</w:t>
            </w:r>
          </w:p>
        </w:tc>
      </w:tr>
      <w:tr>
        <w:trPr>
          <w:cantSplit/>
        </w:trPr>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30/90-Day Satisfaction</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standardisierte Bewohnerbewertung</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Früherkennung und Lernschleife</w:t>
            </w:r>
          </w:p>
        </w:tc>
      </w:tr>
      <w:tr>
        <w:trPr>
          <w:cantSplit/>
        </w:trPr>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6/12-Month Retention</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Beschäftigtenverbleib; gemeinsam mit Arbeitgeber bewertet</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Langfristiger Outcome, keine AMAVIO-Garantie</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 Sicherheit und Verantwortungsgrenzen</w:t>
      </w:r>
    </w:p>
    <w:p>
      <w:pPr>
        <w:pStyle w:val="Heading3"/>
        <w:keepNext/>
        <w:spacing w:after="30" w:before="70" w:line="240" w:lineRule="auto"/>
      </w:pPr>
      <w:r>
        <w:rPr>
          <w:rFonts w:ascii="Arial" w:hAnsi="Arial" w:eastAsia="Arial" w:cs="Arial"/>
          <w:b/>
          <w:color w:val="102A43"/>
          <w:sz w:val="20"/>
        </w:rPr>
        <w:t>Projekt- und Kundensicherheit</w:t>
      </w:r>
    </w:p>
    <w:p>
      <w:pPr>
        <w:pStyle w:val="ListBullet"/>
        <w:spacing w:after="44" w:before="0" w:line="245" w:lineRule="auto"/>
        <w:jc w:val="left"/>
      </w:pPr>
      <w:r>
        <w:rPr>
          <w:rFonts w:ascii="Arial" w:hAnsi="Arial" w:eastAsia="Arial"/>
          <w:color w:val="243447"/>
          <w:sz w:val="19"/>
        </w:rPr>
        <w:t>Schriftlicher Leistungsauftrag mit Annahmen, Ausschlüssen, Ansprechpartnern und Abnahmekriterien.</w:t>
      </w:r>
    </w:p>
    <w:p>
      <w:pPr>
        <w:pStyle w:val="ListBullet"/>
        <w:spacing w:after="44" w:before="0" w:line="245" w:lineRule="auto"/>
        <w:jc w:val="left"/>
      </w:pPr>
      <w:r>
        <w:rPr>
          <w:rFonts w:ascii="Arial" w:hAnsi="Arial" w:eastAsia="Arial"/>
          <w:color w:val="243447"/>
          <w:sz w:val="19"/>
        </w:rPr>
        <w:t>Freigabematrix für Budgets, Vergaben, Nachträge und Bewohnerkommunikation.</w:t>
      </w:r>
    </w:p>
    <w:p>
      <w:pPr>
        <w:pStyle w:val="ListBullet"/>
        <w:spacing w:after="44" w:before="0" w:line="245" w:lineRule="auto"/>
        <w:jc w:val="left"/>
      </w:pPr>
      <w:r>
        <w:rPr>
          <w:rFonts w:ascii="Arial" w:hAnsi="Arial" w:eastAsia="Arial"/>
          <w:color w:val="243447"/>
          <w:sz w:val="19"/>
        </w:rPr>
        <w:t>Mehrere Angebote ab vereinbarter Schwelle; Vier-Augen-Prinzip bei wesentlichen Vergaben.</w:t>
      </w:r>
    </w:p>
    <w:p>
      <w:pPr>
        <w:pStyle w:val="ListBullet"/>
        <w:spacing w:after="44" w:before="0" w:line="245" w:lineRule="auto"/>
        <w:jc w:val="left"/>
      </w:pPr>
      <w:r>
        <w:rPr>
          <w:rFonts w:ascii="Arial" w:hAnsi="Arial" w:eastAsia="Arial"/>
          <w:color w:val="243447"/>
          <w:sz w:val="19"/>
        </w:rPr>
        <w:t>Objekt-, Foto-, Inventar-, Übergabe- und Mängeldokumentation.</w:t>
      </w:r>
    </w:p>
    <w:p>
      <w:pPr>
        <w:pStyle w:val="ListBullet"/>
        <w:spacing w:after="44" w:before="0" w:line="245" w:lineRule="auto"/>
        <w:jc w:val="left"/>
      </w:pPr>
      <w:r>
        <w:rPr>
          <w:rFonts w:ascii="Arial" w:hAnsi="Arial" w:eastAsia="Arial"/>
          <w:color w:val="243447"/>
          <w:sz w:val="19"/>
        </w:rPr>
        <w:t>Wöchentlicher Status- und Risikobericht mit Entscheidungen, Verantwortlichen und Fristen.</w:t>
      </w:r>
    </w:p>
    <w:p>
      <w:pPr>
        <w:pStyle w:val="ListBullet"/>
        <w:spacing w:after="44" w:before="0" w:line="245" w:lineRule="auto"/>
        <w:jc w:val="left"/>
      </w:pPr>
      <w:r>
        <w:rPr>
          <w:rFonts w:ascii="Arial" w:hAnsi="Arial" w:eastAsia="Arial"/>
          <w:color w:val="243447"/>
          <w:sz w:val="19"/>
        </w:rPr>
        <w:t>Berufshaftpflicht sowie objektspezifische Versicherungsprüfung.</w:t>
      </w:r>
    </w:p>
    <w:p>
      <w:pPr>
        <w:pStyle w:val="ListBullet"/>
        <w:spacing w:after="44" w:before="0" w:line="245" w:lineRule="auto"/>
        <w:jc w:val="left"/>
      </w:pPr>
      <w:r>
        <w:rPr>
          <w:rFonts w:ascii="Arial" w:hAnsi="Arial" w:eastAsia="Arial"/>
          <w:color w:val="243447"/>
          <w:sz w:val="19"/>
        </w:rPr>
        <w:t>Beschwerde-, Eskalations- und Notfallweg; 24/7-Leistungen nur über qualifizierte Partner.</w:t>
      </w:r>
    </w:p>
    <w:p>
      <w:pPr>
        <w:pStyle w:val="Heading3"/>
        <w:keepNext/>
        <w:spacing w:after="30" w:before="70" w:line="240" w:lineRule="auto"/>
      </w:pPr>
      <w:r>
        <w:rPr>
          <w:rFonts w:ascii="Arial" w:hAnsi="Arial" w:eastAsia="Arial" w:cs="Arial"/>
          <w:b/>
          <w:color w:val="102A43"/>
          <w:sz w:val="20"/>
        </w:rPr>
        <w:t>Datenschutz, Vertraulichkeit und Bewohnerfragebogen</w:t>
      </w:r>
    </w:p>
    <w:p>
      <w:pPr>
        <w:pStyle w:val="BodyText"/>
        <w:spacing w:after="44" w:before="0" w:line="245" w:lineRule="auto"/>
        <w:jc w:val="left"/>
      </w:pPr>
      <w:r>
        <w:rPr>
          <w:rFonts w:ascii="Arial" w:hAnsi="Arial" w:eastAsia="Arial"/>
          <w:i w:val="0"/>
          <w:color w:val="243447"/>
          <w:sz w:val="19"/>
        </w:rPr>
        <w:t>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pPr>
        <w:pStyle w:val="BodyText"/>
        <w:spacing w:after="44" w:before="0" w:line="245" w:lineRule="auto"/>
        <w:jc w:val="left"/>
      </w:pPr>
      <w:r>
        <w:rPr>
          <w:rFonts w:ascii="Arial" w:hAnsi="Arial" w:eastAsia="Arial"/>
          <w:i w:val="0"/>
          <w:color w:val="243447"/>
          <w:sz w:val="19"/>
        </w:rPr>
        <w:t>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pPr>
        <w:pStyle w:val="Heading3"/>
        <w:keepNext/>
        <w:spacing w:after="30" w:before="70" w:line="240" w:lineRule="auto"/>
      </w:pPr>
      <w:r>
        <w:rPr>
          <w:rFonts w:ascii="Arial" w:hAnsi="Arial" w:eastAsia="Arial" w:cs="Arial"/>
          <w:b/>
          <w:color w:val="102A43"/>
          <w:sz w:val="20"/>
        </w:rPr>
        <w:t>Leistungsgrenzen</w:t>
      </w:r>
    </w:p>
    <w:p>
      <w:pPr>
        <w:pStyle w:val="BodyText"/>
        <w:spacing w:after="44" w:before="0" w:line="245" w:lineRule="auto"/>
        <w:jc w:val="left"/>
      </w:pPr>
      <w:r>
        <w:rPr>
          <w:rFonts w:ascii="Arial" w:hAnsi="Arial" w:eastAsia="Arial"/>
          <w:i w:val="0"/>
          <w:color w:val="243447"/>
          <w:sz w:val="19"/>
        </w:rPr>
        <w:t>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pPr>
        <w:pStyle w:val="Heading1"/>
        <w:keepNext/>
        <w:spacing w:before="140" w:after="80" w:line="240" w:lineRule="auto"/>
        <w:pBdr>
          <w:bottom w:val="single" w:sz="8" w:space="6" w:color="B08D57"/>
        </w:pBdr>
      </w:pPr>
      <w:r>
        <w:rPr>
          <w:rFonts w:ascii="Arial" w:hAnsi="Arial" w:eastAsia="Arial" w:cs="Arial"/>
          <w:b/>
          <w:color w:val="102A43"/>
          <w:sz w:val="32"/>
        </w:rPr>
        <w:t>2. Unternehmerprofil</w:t>
      </w:r>
    </w:p>
    <w:p>
      <w:pPr>
        <w:pStyle w:val="Heading2"/>
        <w:keepNext/>
        <w:pBdr>
          <w:bottom w:val="single" w:sz="8" w:space="6" w:color="B08D57"/>
        </w:pBdr>
        <w:spacing w:after="50" w:before="100" w:line="240" w:lineRule="auto"/>
      </w:pPr>
      <w:r>
        <w:rPr>
          <w:rFonts w:ascii="Arial" w:hAnsi="Arial" w:eastAsia="Arial" w:cs="Arial"/>
          <w:b/>
          <w:color w:val="1E3A5F"/>
          <w:sz w:val="24"/>
        </w:rPr>
        <w:t>Gründerprofil und Umsetzungsfähigkeit</w:t>
      </w:r>
    </w:p>
    <w:p>
      <w:pPr>
        <w:pStyle w:val="Heading3"/>
        <w:keepNext/>
        <w:spacing w:after="30" w:before="70" w:line="240" w:lineRule="auto"/>
      </w:pPr>
      <w:r>
        <w:rPr>
          <w:rFonts w:ascii="Arial" w:hAnsi="Arial" w:eastAsia="Arial" w:cs="Arial"/>
          <w:b/>
          <w:color w:val="102A43"/>
          <w:sz w:val="20"/>
        </w:rPr>
        <w:t>Persönliches Profil und Founder–Market Fit</w:t>
      </w:r>
    </w:p>
    <w:p>
      <w:pPr>
        <w:pStyle w:val="BodyText"/>
        <w:spacing w:after="44" w:before="0" w:line="245" w:lineRule="auto"/>
        <w:jc w:val="left"/>
      </w:pPr>
      <w:r>
        <w:rPr>
          <w:rFonts w:ascii="Arial" w:hAnsi="Arial" w:eastAsia="Arial"/>
          <w:i w:val="0"/>
          <w:color w:val="243447"/>
          <w:sz w:val="19"/>
        </w:rPr>
        <w:t>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pPr>
        <w:pStyle w:val="BodyText"/>
        <w:spacing w:after="44" w:before="0" w:line="245" w:lineRule="auto"/>
        <w:jc w:val="left"/>
      </w:pPr>
      <w:r>
        <w:rPr>
          <w:rFonts w:ascii="Arial" w:hAnsi="Arial" w:eastAsia="Arial"/>
          <w:i w:val="0"/>
          <w:color w:val="243447"/>
          <w:sz w:val="19"/>
        </w:rPr>
        <w:t>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pPr>
        <w:pStyle w:val="Heading3"/>
        <w:keepNext/>
        <w:spacing w:after="30" w:before="70" w:line="240" w:lineRule="auto"/>
      </w:pPr>
      <w:r>
        <w:rPr>
          <w:rFonts w:ascii="Arial" w:hAnsi="Arial" w:eastAsia="Arial" w:cs="Arial"/>
          <w:b/>
          <w:color w:val="102A43"/>
          <w:sz w:val="20"/>
        </w:rPr>
        <w:t>Fachlicher Werdegang</w:t>
      </w:r>
    </w:p>
    <w:p>
      <w:pPr>
        <w:pStyle w:val="BodyText"/>
        <w:spacing w:after="44" w:before="0" w:line="245" w:lineRule="auto"/>
        <w:jc w:val="left"/>
      </w:pPr>
      <w:r>
        <w:rPr>
          <w:rFonts w:ascii="Arial" w:hAnsi="Arial" w:eastAsia="Arial"/>
          <w:i w:val="0"/>
          <w:color w:val="243447"/>
          <w:sz w:val="19"/>
        </w:rPr>
        <w:t>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pPr>
        <w:pStyle w:val="BodyText"/>
        <w:spacing w:after="44" w:before="0" w:line="245" w:lineRule="auto"/>
        <w:jc w:val="left"/>
      </w:pPr>
      <w:r>
        <w:rPr>
          <w:rFonts w:ascii="Arial" w:hAnsi="Arial" w:eastAsia="Arial"/>
          <w:i w:val="0"/>
          <w:color w:val="243447"/>
          <w:sz w:val="19"/>
        </w:rPr>
        <w:t>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pPr>
        <w:pStyle w:val="BodyText"/>
        <w:spacing w:after="44" w:before="0" w:line="245" w:lineRule="auto"/>
        <w:jc w:val="left"/>
      </w:pPr>
      <w:r>
        <w:rPr>
          <w:rFonts w:ascii="Arial" w:hAnsi="Arial" w:eastAsia="Arial"/>
          <w:i w:val="0"/>
          <w:color w:val="243447"/>
          <w:sz w:val="19"/>
        </w:rPr>
        <w:t>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pPr>
        <w:pStyle w:val="BodyText"/>
        <w:spacing w:after="44" w:before="0" w:line="245" w:lineRule="auto"/>
        <w:jc w:val="left"/>
      </w:pPr>
      <w:r>
        <w:rPr>
          <w:rFonts w:ascii="Arial" w:hAnsi="Arial" w:eastAsia="Arial"/>
          <w:i w:val="0"/>
          <w:color w:val="243447"/>
          <w:sz w:val="19"/>
        </w:rPr>
        <w:t>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pPr>
        <w:pStyle w:val="Heading3"/>
        <w:keepNext/>
        <w:spacing w:after="30" w:before="70" w:line="240" w:lineRule="auto"/>
      </w:pPr>
      <w:r>
        <w:rPr>
          <w:rFonts w:ascii="Arial" w:hAnsi="Arial" w:eastAsia="Arial" w:cs="Arial"/>
          <w:b/>
          <w:color w:val="102A43"/>
          <w:sz w:val="20"/>
        </w:rPr>
        <w:t>Organisatorische und operative Kompetenz</w:t>
      </w:r>
    </w:p>
    <w:p>
      <w:pPr>
        <w:pStyle w:val="BodyText"/>
        <w:spacing w:after="44" w:before="0" w:line="245" w:lineRule="auto"/>
        <w:jc w:val="left"/>
      </w:pPr>
      <w:r>
        <w:rPr>
          <w:rFonts w:ascii="Arial" w:hAnsi="Arial" w:eastAsia="Arial"/>
          <w:i w:val="0"/>
          <w:color w:val="243447"/>
          <w:sz w:val="19"/>
        </w:rPr>
        <w:t>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pPr>
        <w:pStyle w:val="BodyText"/>
        <w:spacing w:after="44" w:before="0" w:line="245" w:lineRule="auto"/>
        <w:jc w:val="left"/>
      </w:pPr>
      <w:r>
        <w:rPr>
          <w:rFonts w:ascii="Arial" w:hAnsi="Arial" w:eastAsia="Arial"/>
          <w:i w:val="0"/>
          <w:color w:val="243447"/>
          <w:sz w:val="19"/>
        </w:rPr>
        <w:t>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pPr>
        <w:pStyle w:val="Heading2"/>
        <w:keepNext/>
        <w:pBdr>
          <w:bottom w:val="single" w:sz="8" w:space="6" w:color="B08D57"/>
        </w:pBdr>
        <w:spacing w:after="50" w:before="100" w:line="240" w:lineRule="auto"/>
      </w:pPr>
      <w:r>
        <w:rPr>
          <w:rFonts w:ascii="Arial" w:hAnsi="Arial" w:eastAsia="Arial" w:cs="Arial"/>
          <w:b/>
          <w:color w:val="1E3A5F"/>
          <w:sz w:val="24"/>
        </w:rPr>
        <w:t>Unternehmerische, digitale und persönliche Kompetenz</w:t>
      </w:r>
    </w:p>
    <w:p>
      <w:pPr>
        <w:pStyle w:val="Heading3"/>
        <w:keepNext/>
        <w:spacing w:after="30" w:before="70" w:line="240" w:lineRule="auto"/>
      </w:pPr>
      <w:r>
        <w:rPr>
          <w:rFonts w:ascii="Arial" w:hAnsi="Arial" w:eastAsia="Arial" w:cs="Arial"/>
          <w:b/>
          <w:color w:val="102A43"/>
          <w:sz w:val="20"/>
        </w:rPr>
        <w:t>Kaufmännische und unternehmerische Kompetenz</w:t>
      </w:r>
    </w:p>
    <w:p>
      <w:pPr>
        <w:pStyle w:val="BodyText"/>
        <w:spacing w:after="44" w:before="0" w:line="245" w:lineRule="auto"/>
        <w:jc w:val="left"/>
      </w:pPr>
      <w:r>
        <w:rPr>
          <w:rFonts w:ascii="Arial" w:hAnsi="Arial" w:eastAsia="Arial"/>
          <w:i w:val="0"/>
          <w:color w:val="243447"/>
          <w:sz w:val="19"/>
        </w:rPr>
        <w:t>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pPr>
        <w:pStyle w:val="BodyText"/>
        <w:spacing w:after="44" w:before="0" w:line="245" w:lineRule="auto"/>
        <w:jc w:val="left"/>
      </w:pPr>
      <w:r>
        <w:rPr>
          <w:rFonts w:ascii="Arial" w:hAnsi="Arial" w:eastAsia="Arial"/>
          <w:i w:val="0"/>
          <w:color w:val="243447"/>
          <w:sz w:val="19"/>
        </w:rPr>
        <w:t>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pPr>
        <w:pStyle w:val="Heading3"/>
        <w:keepNext/>
        <w:spacing w:after="30" w:before="70" w:line="240" w:lineRule="auto"/>
      </w:pPr>
      <w:r>
        <w:rPr>
          <w:rFonts w:ascii="Arial" w:hAnsi="Arial" w:eastAsia="Arial" w:cs="Arial"/>
          <w:b/>
          <w:color w:val="102A43"/>
          <w:sz w:val="20"/>
        </w:rPr>
        <w:t>Digitale Kompetenz und Prozessentwicklung</w:t>
      </w:r>
    </w:p>
    <w:p>
      <w:pPr>
        <w:pStyle w:val="BodyText"/>
        <w:spacing w:after="44" w:before="0" w:line="245" w:lineRule="auto"/>
        <w:jc w:val="left"/>
      </w:pPr>
      <w:r>
        <w:rPr>
          <w:rFonts w:ascii="Arial" w:hAnsi="Arial" w:eastAsia="Arial"/>
          <w:i w:val="0"/>
          <w:color w:val="243447"/>
          <w:sz w:val="19"/>
        </w:rPr>
        <w:t>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pPr>
        <w:pStyle w:val="BodyText"/>
        <w:spacing w:after="44" w:before="0" w:line="245" w:lineRule="auto"/>
        <w:jc w:val="left"/>
      </w:pPr>
      <w:r>
        <w:rPr>
          <w:rFonts w:ascii="Arial" w:hAnsi="Arial" w:eastAsia="Arial"/>
          <w:i w:val="0"/>
          <w:color w:val="243447"/>
          <w:sz w:val="19"/>
        </w:rPr>
        <w:t>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pPr>
        <w:pStyle w:val="Heading3"/>
        <w:keepNext/>
        <w:spacing w:after="30" w:before="70" w:line="240" w:lineRule="auto"/>
      </w:pPr>
      <w:r>
        <w:rPr>
          <w:rFonts w:ascii="Arial" w:hAnsi="Arial" w:eastAsia="Arial" w:cs="Arial"/>
          <w:b/>
          <w:color w:val="102A43"/>
          <w:sz w:val="20"/>
        </w:rPr>
        <w:t>Persönliche Motivation</w:t>
      </w:r>
    </w:p>
    <w:p>
      <w:pPr>
        <w:pStyle w:val="BodyText"/>
        <w:spacing w:after="44" w:before="0" w:line="245" w:lineRule="auto"/>
        <w:jc w:val="left"/>
      </w:pPr>
      <w:r>
        <w:rPr>
          <w:rFonts w:ascii="Arial" w:hAnsi="Arial" w:eastAsia="Arial"/>
          <w:i w:val="0"/>
          <w:color w:val="243447"/>
          <w:sz w:val="19"/>
        </w:rPr>
        <w:t>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pPr>
        <w:pStyle w:val="BodyText"/>
        <w:spacing w:after="44" w:before="0" w:line="245" w:lineRule="auto"/>
        <w:jc w:val="left"/>
      </w:pPr>
      <w:r>
        <w:rPr>
          <w:rFonts w:ascii="Arial" w:hAnsi="Arial" w:eastAsia="Arial"/>
          <w:i w:val="0"/>
          <w:color w:val="243447"/>
          <w:sz w:val="19"/>
        </w:rPr>
        <w:t>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PERSÖNLICHER ANTRIEB  </w:t>
      </w:r>
      <w:r>
        <w:rPr>
          <w:rFonts w:ascii="Arial" w:hAnsi="Arial" w:eastAsia="Arial"/>
          <w:color w:val="243447"/>
          <w:sz w:val="19"/>
        </w:rPr>
        <w:t>AMAVIO soll Menschen keinen kurzfristigen Schlafplatz, sondern einen verlässlichen Start ermöglichen – und Arbeitgebern die Infrastruktur geben, aus internationaler Rekrutierung stabile Beschäftigung werden zu lassen.</w:t>
      </w:r>
    </w:p>
    <w:p>
      <w:pPr>
        <w:pStyle w:val="Heading3"/>
        <w:keepNext/>
        <w:spacing w:after="30" w:before="70" w:line="240" w:lineRule="auto"/>
      </w:pPr>
      <w:r>
        <w:rPr>
          <w:rFonts w:ascii="Arial" w:hAnsi="Arial" w:eastAsia="Arial" w:cs="Arial"/>
          <w:b/>
          <w:color w:val="102A43"/>
          <w:sz w:val="20"/>
        </w:rPr>
        <w:t>Kompetenzabsicherung</w:t>
      </w:r>
    </w:p>
    <w:p>
      <w:pPr>
        <w:pStyle w:val="BodyText"/>
        <w:spacing w:after="44" w:before="0" w:line="245" w:lineRule="auto"/>
        <w:jc w:val="left"/>
      </w:pPr>
      <w:r>
        <w:rPr>
          <w:rFonts w:ascii="Arial" w:hAnsi="Arial" w:eastAsia="Arial"/>
          <w:i w:val="0"/>
          <w:color w:val="243447"/>
          <w:sz w:val="19"/>
        </w:rPr>
        <w:t>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pPr>
        <w:pStyle w:val="Heading3"/>
        <w:keepNext/>
        <w:spacing w:after="30" w:before="70" w:line="240" w:lineRule="auto"/>
      </w:pPr>
      <w:r>
        <w:rPr>
          <w:rFonts w:ascii="Arial" w:hAnsi="Arial" w:eastAsia="Arial" w:cs="Arial"/>
          <w:b/>
          <w:color w:val="102A43"/>
          <w:sz w:val="20"/>
        </w:rPr>
        <w:t>Zusammenfassende Eignung</w:t>
      </w:r>
    </w:p>
    <w:p>
      <w:pPr>
        <w:pStyle w:val="BodyText"/>
        <w:spacing w:after="44" w:before="0" w:line="245" w:lineRule="auto"/>
        <w:jc w:val="left"/>
      </w:pPr>
      <w:r>
        <w:rPr>
          <w:rFonts w:ascii="Arial" w:hAnsi="Arial" w:eastAsia="Arial"/>
          <w:i w:val="0"/>
          <w:color w:val="243447"/>
          <w:sz w:val="19"/>
        </w:rPr>
        <w:t>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pPr>
        <w:pStyle w:val="Heading1"/>
        <w:keepNext/>
        <w:spacing w:before="140" w:after="80" w:line="240" w:lineRule="auto"/>
        <w:pBdr>
          <w:bottom w:val="single" w:sz="8" w:space="6" w:color="B08D57"/>
        </w:pBdr>
      </w:pPr>
      <w:r>
        <w:rPr>
          <w:rFonts w:ascii="Arial" w:hAnsi="Arial" w:eastAsia="Arial" w:cs="Arial"/>
          <w:b/>
          <w:color w:val="102A43"/>
          <w:sz w:val="32"/>
        </w:rPr>
        <w:t>3. Zielkunden- und Bedarfsanalyse</w:t>
      </w:r>
    </w:p>
    <w:p>
      <w:pPr>
        <w:pStyle w:val="Heading2"/>
        <w:keepNext/>
        <w:pBdr>
          <w:bottom w:val="single" w:sz="8" w:space="6" w:color="B08D57"/>
        </w:pBdr>
        <w:spacing w:after="50" w:before="100" w:line="240" w:lineRule="auto"/>
      </w:pPr>
      <w:r>
        <w:rPr>
          <w:rFonts w:ascii="Arial" w:hAnsi="Arial" w:eastAsia="Arial" w:cs="Arial"/>
          <w:b/>
          <w:color w:val="1E3A5F"/>
          <w:sz w:val="24"/>
        </w:rPr>
        <w:t>Zielkundenlogik und Fokus</w:t>
      </w:r>
    </w:p>
    <w:p>
      <w:pPr>
        <w:pStyle w:val="BodyText"/>
        <w:spacing w:after="44" w:before="0" w:line="245" w:lineRule="auto"/>
        <w:jc w:val="left"/>
      </w:pPr>
      <w:r>
        <w:rPr>
          <w:rFonts w:ascii="Arial" w:hAnsi="Arial" w:eastAsia="Arial"/>
          <w:i w:val="0"/>
          <w:color w:val="243447"/>
          <w:sz w:val="19"/>
        </w:rPr>
        <w:t>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pPr>
        <w:pStyle w:val="BodyText"/>
        <w:spacing w:after="44" w:before="0" w:line="245" w:lineRule="auto"/>
        <w:jc w:val="left"/>
      </w:pPr>
      <w:r>
        <w:rPr>
          <w:rFonts w:ascii="Arial" w:hAnsi="Arial" w:eastAsia="Arial"/>
          <w:i w:val="0"/>
          <w:color w:val="243447"/>
          <w:sz w:val="19"/>
        </w:rPr>
        <w:t>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IDEAL CUSTOMER PROFILE  </w:t>
      </w:r>
      <w:r>
        <w:rPr>
          <w:rFonts w:ascii="Arial" w:hAnsi="Arial" w:eastAsia="Arial"/>
          <w:color w:val="243447"/>
          <w:sz w:val="19"/>
        </w:rPr>
        <w:t>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pPr>
        <w:pStyle w:val="Heading3"/>
        <w:keepNext/>
        <w:spacing w:after="30" w:before="70" w:line="240" w:lineRule="auto"/>
      </w:pPr>
      <w:r>
        <w:rPr>
          <w:rFonts w:ascii="Arial" w:hAnsi="Arial" w:eastAsia="Arial" w:cs="Arial"/>
          <w:b/>
          <w:color w:val="102A43"/>
          <w:sz w:val="20"/>
        </w:rPr>
        <w:t>Priorisierung der Kundensegmente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450"/>
        <w:gridCol w:w="3400"/>
      </w:tblGrid>
      <w:tr>
        <w:trPr>
          <w:tblHeader/>
          <w:tblHeader w:val="true"/>
        </w:trPr>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Segment</w:t>
            </w:r>
          </w:p>
        </w:tc>
        <w:tc>
          <w:tcPr>
            <w:tcW w:type="dxa" w:w="4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Typischer Bedarf</w:t>
            </w:r>
          </w:p>
        </w:tc>
        <w:tc>
          <w:tcPr>
            <w:tcW w:type="dxa" w:w="34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Eignung zum Start</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Krankenhäuser und Klinikverbünde</w:t>
            </w:r>
          </w:p>
        </w:tc>
        <w:tc>
          <w:tcPr>
            <w:tcW w:type="dxa" w:w="4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Planbare Ankunftsgruppen, Anerkennungsphasen, Schichtnähe, möblierter Übergangswohnraum und koordinierte Integration</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Sehr hoch: hoher Problemdruck, wiederkehrender Bedarf und klare Arbeitgeberverantwortung</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Stationäre Pflegeanbieter und größere Träger</w:t>
            </w:r>
          </w:p>
        </w:tc>
        <w:tc>
          <w:tcPr>
            <w:tcW w:type="dxa" w:w="4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Verteilte Standorte, kleinere Gruppen, Wohnraum im Umfeld einzelner Einrichtungen und standardisierte Ankunftsprozesse</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Hoch: großer Bedarf, jedoch häufig kleinere Budgets und heterogene Entscheidungswege</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Internationale Recruitingpartner</w:t>
            </w:r>
          </w:p>
        </w:tc>
        <w:tc>
          <w:tcPr>
            <w:tcW w:type="dxa" w:w="4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Lokale Umsetzung nach Auswahl und Einreise: Wohnraum, Möblierung, Einzug, Behördenorientierung und Reporting</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Hoch als Kanal: schneller Zugang zu Projekten, aber klare Abgrenzung zur Vermittlungsleistung erforderlich</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Industrie, Logistik, Handwerk und weitere Engpassbranchen</w:t>
            </w:r>
          </w:p>
        </w:tc>
        <w:tc>
          <w:tcPr>
            <w:tcW w:type="dxa" w:w="4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Mitarbeiterwohnen für überregionale Einstellungen, Auszubildende, Projektteams oder Produktionsanläufe</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Selektiv: attraktiver Expansionsmarkt nach Standardisierung der Kernprozesse</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Hochschulen, Kommunen und Ausbildungsverbünde</w:t>
            </w:r>
          </w:p>
        </w:tc>
        <w:tc>
          <w:tcPr>
            <w:tcW w:type="dxa" w:w="4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Wohnplätze, Standortprojekte und Partnerkoordination für Studierende oder Auszubildende</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Später: strategisch passend, aber meist längere Vergabe- und Entscheidungsprozesse</w:t>
            </w:r>
          </w:p>
        </w:tc>
      </w:tr>
    </w:tbl>
    <w:p>
      <w:pPr>
        <w:pStyle w:val="BodyText"/>
        <w:spacing w:after="44" w:before="0" w:line="245" w:lineRule="auto"/>
        <w:jc w:val="left"/>
      </w:pPr>
      <w:r>
        <w:rPr>
          <w:rFonts w:ascii="Arial" w:hAnsi="Arial" w:eastAsia="Arial"/>
          <w:i w:val="0"/>
          <w:color w:val="243447"/>
          <w:sz w:val="19"/>
        </w:rPr>
        <w:t>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pPr>
        <w:pStyle w:val="Heading2"/>
        <w:keepNext/>
        <w:pBdr>
          <w:bottom w:val="single" w:sz="8" w:space="6" w:color="B08D57"/>
        </w:pBdr>
        <w:spacing w:after="50" w:before="100" w:line="240" w:lineRule="auto"/>
      </w:pPr>
      <w:r>
        <w:rPr>
          <w:rFonts w:ascii="Arial" w:hAnsi="Arial" w:eastAsia="Arial" w:cs="Arial"/>
          <w:b/>
          <w:color w:val="1E3A5F"/>
          <w:sz w:val="24"/>
        </w:rPr>
        <w:t>Bedarfsauslöser und Zahlungsbereitschaft</w:t>
      </w:r>
    </w:p>
    <w:p>
      <w:pPr>
        <w:pStyle w:val="BodyText"/>
        <w:spacing w:after="44" w:before="0" w:line="245" w:lineRule="auto"/>
        <w:jc w:val="left"/>
      </w:pPr>
      <w:r>
        <w:rPr>
          <w:rFonts w:ascii="Arial" w:hAnsi="Arial" w:eastAsia="Arial"/>
          <w:i w:val="0"/>
          <w:color w:val="243447"/>
          <w:sz w:val="19"/>
        </w:rPr>
        <w:t>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pPr>
        <w:pStyle w:val="BodyText"/>
        <w:spacing w:after="44" w:before="0" w:line="245" w:lineRule="auto"/>
        <w:jc w:val="left"/>
      </w:pPr>
      <w:r>
        <w:rPr>
          <w:rFonts w:ascii="Arial" w:hAnsi="Arial" w:eastAsia="Arial"/>
          <w:i w:val="0"/>
          <w:color w:val="243447"/>
          <w:sz w:val="19"/>
        </w:rPr>
        <w:t>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pPr>
        <w:pStyle w:val="Heading3"/>
        <w:keepNext/>
        <w:spacing w:after="30" w:before="70" w:line="240" w:lineRule="auto"/>
      </w:pPr>
      <w:r>
        <w:rPr>
          <w:rFonts w:ascii="Arial" w:hAnsi="Arial" w:eastAsia="Arial" w:cs="Arial"/>
          <w:b/>
          <w:color w:val="102A43"/>
          <w:sz w:val="20"/>
        </w:rPr>
        <w:t>Typische Auslöser eines Mandats</w:t>
      </w:r>
    </w:p>
    <w:p>
      <w:pPr>
        <w:spacing w:before="0" w:after="44" w:line="245" w:lineRule="auto"/>
        <w:ind w:left="0"/>
        <w:jc w:val="left"/>
      </w:pPr>
      <w:r>
        <w:rPr>
          <w:rFonts w:ascii="Arial" w:hAnsi="Arial" w:eastAsia="Arial"/>
          <w:b/>
          <w:color w:val="B08D57"/>
          <w:sz w:val="19"/>
        </w:rPr>
        <w:t xml:space="preserve">01  </w:t>
      </w:r>
      <w:r>
        <w:rPr>
          <w:rFonts w:ascii="Arial" w:hAnsi="Arial" w:eastAsia="Arial"/>
          <w:b/>
          <w:color w:val="102A43"/>
          <w:sz w:val="19"/>
        </w:rPr>
        <w:t xml:space="preserve">Konkrete Rekrutierungswelle  </w:t>
      </w:r>
      <w:r>
        <w:rPr>
          <w:rFonts w:ascii="Arial" w:hAnsi="Arial" w:eastAsia="Arial"/>
          <w:color w:val="243447"/>
          <w:sz w:val="19"/>
        </w:rPr>
        <w:t>Ein Arbeitgeber erwartet eine definierte Gruppe oder mehrere Ankünfte mit verbindlichen Startdaten.</w:t>
      </w:r>
    </w:p>
    <w:p>
      <w:pPr>
        <w:spacing w:before="0" w:after="44" w:line="245" w:lineRule="auto"/>
        <w:ind w:left="0"/>
        <w:jc w:val="left"/>
      </w:pPr>
      <w:r>
        <w:rPr>
          <w:rFonts w:ascii="Arial" w:hAnsi="Arial" w:eastAsia="Arial"/>
          <w:b/>
          <w:color w:val="B08D57"/>
          <w:sz w:val="19"/>
        </w:rPr>
        <w:t xml:space="preserve">02  </w:t>
      </w:r>
      <w:r>
        <w:rPr>
          <w:rFonts w:ascii="Arial" w:hAnsi="Arial" w:eastAsia="Arial"/>
          <w:b/>
          <w:color w:val="102A43"/>
          <w:sz w:val="19"/>
        </w:rPr>
        <w:t xml:space="preserve">Fehlende Wohnkapazität  </w:t>
      </w:r>
      <w:r>
        <w:rPr>
          <w:rFonts w:ascii="Arial" w:hAnsi="Arial" w:eastAsia="Arial"/>
          <w:color w:val="243447"/>
          <w:sz w:val="19"/>
        </w:rPr>
        <w:t>Eigene Wohnheime, Bestandswohnungen oder kurzfristige Übergangslösungen reichen nicht aus.</w:t>
      </w:r>
    </w:p>
    <w:p>
      <w:pPr>
        <w:spacing w:before="0" w:after="44" w:line="245" w:lineRule="auto"/>
        <w:ind w:left="0"/>
        <w:jc w:val="left"/>
      </w:pPr>
      <w:r>
        <w:rPr>
          <w:rFonts w:ascii="Arial" w:hAnsi="Arial" w:eastAsia="Arial"/>
          <w:b/>
          <w:color w:val="B08D57"/>
          <w:sz w:val="19"/>
        </w:rPr>
        <w:t xml:space="preserve">03  </w:t>
      </w:r>
      <w:r>
        <w:rPr>
          <w:rFonts w:ascii="Arial" w:hAnsi="Arial" w:eastAsia="Arial"/>
          <w:b/>
          <w:color w:val="102A43"/>
          <w:sz w:val="19"/>
        </w:rPr>
        <w:t xml:space="preserve">Überlastete interne Zuständigkeiten  </w:t>
      </w:r>
      <w:r>
        <w:rPr>
          <w:rFonts w:ascii="Arial" w:hAnsi="Arial" w:eastAsia="Arial"/>
          <w:color w:val="243447"/>
          <w:sz w:val="19"/>
        </w:rPr>
        <w:t>HR, Recruiting, Pflegeleitung, Einkauf und Facility Management bearbeiten Einzelfragen ohne gemeinsame Projektsteuerung.</w:t>
      </w:r>
    </w:p>
    <w:p>
      <w:pPr>
        <w:spacing w:before="0" w:after="44" w:line="245" w:lineRule="auto"/>
        <w:ind w:left="0"/>
        <w:jc w:val="left"/>
      </w:pPr>
      <w:r>
        <w:rPr>
          <w:rFonts w:ascii="Arial" w:hAnsi="Arial" w:eastAsia="Arial"/>
          <w:b/>
          <w:color w:val="B08D57"/>
          <w:sz w:val="19"/>
        </w:rPr>
        <w:t xml:space="preserve">04  </w:t>
      </w:r>
      <w:r>
        <w:rPr>
          <w:rFonts w:ascii="Arial" w:hAnsi="Arial" w:eastAsia="Arial"/>
          <w:b/>
          <w:color w:val="102A43"/>
          <w:sz w:val="19"/>
        </w:rPr>
        <w:t xml:space="preserve">Qualitäts- oder Bindungsprobleme  </w:t>
      </w:r>
      <w:r>
        <w:rPr>
          <w:rFonts w:ascii="Arial" w:hAnsi="Arial" w:eastAsia="Arial"/>
          <w:color w:val="243447"/>
          <w:sz w:val="19"/>
        </w:rPr>
        <w:t>Zusagen werden uneinheitlich umgesetzt, Beschäftigte erhalten unterschiedliche Unterstützung oder Rückfragen eskalieren in die Personalabteilung.</w:t>
      </w:r>
    </w:p>
    <w:p>
      <w:pPr>
        <w:spacing w:before="0" w:after="44" w:line="245" w:lineRule="auto"/>
        <w:ind w:left="0"/>
        <w:jc w:val="left"/>
      </w:pPr>
      <w:r>
        <w:rPr>
          <w:rFonts w:ascii="Arial" w:hAnsi="Arial" w:eastAsia="Arial"/>
          <w:b/>
          <w:color w:val="B08D57"/>
          <w:sz w:val="19"/>
        </w:rPr>
        <w:t xml:space="preserve">05  </w:t>
      </w:r>
      <w:r>
        <w:rPr>
          <w:rFonts w:ascii="Arial" w:hAnsi="Arial" w:eastAsia="Arial"/>
          <w:b/>
          <w:color w:val="102A43"/>
          <w:sz w:val="19"/>
        </w:rPr>
        <w:t xml:space="preserve">Neuer Standort oder neuer Recruitingpartner  </w:t>
      </w:r>
      <w:r>
        <w:rPr>
          <w:rFonts w:ascii="Arial" w:hAnsi="Arial" w:eastAsia="Arial"/>
          <w:color w:val="243447"/>
          <w:sz w:val="19"/>
        </w:rPr>
        <w:t>Ein standardisierter Wohn- und Ankunftsprozess muss erstmals aufgebaut oder regional umgesetzt werden.</w:t>
      </w:r>
    </w:p>
    <w:p>
      <w:pPr>
        <w:pStyle w:val="Heading3"/>
        <w:keepNext/>
        <w:spacing w:after="30" w:before="70" w:line="240" w:lineRule="auto"/>
      </w:pPr>
      <w:r>
        <w:rPr>
          <w:rFonts w:ascii="Arial" w:hAnsi="Arial" w:eastAsia="Arial" w:cs="Arial"/>
          <w:b/>
          <w:color w:val="102A43"/>
          <w:sz w:val="20"/>
        </w:rPr>
        <w:t>Konsequenzen der Nichtbeauftragung</w:t>
      </w:r>
    </w:p>
    <w:p>
      <w:pPr>
        <w:pStyle w:val="BodyText"/>
        <w:spacing w:after="44" w:before="0" w:line="245" w:lineRule="auto"/>
        <w:jc w:val="left"/>
      </w:pPr>
      <w:r>
        <w:rPr>
          <w:rFonts w:ascii="Arial" w:hAnsi="Arial" w:eastAsia="Arial"/>
          <w:i w:val="0"/>
          <w:color w:val="243447"/>
          <w:sz w:val="19"/>
        </w:rPr>
        <w:t>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pPr>
        <w:pStyle w:val="Heading2"/>
        <w:keepNext/>
        <w:pBdr>
          <w:bottom w:val="single" w:sz="8" w:space="6" w:color="B08D57"/>
        </w:pBdr>
        <w:spacing w:after="50" w:before="100" w:line="240" w:lineRule="auto"/>
      </w:pPr>
      <w:r>
        <w:rPr>
          <w:rFonts w:ascii="Arial" w:hAnsi="Arial" w:eastAsia="Arial" w:cs="Arial"/>
          <w:b/>
          <w:color w:val="1E3A5F"/>
          <w:sz w:val="24"/>
        </w:rPr>
        <w:t>Buying Center und Entscheidungsprozess</w:t>
      </w:r>
    </w:p>
    <w:p>
      <w:pPr>
        <w:pStyle w:val="BodyText"/>
        <w:spacing w:after="44" w:before="0" w:line="245" w:lineRule="auto"/>
        <w:jc w:val="left"/>
      </w:pPr>
      <w:r>
        <w:rPr>
          <w:rFonts w:ascii="Arial" w:hAnsi="Arial" w:eastAsia="Arial"/>
          <w:i w:val="0"/>
          <w:color w:val="243447"/>
          <w:sz w:val="19"/>
        </w:rPr>
        <w:t>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100"/>
        <w:gridCol w:w="3750"/>
      </w:tblGrid>
      <w:tr>
        <w:trPr>
          <w:tblHeader/>
          <w:tblHeader w:val="true"/>
        </w:trPr>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Rolle</w:t>
            </w:r>
          </w:p>
        </w:tc>
        <w:tc>
          <w:tcPr>
            <w:tcW w:type="dxa" w:w="4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Interesse und Prüffrage</w:t>
            </w:r>
          </w:p>
        </w:tc>
        <w:tc>
          <w:tcPr>
            <w:tcW w:type="dxa" w:w="3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AMAVIO-Nachweis</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Geschäftsführung / Klinikleitung</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Ist das Vorhaben strategisch notwendig, wirtschaftlich vertretbar und reputationssicher?</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Business Case, Risikogrenzen, Meilensteine und Ergebnisreporting</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HR / Recruiting</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Starten die angeworbenen Personen planbar und sinkt die operative Einzelfallarbeit?</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Ankunftsplan, Statusübersicht, Eskalationsweg und feste Ansprechperson</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Pflegedirektion / Fachbereich</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Sind Beschäftigte zum Einsatzbeginn orientiert und wird die Station entlastet?</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Übergabeprozess, Erwartungsmanagement und definierte Schnittstelle zur fachlichen Einarbeitung</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Einkauf / Finanzen</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Sind Leistung, Preis, Zusatzkosten und Haftungsgrenzen eindeutig?</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Leistungsbeschreibung, Paketlogik, Angebotskalkulation und Abnahme</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Immobilien / Facility</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Sind Objekt, Nutzung, Möblierung, Übergabe und Dienstleister sauber koordiniert?</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Objektprüfung im Leistungsumfang, Aufgabenmatrix und Dokumentation</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Datenschutz / Recht</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Welche Daten werden verarbeitet und wer trägt welche Verantwortung?</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Datenminimierung, Rollenklärung, Vertraulichkeit und geprüfte Vertragsmuster</w:t>
            </w:r>
          </w:p>
        </w:tc>
      </w:tr>
    </w:tbl>
    <w:p>
      <w:pPr>
        <w:pStyle w:val="Heading3"/>
        <w:keepNext/>
        <w:spacing w:after="30" w:before="70" w:line="240" w:lineRule="auto"/>
      </w:pPr>
      <w:r>
        <w:rPr>
          <w:rFonts w:ascii="Arial" w:hAnsi="Arial" w:eastAsia="Arial" w:cs="Arial"/>
          <w:b/>
          <w:color w:val="102A43"/>
          <w:sz w:val="20"/>
        </w:rPr>
        <w:t>Typischer Beschaffungsweg</w:t>
      </w:r>
    </w:p>
    <w:p>
      <w:pPr>
        <w:spacing w:before="0" w:after="44" w:line="245" w:lineRule="auto"/>
        <w:ind w:left="0"/>
        <w:jc w:val="left"/>
      </w:pPr>
      <w:r>
        <w:rPr>
          <w:rFonts w:ascii="Arial" w:hAnsi="Arial" w:eastAsia="Arial"/>
          <w:b/>
          <w:color w:val="B08D57"/>
          <w:sz w:val="19"/>
        </w:rPr>
        <w:t xml:space="preserve">01  </w:t>
      </w:r>
      <w:r>
        <w:rPr>
          <w:rFonts w:ascii="Arial" w:hAnsi="Arial" w:eastAsia="Arial"/>
          <w:b/>
          <w:color w:val="102A43"/>
          <w:sz w:val="19"/>
        </w:rPr>
        <w:t xml:space="preserve">Qualifizierung  </w:t>
      </w:r>
      <w:r>
        <w:rPr>
          <w:rFonts w:ascii="Arial" w:hAnsi="Arial" w:eastAsia="Arial"/>
          <w:color w:val="243447"/>
          <w:sz w:val="19"/>
        </w:rPr>
        <w:t>Ankunftsvolumen, Standorte, Zieltermine, vorhandener Wohnraum, interne Ressourcen und Budgetweg werden in einem Erstgespräch geprüft.</w:t>
      </w:r>
    </w:p>
    <w:p>
      <w:pPr>
        <w:spacing w:before="0" w:after="44" w:line="245" w:lineRule="auto"/>
        <w:ind w:left="0"/>
        <w:jc w:val="left"/>
      </w:pPr>
      <w:r>
        <w:rPr>
          <w:rFonts w:ascii="Arial" w:hAnsi="Arial" w:eastAsia="Arial"/>
          <w:b/>
          <w:color w:val="B08D57"/>
          <w:sz w:val="19"/>
        </w:rPr>
        <w:t xml:space="preserve">02  </w:t>
      </w:r>
      <w:r>
        <w:rPr>
          <w:rFonts w:ascii="Arial" w:hAnsi="Arial" w:eastAsia="Arial"/>
          <w:b/>
          <w:color w:val="102A43"/>
          <w:sz w:val="19"/>
        </w:rPr>
        <w:t xml:space="preserve">Bedarfsworkshop  </w:t>
      </w:r>
      <w:r>
        <w:rPr>
          <w:rFonts w:ascii="Arial" w:hAnsi="Arial" w:eastAsia="Arial"/>
          <w:color w:val="243447"/>
          <w:sz w:val="19"/>
        </w:rPr>
        <w:t>AMAVIO erstellt eine belastbare Ausgangslage, Varianten, Verantwortlichkeiten und eine erste Zeit- und Kostenlogik.</w:t>
      </w:r>
    </w:p>
    <w:p>
      <w:pPr>
        <w:spacing w:before="0" w:after="44" w:line="245" w:lineRule="auto"/>
        <w:ind w:left="0"/>
        <w:jc w:val="left"/>
      </w:pPr>
      <w:r>
        <w:rPr>
          <w:rFonts w:ascii="Arial" w:hAnsi="Arial" w:eastAsia="Arial"/>
          <w:b/>
          <w:color w:val="B08D57"/>
          <w:sz w:val="19"/>
        </w:rPr>
        <w:t xml:space="preserve">03  </w:t>
      </w:r>
      <w:r>
        <w:rPr>
          <w:rFonts w:ascii="Arial" w:hAnsi="Arial" w:eastAsia="Arial"/>
          <w:b/>
          <w:color w:val="102A43"/>
          <w:sz w:val="19"/>
        </w:rPr>
        <w:t xml:space="preserve">Angebot und Freigabe  </w:t>
      </w:r>
      <w:r>
        <w:rPr>
          <w:rFonts w:ascii="Arial" w:hAnsi="Arial" w:eastAsia="Arial"/>
          <w:color w:val="243447"/>
          <w:sz w:val="19"/>
        </w:rPr>
        <w:t>Leistungsumfang, Ausschlüsse, Meilensteine, Vergütung, Fremdkosten und Entscheidungsrechte werden verbindlich beschrieben.</w:t>
      </w:r>
    </w:p>
    <w:p>
      <w:pPr>
        <w:spacing w:before="0" w:after="44" w:line="245" w:lineRule="auto"/>
        <w:ind w:left="0"/>
        <w:jc w:val="left"/>
      </w:pPr>
      <w:r>
        <w:rPr>
          <w:rFonts w:ascii="Arial" w:hAnsi="Arial" w:eastAsia="Arial"/>
          <w:b/>
          <w:color w:val="B08D57"/>
          <w:sz w:val="19"/>
        </w:rPr>
        <w:t xml:space="preserve">04  </w:t>
      </w:r>
      <w:r>
        <w:rPr>
          <w:rFonts w:ascii="Arial" w:hAnsi="Arial" w:eastAsia="Arial"/>
          <w:b/>
          <w:color w:val="102A43"/>
          <w:sz w:val="19"/>
        </w:rPr>
        <w:t xml:space="preserve">Pilotmandat  </w:t>
      </w:r>
      <w:r>
        <w:rPr>
          <w:rFonts w:ascii="Arial" w:hAnsi="Arial" w:eastAsia="Arial"/>
          <w:color w:val="243447"/>
          <w:sz w:val="19"/>
        </w:rPr>
        <w:t>Ein klar abgegrenzter Standort oder eine Ankunftsgruppe dient als erster Leistungsnachweis.</w:t>
      </w:r>
    </w:p>
    <w:p>
      <w:pPr>
        <w:spacing w:before="0" w:after="44" w:line="245" w:lineRule="auto"/>
        <w:ind w:left="0"/>
        <w:jc w:val="left"/>
      </w:pPr>
      <w:r>
        <w:rPr>
          <w:rFonts w:ascii="Arial" w:hAnsi="Arial" w:eastAsia="Arial"/>
          <w:b/>
          <w:color w:val="B08D57"/>
          <w:sz w:val="19"/>
        </w:rPr>
        <w:t xml:space="preserve">05  </w:t>
      </w:r>
      <w:r>
        <w:rPr>
          <w:rFonts w:ascii="Arial" w:hAnsi="Arial" w:eastAsia="Arial"/>
          <w:b/>
          <w:color w:val="102A43"/>
          <w:sz w:val="19"/>
        </w:rPr>
        <w:t xml:space="preserve">Rollout oder Managementvertrag  </w:t>
      </w:r>
      <w:r>
        <w:rPr>
          <w:rFonts w:ascii="Arial" w:hAnsi="Arial" w:eastAsia="Arial"/>
          <w:color w:val="243447"/>
          <w:sz w:val="19"/>
        </w:rPr>
        <w:t>Nach Abnahme des Piloten werden weitere Standorte, Gruppen oder laufende Leistungen standardisiert beauftragt.</w:t>
      </w:r>
    </w:p>
    <w:p>
      <w:pPr>
        <w:pStyle w:val="Heading3"/>
        <w:keepNext/>
        <w:spacing w:after="30" w:before="70" w:line="240" w:lineRule="auto"/>
      </w:pPr>
      <w:r>
        <w:rPr>
          <w:rFonts w:ascii="Arial" w:hAnsi="Arial" w:eastAsia="Arial" w:cs="Arial"/>
          <w:b/>
          <w:color w:val="102A43"/>
          <w:sz w:val="20"/>
        </w:rPr>
        <w:t>Go-/No-Go-Kriterien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3350"/>
        <w:gridCol w:w="3200"/>
      </w:tblGrid>
      <w:tr>
        <w:trPr>
          <w:tblHeader/>
          <w:tblHeader w:val="true"/>
        </w:trPr>
        <w:tc>
          <w:tcPr>
            <w:tcW w:type="dxa" w:w="3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Go</w:t>
            </w:r>
          </w:p>
        </w:tc>
        <w:tc>
          <w:tcPr>
            <w:tcW w:type="dxa" w:w="33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Klärungsbedarf</w:t>
            </w:r>
          </w:p>
        </w:tc>
        <w:tc>
          <w:tcPr>
            <w:tcW w:type="dxa" w:w="3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No-Go</w:t>
            </w:r>
          </w:p>
        </w:tc>
      </w:tr>
      <w:tr>
        <w:trPr>
          <w:cantSplit/>
        </w:trPr>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Verbindliche Ankünfte, benannter Entscheider, realistischer Termin, geklärter Budgetpfad</w:t>
            </w:r>
          </w:p>
        </w:tc>
        <w:tc>
          <w:tcPr>
            <w:tcW w:type="dxa" w:w="3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Unklares Volumen, fehlende Daten, mehrere Standorte ohne Priorisierung oder noch offene interne Freigabe</w:t>
            </w:r>
          </w:p>
        </w:tc>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 Auftraggeber, keine zulässige Nutzung, unrealistische Garantien oder nicht finanzierbare Fremdkosten</w:t>
            </w:r>
          </w:p>
        </w:tc>
      </w:tr>
      <w:tr>
        <w:trPr>
          <w:cantSplit/>
        </w:trPr>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Zugang zu HR, Einkauf und operativen Ansprechpartnern</w:t>
            </w:r>
          </w:p>
        </w:tc>
        <w:tc>
          <w:tcPr>
            <w:tcW w:type="dxa" w:w="3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Unklare Rollen zwischen Arbeitgeber, Recruiter, Vermieter und AMAVIO</w:t>
            </w:r>
          </w:p>
        </w:tc>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AMAVIO soll Rechts-, Visa-, Anerkennungs- oder Pflegeleistungen ohne befugte Partner übernehmen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4. Markt- und Wettbewerbsanalyse</w:t>
      </w:r>
    </w:p>
    <w:p>
      <w:pPr>
        <w:pStyle w:val="Heading2"/>
        <w:keepNext/>
        <w:pBdr>
          <w:bottom w:val="single" w:sz="8" w:space="6" w:color="B08D57"/>
        </w:pBdr>
        <w:spacing w:after="50" w:before="100" w:line="240" w:lineRule="auto"/>
      </w:pPr>
      <w:r>
        <w:rPr>
          <w:rFonts w:ascii="Arial" w:hAnsi="Arial" w:eastAsia="Arial" w:cs="Arial"/>
          <w:b/>
          <w:color w:val="1E3A5F"/>
          <w:sz w:val="24"/>
        </w:rPr>
        <w:t>Marktstruktur und Nachfragebelege</w:t>
      </w:r>
    </w:p>
    <w:p>
      <w:pPr>
        <w:pStyle w:val="BodyText"/>
        <w:spacing w:after="44" w:before="0" w:line="245" w:lineRule="auto"/>
        <w:jc w:val="left"/>
      </w:pPr>
      <w:r>
        <w:rPr>
          <w:rFonts w:ascii="Arial" w:hAnsi="Arial" w:eastAsia="Arial"/>
          <w:i w:val="0"/>
          <w:color w:val="243447"/>
          <w:sz w:val="19"/>
        </w:rPr>
        <w:t>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200"/>
        <w:gridCol w:w="3650"/>
      </w:tblGrid>
      <w:tr>
        <w:trPr>
          <w:tblHeader/>
          <w:tblHeader w:val="true"/>
        </w:trPr>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Marktsignal</w:t>
            </w:r>
          </w:p>
        </w:tc>
        <w:tc>
          <w:tcPr>
            <w:tcW w:type="dxa" w:w="4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Aktueller Beleg</w:t>
            </w:r>
          </w:p>
        </w:tc>
        <w:tc>
          <w:tcPr>
            <w:tcW w:type="dxa" w:w="3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Bedeutung für AMAVIO</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Struktureller Pflegebedarf</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Destatis erwartet bis 2049 eine rechnerische Lücke von mindestens 280.000 bis 690.000 Pflegekräften. [Q2]</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Internationale und überregionale Personalgewinnung bleibt langfristig relevant.</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Akuter Engpass</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Die Arbeitslosenquote von Pflegefachkräften lag 2025 bei nur 1,1 %; rund 31.000 Pflege-Stellenangebote waren im Jahresdurchschnitt gemeldet. [Q22]</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Arbeitgeber konkurrieren nicht nur über Vergütung, sondern über einen funktionierenden Arbeits- und Lebensstart.</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Wachsende Internationalität</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Der Anteil ausländischer Beschäftigter in Pflegeberufen stieg von 10 % im Jahr 2018 auf 18 % im Jahr 2024. [Q23]</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Wohnraum, Behördenorientierung und soziale Integration werden zu wiederkehrenden Arbeitgeberaufgaben.</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Angespannter Wohnungsmarkt</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Das BBSR beziffert den bundesweiten Neubaubedarf 2023 bis 2030 auf knapp 320.000 Wohnungen jährlich; 70 % entfallen auf Geschosswohnungen. [Q1]</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Gerade kleine, bezahlbare und arbeitsplatznahe Einheiten stehen in Konkurrenz zu breiter Haushaltsnachfrage.</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Großer NRW-Kernmarkt</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NRW zählte 2024 insgesamt 316 Krankenhäuser; dort arbeiteten 130.667 Personen im Pflegedienst. [Q24][Q25]</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Eine hohe Dichte potenzieller Kunden ist aus Düsseldorf ohne bundesweiten Fixkostenaufbau erreichbar.</w:t>
            </w:r>
          </w:p>
        </w:tc>
      </w:tr>
    </w:tbl>
    <w:p>
      <w:pPr>
        <w:pStyle w:val="BodyText"/>
        <w:spacing w:after="44" w:before="0" w:line="245" w:lineRule="auto"/>
        <w:jc w:val="left"/>
      </w:pPr>
      <w:r>
        <w:rPr>
          <w:rFonts w:ascii="Arial" w:hAnsi="Arial" w:eastAsia="Arial"/>
          <w:i w:val="0"/>
          <w:color w:val="243447"/>
          <w:sz w:val="19"/>
        </w:rPr>
        <w:t>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pPr>
        <w:pStyle w:val="Heading2"/>
        <w:keepNext/>
        <w:pBdr>
          <w:bottom w:val="single" w:sz="8" w:space="6" w:color="B08D57"/>
        </w:pBdr>
        <w:spacing w:after="50" w:before="100" w:line="240" w:lineRule="auto"/>
      </w:pPr>
      <w:r>
        <w:rPr>
          <w:rFonts w:ascii="Arial" w:hAnsi="Arial" w:eastAsia="Arial" w:cs="Arial"/>
          <w:b/>
          <w:color w:val="1E3A5F"/>
          <w:sz w:val="24"/>
        </w:rPr>
        <w:t>TAM, SAM und realistischer SOM</w:t>
      </w:r>
    </w:p>
    <w:p>
      <w:pPr>
        <w:pStyle w:val="BodyText"/>
        <w:spacing w:after="44" w:before="0" w:line="245" w:lineRule="auto"/>
        <w:jc w:val="left"/>
      </w:pPr>
      <w:r>
        <w:rPr>
          <w:rFonts w:ascii="Arial" w:hAnsi="Arial" w:eastAsia="Arial"/>
          <w:i w:val="0"/>
          <w:color w:val="243447"/>
          <w:sz w:val="19"/>
        </w:rPr>
        <w:t>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500"/>
        <w:gridCol w:w="3350"/>
      </w:tblGrid>
      <w:tr>
        <w:trPr>
          <w:tblHeader/>
          <w:tblHeader w:val="true"/>
        </w:trPr>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Ebene</w:t>
            </w:r>
          </w:p>
        </w:tc>
        <w:tc>
          <w:tcPr>
            <w:tcW w:type="dxa" w:w="4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Abgrenzung</w:t>
            </w:r>
          </w:p>
        </w:tc>
        <w:tc>
          <w:tcPr>
            <w:tcW w:type="dxa" w:w="33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Planungsgröße</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TAM – langfristiges Kundenuniversum</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Deutsche Krankenhäuser sowie größere stationäre und ambulante Pflegeanbieter; später weitere Arbeitgeber mit wiederkehrendem Workforce-Housing-Bedarf</w:t>
            </w:r>
          </w:p>
        </w:tc>
        <w:tc>
          <w:tcPr>
            <w:tcW w:type="dxa" w:w="3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Allein 1.841 Krankenhäuser im Jahr 2024; Pflege- und weitere Arbeitgeber erweitern das Universum deutlich. [Q27]</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SAM – operativ erreichbarer Startmarkt</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Krankenhäuser, Klinikgruppen, stationäre Pflegeanbieter und größere Träger in NRW mit konkreter internationaler oder überregionaler Rekrutierung</w:t>
            </w:r>
          </w:p>
        </w:tc>
        <w:tc>
          <w:tcPr>
            <w:tcW w:type="dxa" w:w="3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316 Krankenhäuser sowie 3.252 Pflegeheime und 3.205 ambulante Dienste als Standortbasis; Gruppenstrukturen und Eignung sind zu bereinigen. [Q24][Q28]</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SOM – Ziel der ersten 24 Monate</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Qualifizierte Mandate im erreichbaren Netzwerk und in priorisierten NRW-Korridoren</w:t>
            </w:r>
          </w:p>
        </w:tc>
        <w:tc>
          <w:tcPr>
            <w:tcW w:type="dxa" w:w="3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AMAVIO-Zielannahme: 8–12 bezahlte Projektmandate, daraus 2–4 wiederkehrende Management- oder Rolloutbeziehungen</w:t>
            </w:r>
          </w:p>
        </w:tc>
      </w:tr>
    </w:tbl>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EINORDNUNG  </w:t>
      </w:r>
      <w:r>
        <w:rPr>
          <w:rFonts w:ascii="Arial" w:hAnsi="Arial" w:eastAsia="Arial"/>
          <w:color w:val="243447"/>
          <w:sz w:val="19"/>
        </w:rPr>
        <w:t>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pPr>
        <w:pStyle w:val="Heading3"/>
        <w:keepNext/>
        <w:spacing w:after="30" w:before="70" w:line="240" w:lineRule="auto"/>
      </w:pPr>
      <w:r>
        <w:rPr>
          <w:rFonts w:ascii="Arial" w:hAnsi="Arial" w:eastAsia="Arial" w:cs="Arial"/>
          <w:b/>
          <w:color w:val="102A43"/>
          <w:sz w:val="20"/>
        </w:rPr>
        <w:t>Regionale Markteintrittslogik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950"/>
        <w:gridCol w:w="3200"/>
        <w:gridCol w:w="5600"/>
      </w:tblGrid>
      <w:tr>
        <w:trPr>
          <w:tblHeader/>
          <w:tblHeader w:val="true"/>
        </w:trPr>
        <w:tc>
          <w:tcPr>
            <w:tcW w:type="dxa" w:w="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Priorität</w:t>
            </w:r>
          </w:p>
        </w:tc>
        <w:tc>
          <w:tcPr>
            <w:tcW w:type="dxa" w:w="3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Korridor</w:t>
            </w:r>
          </w:p>
        </w:tc>
        <w:tc>
          <w:tcPr>
            <w:tcW w:type="dxa" w:w="5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Begründung</w:t>
            </w:r>
          </w:p>
        </w:tc>
      </w:tr>
      <w:tr>
        <w:trPr>
          <w:cantSplit/>
        </w:trPr>
        <w:tc>
          <w:tcPr>
            <w:tcW w:type="dxa" w:w="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w:t>
            </w:r>
          </w:p>
        </w:tc>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Düsseldorf · Köln · Bonn und jeweiliges Umland</w:t>
            </w:r>
          </w:p>
        </w:tc>
        <w:tc>
          <w:tcPr>
            <w:tcW w:type="dxa" w:w="5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Hohe Arbeitgeberdichte und internationales Recruiting treffen auf besonders angespannte und teure Wohnungsmärkte.</w:t>
            </w:r>
          </w:p>
        </w:tc>
      </w:tr>
      <w:tr>
        <w:trPr>
          <w:cantSplit/>
        </w:trPr>
        <w:tc>
          <w:tcPr>
            <w:tcW w:type="dxa" w:w="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w:t>
            </w:r>
          </w:p>
        </w:tc>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Ruhrgebiet: Essen · Duisburg · Bochum · Dortmund</w:t>
            </w:r>
          </w:p>
        </w:tc>
        <w:tc>
          <w:tcPr>
            <w:tcW w:type="dxa" w:w="5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Großer Gesundheits- und Pflegemarkt, kurze Distanzen und heterogene Wohnungsteilmärkte ermöglichen unterschiedliche Objektstrategien.</w:t>
            </w:r>
          </w:p>
        </w:tc>
      </w:tr>
      <w:tr>
        <w:trPr>
          <w:cantSplit/>
        </w:trPr>
        <w:tc>
          <w:tcPr>
            <w:tcW w:type="dxa" w:w="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w:t>
            </w:r>
          </w:p>
        </w:tc>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Niederrhein · Bergisches Land · südliches Rheinland</w:t>
            </w:r>
          </w:p>
        </w:tc>
        <w:tc>
          <w:tcPr>
            <w:tcW w:type="dxa" w:w="5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Gute Erreichbarkeit und potenziell geringere Objektkosten; Bedarf muss je Arbeitgeber und ÖPNV-Anbindung geprüft werden.</w:t>
            </w:r>
          </w:p>
        </w:tc>
      </w:tr>
      <w:tr>
        <w:trPr>
          <w:cantSplit/>
        </w:trPr>
        <w:tc>
          <w:tcPr>
            <w:tcW w:type="dxa" w:w="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C</w:t>
            </w:r>
          </w:p>
        </w:tc>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Übriges NRW und bundesweite Mandate</w:t>
            </w:r>
          </w:p>
        </w:tc>
        <w:tc>
          <w:tcPr>
            <w:tcW w:type="dxa" w:w="5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Bearbeitung zunächst nur bei Ankerkunden, Partnernetzwerk oder ausreichend großem Projektvolumen.</w:t>
            </w:r>
          </w:p>
        </w:tc>
      </w:tr>
    </w:tbl>
    <w:p>
      <w:pPr>
        <w:pStyle w:val="BodyText"/>
        <w:spacing w:after="44" w:before="0" w:line="245" w:lineRule="auto"/>
        <w:jc w:val="left"/>
      </w:pPr>
      <w:r>
        <w:rPr>
          <w:rFonts w:ascii="Arial" w:hAnsi="Arial" w:eastAsia="Arial"/>
          <w:i w:val="0"/>
          <w:color w:val="243447"/>
          <w:sz w:val="19"/>
        </w:rPr>
        <w:t>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pPr>
        <w:pStyle w:val="Heading2"/>
        <w:keepNext/>
        <w:pBdr>
          <w:bottom w:val="single" w:sz="8" w:space="6" w:color="B08D57"/>
        </w:pBdr>
        <w:spacing w:after="50" w:before="100" w:line="240" w:lineRule="auto"/>
      </w:pPr>
      <w:r>
        <w:rPr>
          <w:rFonts w:ascii="Arial" w:hAnsi="Arial" w:eastAsia="Arial" w:cs="Arial"/>
          <w:b/>
          <w:color w:val="1E3A5F"/>
          <w:sz w:val="24"/>
        </w:rPr>
        <w:t>Wettbewerb und Ersatzlösungen</w:t>
      </w:r>
    </w:p>
    <w:p>
      <w:pPr>
        <w:pStyle w:val="BodyText"/>
        <w:spacing w:after="44" w:before="0" w:line="245" w:lineRule="auto"/>
        <w:jc w:val="left"/>
      </w:pPr>
      <w:r>
        <w:rPr>
          <w:rFonts w:ascii="Arial" w:hAnsi="Arial" w:eastAsia="Arial"/>
          <w:i w:val="0"/>
          <w:color w:val="243447"/>
          <w:sz w:val="19"/>
        </w:rPr>
        <w:t>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50"/>
        <w:gridCol w:w="3400"/>
        <w:gridCol w:w="4400"/>
      </w:tblGrid>
      <w:tr>
        <w:trPr>
          <w:tblHeader/>
          <w:tblHeader w:val="true"/>
        </w:trPr>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Alternative</w:t>
            </w:r>
          </w:p>
        </w:tc>
        <w:tc>
          <w:tcPr>
            <w:tcW w:type="dxa" w:w="34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Stärke</w:t>
            </w:r>
          </w:p>
        </w:tc>
        <w:tc>
          <w:tcPr>
            <w:tcW w:type="dxa" w:w="44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Verbleibende Lücke</w:t>
            </w:r>
          </w:p>
        </w:tc>
      </w:tr>
      <w:tr>
        <w:trPr>
          <w:cantSplit/>
        </w:trPr>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Interne Eigenorganisation</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Direkte Kontrolle, vorhandenes Arbeitgeberwissen und keine externe Projektvergütung</w:t>
            </w:r>
          </w:p>
        </w:tc>
        <w:tc>
          <w:tcPr>
            <w:tcW w:type="dxa" w:w="4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Hoher Koordinationsaufwand, verteilte Verantwortung, geringe Skalierbarkeit und schwer messbare interne Kosten</w:t>
            </w:r>
          </w:p>
        </w:tc>
      </w:tr>
      <w:tr>
        <w:trPr>
          <w:cantSplit/>
        </w:trPr>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Relocation-Agenturen</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Visa-, Behörden-, Wohnungssuch- und Einlebensservices; teils bundesweite Erfahrung</w:t>
            </w:r>
          </w:p>
        </w:tc>
        <w:tc>
          <w:tcPr>
            <w:tcW w:type="dxa" w:w="4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Nicht immer Objektentwicklung, Möblierungssteuerung, Gruppenwohnen und arbeitgeberbezogenes Housing-Management aus einer Hand</w:t>
            </w:r>
          </w:p>
        </w:tc>
      </w:tr>
      <w:tr>
        <w:trPr>
          <w:cantSplit/>
        </w:trPr>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Möblierte Wohnplattformen / Corporate Housing</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Schnelle Verfügbarkeit, Online-Buchung und flexible Laufzeiten</w:t>
            </w:r>
          </w:p>
        </w:tc>
        <w:tc>
          <w:tcPr>
            <w:tcW w:type="dxa" w:w="4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Häufig Transaktions- oder Unterkunftsfokus ohne Gesamtprojekt, Integration und langfristige Arbeitgebersteuerung</w:t>
            </w:r>
          </w:p>
        </w:tc>
      </w:tr>
      <w:tr>
        <w:trPr>
          <w:cantSplit/>
        </w:trPr>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Makler und lokale Vermittler</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Lokale Marktkenntnis und Zugang zu einzelnen Objekten</w:t>
            </w:r>
          </w:p>
        </w:tc>
        <w:tc>
          <w:tcPr>
            <w:tcW w:type="dxa" w:w="4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Keine durchgängige Verantwortung für Bedarf, Möblierung, Einzug, Ankunftsgruppe, Reporting und Stabilisierung</w:t>
            </w:r>
          </w:p>
        </w:tc>
      </w:tr>
      <w:tr>
        <w:trPr>
          <w:cantSplit/>
        </w:trPr>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Beratungen Mitarbeiterwohnen</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Strategie-, Flächen- und Konzeptkompetenz für Arbeitgeber, Kommunen und Wohnungswirtschaft</w:t>
            </w:r>
          </w:p>
        </w:tc>
        <w:tc>
          <w:tcPr>
            <w:tcW w:type="dxa" w:w="4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Teilweise stärker konzeptionell als operativ; lokale Umsetzung und Arrival Management bleiben gesonderte Arbeitspakete</w:t>
            </w:r>
          </w:p>
        </w:tc>
      </w:tr>
      <w:tr>
        <w:trPr>
          <w:cantSplit/>
        </w:trPr>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Eigene Wohnheime / Bestände</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Hohe Kontrolle und langfristige Verfügbarkeit</w:t>
            </w:r>
          </w:p>
        </w:tc>
        <w:tc>
          <w:tcPr>
            <w:tcW w:type="dxa" w:w="4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Kapitalbindung, Instandhaltung, Belegungsrisiko und häufig fehlende Kapazität für zusätzliche Rekrutierungswellen</w:t>
            </w:r>
          </w:p>
        </w:tc>
      </w:tr>
    </w:tbl>
    <w:p>
      <w:pPr>
        <w:pStyle w:val="Heading3"/>
        <w:keepNext/>
        <w:spacing w:after="30" w:before="70" w:line="240" w:lineRule="auto"/>
      </w:pPr>
      <w:r>
        <w:rPr>
          <w:rFonts w:ascii="Arial" w:hAnsi="Arial" w:eastAsia="Arial" w:cs="Arial"/>
          <w:b/>
          <w:color w:val="102A43"/>
          <w:sz w:val="20"/>
        </w:rPr>
        <w:t>Relevante Benchmarks</w:t>
      </w:r>
    </w:p>
    <w:p>
      <w:pPr>
        <w:pStyle w:val="BodyText"/>
        <w:spacing w:after="44" w:before="0" w:line="245" w:lineRule="auto"/>
        <w:jc w:val="left"/>
      </w:pPr>
      <w:r>
        <w:rPr>
          <w:rFonts w:ascii="Arial" w:hAnsi="Arial" w:eastAsia="Arial"/>
          <w:i w:val="0"/>
          <w:color w:val="243447"/>
          <w:sz w:val="19"/>
        </w:rPr>
        <w:t>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pPr>
        <w:pStyle w:val="BodyText"/>
        <w:spacing w:after="44" w:before="0" w:line="245" w:lineRule="auto"/>
        <w:jc w:val="left"/>
      </w:pPr>
      <w:r>
        <w:rPr>
          <w:rFonts w:ascii="Arial" w:hAnsi="Arial" w:eastAsia="Arial"/>
          <w:i w:val="0"/>
          <w:color w:val="243447"/>
          <w:sz w:val="19"/>
        </w:rPr>
        <w:t>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pPr>
        <w:pStyle w:val="Heading2"/>
        <w:keepNext/>
        <w:pBdr>
          <w:bottom w:val="single" w:sz="8" w:space="6" w:color="B08D57"/>
        </w:pBdr>
        <w:spacing w:after="50" w:before="100" w:line="240" w:lineRule="auto"/>
      </w:pPr>
      <w:r>
        <w:rPr>
          <w:rFonts w:ascii="Arial" w:hAnsi="Arial" w:eastAsia="Arial" w:cs="Arial"/>
          <w:b/>
          <w:color w:val="1E3A5F"/>
          <w:sz w:val="24"/>
        </w:rPr>
        <w:t>Positionierung und verteidigbare Vorteile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3900"/>
        <w:gridCol w:w="3750"/>
      </w:tblGrid>
      <w:tr>
        <w:trPr>
          <w:tblHeader/>
          <w:tblHeader w:val="true"/>
        </w:trPr>
        <w:tc>
          <w:tcPr>
            <w:tcW w:type="dxa" w:w="2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Vorteil</w:t>
            </w:r>
          </w:p>
        </w:tc>
        <w:tc>
          <w:tcPr>
            <w:tcW w:type="dxa" w:w="3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Kundennutzen</w:t>
            </w:r>
          </w:p>
        </w:tc>
        <w:tc>
          <w:tcPr>
            <w:tcW w:type="dxa" w:w="3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Wie er aufgebaut wird</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Healthcare- und Immobilienkompetenz</w:t>
            </w:r>
          </w:p>
        </w:tc>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Übersetzung zwischen HR, Pflegebetrieb, Vermietern und Dienstleistern</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Referenzprojekte, Standards, Partnernetzwerk und dokumentierte Projekterfahrung</w:t>
            </w:r>
          </w:p>
        </w:tc>
      </w:tr>
      <w:tr>
        <w:trPr>
          <w:cantSplit/>
        </w:trPr>
        <w:tc>
          <w:tcPr>
            <w:tcW w:type="dxa" w:w="2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Ein verantworteter Prozess</w:t>
            </w:r>
          </w:p>
        </w:tc>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Weniger Schnittstellen und ein klarer Status von Bedarf bis Stabilisierung</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Projektplan, RACI, Checklisten, Abnahmen, Eskalationslogik und Reporting</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Kapitalarmer Einstieg</w:t>
            </w:r>
          </w:p>
        </w:tc>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Kunde kann Leistungen projektbezogen einkaufen, ohne dass AMAVIO vorschnell Bestandsrisiken aufbaut</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Projektmandate zuerst; Eigenbetrieb nur bei gesicherter Nachfrage und Liquidität</w:t>
            </w:r>
          </w:p>
        </w:tc>
      </w:tr>
      <w:tr>
        <w:trPr>
          <w:cantSplit/>
        </w:trPr>
        <w:tc>
          <w:tcPr>
            <w:tcW w:type="dxa" w:w="2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Lokales Angebotsnetzwerk</w:t>
            </w:r>
          </w:p>
        </w:tc>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Schnellere Beschaffung und verlässlichere Umsetzung je Zielregion</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Vermieter-, Makler-, Handwerker-, Möblierungs- und Community-Partner mit Qualitätskriterien</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Daten- und Lernsystem</w:t>
            </w:r>
          </w:p>
        </w:tc>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Wiederholbare Abläufe und zunehmend belastbare Zeit-, Kosten- und Qualitätswerte</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CRM, Objektpipeline, SLA-/KPI-Daten, Feedback und strukturierte Projektnachkalkulation</w:t>
            </w:r>
          </w:p>
        </w:tc>
      </w:tr>
    </w:tbl>
    <w:p>
      <w:pPr>
        <w:pStyle w:val="Heading3"/>
        <w:keepNext/>
        <w:spacing w:after="30" w:before="70" w:line="240" w:lineRule="auto"/>
      </w:pPr>
      <w:r>
        <w:rPr>
          <w:rFonts w:ascii="Arial" w:hAnsi="Arial" w:eastAsia="Arial" w:cs="Arial"/>
          <w:b/>
          <w:color w:val="102A43"/>
          <w:sz w:val="20"/>
        </w:rPr>
        <w:t>Markteintrittsbarrieren und Reaktion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650"/>
        <w:gridCol w:w="4100"/>
      </w:tblGrid>
      <w:tr>
        <w:trPr>
          <w:tblHeader/>
          <w:tblHeader w:val="true"/>
        </w:trPr>
        <w:tc>
          <w:tcPr>
            <w:tcW w:type="dxa" w:w="2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Barriere</w:t>
            </w:r>
          </w:p>
        </w:tc>
        <w:tc>
          <w:tcPr>
            <w:tcW w:type="dxa" w:w="3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Risiko</w:t>
            </w:r>
          </w:p>
        </w:tc>
        <w:tc>
          <w:tcPr>
            <w:tcW w:type="dxa" w:w="4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AMAVIO-Reaktion</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Vertrauen und Referenzen</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Arbeitgeber vergeben sensible Ankunftsprozesse nicht allein auf Basis eines Konzepts.</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Eng abgegrenzter Pilot, klarer Leistungsnachweis, Referenzen und transparente Verantwortungsgrenzen</w:t>
            </w:r>
          </w:p>
        </w:tc>
      </w:tr>
      <w:tr>
        <w:trPr>
          <w:cantSplit/>
        </w:trPr>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Objektzugang</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Wohnraum kann kurzfristig fehlen oder wirtschaftlich ungeeignet sein.</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Mehrkanalige Pipeline, Alternativobjekte, keine Verfügbarkeitsgarantie ohne gesicherten Bestand</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 und Nutzung</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Untervermietung, Zweckentfremdung, Nutzungsänderung oder Datenschutz können Projekte begrenzen.</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Frühe Prüfpunkte und Zusammenarbeit mit befugten Rechts-, Steuer- und Fachplanungsberatern</w:t>
            </w:r>
          </w:p>
        </w:tc>
      </w:tr>
      <w:tr>
        <w:trPr>
          <w:cantSplit/>
        </w:trPr>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Kapital und Belegung</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Eigene Anmietungen erzeugen Fixkosten und Leerstandsrisiken.</w:t>
            </w:r>
          </w:p>
        </w:tc>
        <w:tc>
          <w:tcPr>
            <w:tcW w:type="dxa" w:w="4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Projektgeschäft priorisieren; Betreiberentscheidungen nur nach Nachfrage-, Liquiditäts- und Exit-Prüfung</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Nachahmbarkeit einzelner Services</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Wohnungssuche oder Welcome-Leistungen lassen sich kopieren.</w:t>
            </w:r>
          </w:p>
        </w:tc>
        <w:tc>
          <w:tcPr>
            <w:tcW w:type="dxa" w:w="4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Vorsprung über Netzwerk, Prozessdaten, Ausführungserfahrung, Kundenintegration und wiederkehrende Verträge</w:t>
            </w:r>
          </w:p>
        </w:tc>
      </w:tr>
    </w:tbl>
    <w:p>
      <w:pPr>
        <w:pStyle w:val="Heading3"/>
        <w:keepNext/>
        <w:spacing w:after="30" w:before="70" w:line="240" w:lineRule="auto"/>
      </w:pPr>
      <w:r>
        <w:rPr>
          <w:rFonts w:ascii="Arial" w:hAnsi="Arial" w:eastAsia="Arial" w:cs="Arial"/>
          <w:b/>
          <w:color w:val="102A43"/>
          <w:sz w:val="20"/>
        </w:rPr>
        <w:t>Strategische Schlussfolgerung</w:t>
      </w:r>
    </w:p>
    <w:p>
      <w:pPr>
        <w:pStyle w:val="BodyText"/>
        <w:spacing w:after="44" w:before="0" w:line="245" w:lineRule="auto"/>
        <w:jc w:val="left"/>
      </w:pPr>
      <w:r>
        <w:rPr>
          <w:rFonts w:ascii="Arial" w:hAnsi="Arial" w:eastAsia="Arial"/>
          <w:i w:val="0"/>
          <w:color w:val="243447"/>
          <w:sz w:val="19"/>
        </w:rPr>
        <w:t>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MARKTENTSCHEIDUNG  </w:t>
      </w:r>
      <w:r>
        <w:rPr>
          <w:rFonts w:ascii="Arial" w:hAnsi="Arial" w:eastAsia="Arial"/>
          <w:color w:val="243447"/>
          <w:sz w:val="19"/>
        </w:rPr>
        <w:t>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pPr>
        <w:pStyle w:val="Heading1"/>
        <w:keepNext/>
        <w:spacing w:before="140" w:after="80" w:line="240" w:lineRule="auto"/>
        <w:pBdr>
          <w:bottom w:val="single" w:sz="8" w:space="6" w:color="B08D57"/>
        </w:pBdr>
      </w:pPr>
      <w:r>
        <w:rPr>
          <w:rFonts w:ascii="Arial" w:hAnsi="Arial" w:eastAsia="Arial" w:cs="Arial"/>
          <w:b/>
          <w:color w:val="102A43"/>
          <w:sz w:val="32"/>
        </w:rPr>
        <w:t>5. Vertriebs- und Marketingstrategie</w:t>
      </w:r>
    </w:p>
    <w:p>
      <w:pPr>
        <w:pStyle w:val="Heading2"/>
        <w:keepNext/>
        <w:pBdr>
          <w:bottom w:val="single" w:sz="8" w:space="6" w:color="B08D57"/>
        </w:pBdr>
        <w:spacing w:after="50" w:before="100" w:line="240" w:lineRule="auto"/>
      </w:pPr>
      <w:r>
        <w:rPr>
          <w:rFonts w:ascii="Arial" w:hAnsi="Arial" w:eastAsia="Arial" w:cs="Arial"/>
          <w:b/>
          <w:color w:val="1E3A5F"/>
          <w:sz w:val="24"/>
        </w:rPr>
        <w:t>Markteintritt: Vertrauen vor Reichweite</w:t>
      </w:r>
    </w:p>
    <w:p>
      <w:pPr>
        <w:pStyle w:val="BodyText"/>
        <w:spacing w:after="44" w:before="0" w:line="245" w:lineRule="auto"/>
        <w:jc w:val="left"/>
      </w:pPr>
      <w:r>
        <w:rPr>
          <w:rFonts w:ascii="Arial" w:hAnsi="Arial" w:eastAsia="Arial"/>
          <w:i w:val="0"/>
          <w:color w:val="243447"/>
          <w:sz w:val="19"/>
        </w:rPr>
        <w:t>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pPr>
        <w:pStyle w:val="BodyText"/>
        <w:spacing w:after="44" w:before="0" w:line="245" w:lineRule="auto"/>
        <w:jc w:val="left"/>
      </w:pPr>
      <w:r>
        <w:rPr>
          <w:rFonts w:ascii="Arial" w:hAnsi="Arial" w:eastAsia="Arial"/>
          <w:i w:val="0"/>
          <w:color w:val="243447"/>
          <w:sz w:val="19"/>
        </w:rPr>
        <w:t>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VERTRIEBSVERSPRECHEN  </w:t>
      </w:r>
      <w:r>
        <w:rPr>
          <w:rFonts w:ascii="Arial" w:hAnsi="Arial" w:eastAsia="Arial"/>
          <w:color w:val="243447"/>
          <w:sz w:val="19"/>
        </w:rPr>
        <w:t>AMAVIO schafft einen verantworteten Prozess zwischen bestätigter Personalankunft und stabilem Alltag: mit transparentem Projektstatus, einer umsetzbaren Wohnraumstrategie, koordinierten Partnern und einem festen Ansprechpartner für den Arbeitgeber.</w:t>
      </w:r>
    </w:p>
    <w:p>
      <w:pPr>
        <w:pStyle w:val="Heading3"/>
        <w:keepNext/>
        <w:spacing w:after="30" w:before="70" w:line="240" w:lineRule="auto"/>
      </w:pPr>
      <w:r>
        <w:rPr>
          <w:rFonts w:ascii="Arial" w:hAnsi="Arial" w:eastAsia="Arial" w:cs="Arial"/>
          <w:b/>
          <w:color w:val="102A43"/>
          <w:sz w:val="20"/>
        </w:rPr>
        <w:t>Kommerzielle Zielsetzung der ersten 24 Monate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50"/>
        <w:gridCol w:w="4650"/>
        <w:gridCol w:w="3450"/>
      </w:tblGrid>
      <w:tr>
        <w:trPr>
          <w:tblHeader/>
          <w:tblHeader w:val="true"/>
        </w:trPr>
        <w:tc>
          <w:tcPr>
            <w:tcW w:type="dxa" w:w="1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Zeitraum</w:t>
            </w:r>
          </w:p>
        </w:tc>
        <w:tc>
          <w:tcPr>
            <w:tcW w:type="dxa" w:w="4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Vertriebsziel</w:t>
            </w:r>
          </w:p>
        </w:tc>
        <w:tc>
          <w:tcPr>
            <w:tcW w:type="dxa" w:w="3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Nachweis</w:t>
            </w:r>
          </w:p>
        </w:tc>
      </w:tr>
      <w:tr>
        <w:trPr>
          <w:cantSplit/>
        </w:trPr>
        <w:tc>
          <w:tcPr>
            <w:tcW w:type="dxa" w:w="1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0–6 Monate</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Netzwerk reaktivieren, 40–60 Zielaccounts qualifizieren und erste bezahlte Blueprints oder klar begrenzte Launch-Piloten gewinnen</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CRM, Gesprächsnotizen, Bedarfsdaten, Angebote und mindestens ein Referenzprojekt</w:t>
            </w:r>
          </w:p>
        </w:tc>
      </w:tr>
      <w:tr>
        <w:trPr>
          <w:cantSplit/>
        </w:trPr>
        <w:tc>
          <w:tcPr>
            <w:tcW w:type="dxa" w:w="1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7–12 Monate</w:t>
            </w:r>
          </w:p>
        </w:tc>
        <w:tc>
          <w:tcPr>
            <w:tcW w:type="dxa" w:w="4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Wiederholbare Ansprache etablieren, 3–5 bezahlte Mandate kumuliert und erste Anschlussbeauftragung erreichen</w:t>
            </w:r>
          </w:p>
        </w:tc>
        <w:tc>
          <w:tcPr>
            <w:tcW w:type="dxa" w:w="3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Konversionsdaten, Projekt-KPIs, Testimonial bzw. freigegebene Fallstudie</w:t>
            </w:r>
          </w:p>
        </w:tc>
      </w:tr>
      <w:tr>
        <w:trPr>
          <w:cantSplit/>
        </w:trPr>
        <w:tc>
          <w:tcPr>
            <w:tcW w:type="dxa" w:w="1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13–24 Monate</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8–12 Projektmandate kumuliert und 2–4 wiederkehrende Management- oder Rolloutbeziehungen aufbauen</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Rahmenvertrag, Folgeauftrag, planbare Pipeline und belastbare Nachkalkulation</w:t>
            </w:r>
          </w:p>
        </w:tc>
      </w:tr>
    </w:tbl>
    <w:p>
      <w:pPr>
        <w:pStyle w:val="BodyText"/>
        <w:spacing w:after="44" w:before="0" w:line="245" w:lineRule="auto"/>
        <w:jc w:val="left"/>
      </w:pPr>
      <w:r>
        <w:rPr>
          <w:rFonts w:ascii="Arial" w:hAnsi="Arial" w:eastAsia="Arial"/>
          <w:i w:val="0"/>
          <w:color w:val="243447"/>
          <w:sz w:val="19"/>
        </w:rPr>
        <w:t>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pPr>
        <w:pStyle w:val="Heading2"/>
        <w:keepNext/>
        <w:pBdr>
          <w:bottom w:val="single" w:sz="8" w:space="6" w:color="B08D57"/>
        </w:pBdr>
        <w:spacing w:after="50" w:before="100" w:line="240" w:lineRule="auto"/>
      </w:pPr>
      <w:r>
        <w:rPr>
          <w:rFonts w:ascii="Arial" w:hAnsi="Arial" w:eastAsia="Arial" w:cs="Arial"/>
          <w:b/>
          <w:color w:val="1E3A5F"/>
          <w:sz w:val="24"/>
        </w:rPr>
        <w:t>Account-Auswahl und Vertriebspriorität</w:t>
      </w:r>
    </w:p>
    <w:p>
      <w:pPr>
        <w:pStyle w:val="BodyText"/>
        <w:spacing w:after="44" w:before="0" w:line="245" w:lineRule="auto"/>
        <w:jc w:val="left"/>
      </w:pPr>
      <w:r>
        <w:rPr>
          <w:rFonts w:ascii="Arial" w:hAnsi="Arial" w:eastAsia="Arial"/>
          <w:i w:val="0"/>
          <w:color w:val="243447"/>
          <w:sz w:val="19"/>
        </w:rPr>
        <w:t>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000"/>
        <w:gridCol w:w="1050"/>
        <w:gridCol w:w="5700"/>
      </w:tblGrid>
      <w:tr>
        <w:trPr>
          <w:tblHeader/>
          <w:tblHeader w:val="true"/>
        </w:trPr>
        <w:tc>
          <w:tcPr>
            <w:tcW w:type="dxa" w:w="3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Kriterium</w:t>
            </w:r>
          </w:p>
        </w:tc>
        <w:tc>
          <w:tcPr>
            <w:tcW w:type="dxa" w:w="1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Gewicht</w:t>
            </w:r>
          </w:p>
        </w:tc>
        <w:tc>
          <w:tcPr>
            <w:tcW w:type="dxa" w:w="5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Prüfzeichen</w:t>
            </w:r>
          </w:p>
        </w:tc>
      </w:tr>
      <w:tr>
        <w:trPr>
          <w:cantSplit/>
        </w:trPr>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Bestätigte Ankünfte in den nächsten 12 Monaten</w:t>
            </w:r>
          </w:p>
        </w:tc>
        <w:tc>
          <w:tcPr>
            <w:tcW w:type="dxa" w:w="1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25 %</w:t>
            </w:r>
          </w:p>
        </w:tc>
        <w:tc>
          <w:tcPr>
            <w:tcW w:type="dxa" w:w="5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Zahl, Profile, Standort und geplanter Arbeitsbeginn sind konkret</w:t>
            </w:r>
          </w:p>
        </w:tc>
      </w:tr>
      <w:tr>
        <w:trPr>
          <w:cantSplit/>
        </w:trPr>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Wohnraum- und Integrationslücke</w:t>
            </w:r>
          </w:p>
        </w:tc>
        <w:tc>
          <w:tcPr>
            <w:tcW w:type="dxa" w:w="1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20 %</w:t>
            </w:r>
          </w:p>
        </w:tc>
        <w:tc>
          <w:tcPr>
            <w:tcW w:type="dxa" w:w="5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 ausreichender Bestand, hohe Übergangskosten oder überlastete Eigenorganisation</w:t>
            </w:r>
          </w:p>
        </w:tc>
      </w:tr>
      <w:tr>
        <w:trPr>
          <w:cantSplit/>
        </w:trPr>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Zugang zum Buying Center</w:t>
            </w:r>
          </w:p>
        </w:tc>
        <w:tc>
          <w:tcPr>
            <w:tcW w:type="dxa" w:w="1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15 %</w:t>
            </w:r>
          </w:p>
        </w:tc>
        <w:tc>
          <w:tcPr>
            <w:tcW w:type="dxa" w:w="5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Kontakt zu HR/Recruiting plus Entscheider, Einkauf oder operativer Leitung</w:t>
            </w:r>
          </w:p>
        </w:tc>
      </w:tr>
      <w:tr>
        <w:trPr>
          <w:cantSplit/>
        </w:trPr>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Budget- und Beschaffungsfähigkeit</w:t>
            </w:r>
          </w:p>
        </w:tc>
        <w:tc>
          <w:tcPr>
            <w:tcW w:type="dxa" w:w="1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15 %</w:t>
            </w:r>
          </w:p>
        </w:tc>
        <w:tc>
          <w:tcPr>
            <w:tcW w:type="dxa" w:w="5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Budgetpfad, Freigabestufe und Vertragspartei sind grundsätzlich klärbar</w:t>
            </w:r>
          </w:p>
        </w:tc>
      </w:tr>
      <w:tr>
        <w:trPr>
          <w:cantSplit/>
        </w:trPr>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Standort- und Objektmachbarkeit</w:t>
            </w:r>
          </w:p>
        </w:tc>
        <w:tc>
          <w:tcPr>
            <w:tcW w:type="dxa" w:w="1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15 %</w:t>
            </w:r>
          </w:p>
        </w:tc>
        <w:tc>
          <w:tcPr>
            <w:tcW w:type="dxa" w:w="5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Suchradius, Schichtweg und verfügbare Wohnalternativen erscheinen realistisch</w:t>
            </w:r>
          </w:p>
        </w:tc>
      </w:tr>
      <w:tr>
        <w:trPr>
          <w:cantSplit/>
        </w:trPr>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Referenz- und Rolloutpotenzial</w:t>
            </w:r>
          </w:p>
        </w:tc>
        <w:tc>
          <w:tcPr>
            <w:tcW w:type="dxa" w:w="1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10 %</w:t>
            </w:r>
          </w:p>
        </w:tc>
        <w:tc>
          <w:tcPr>
            <w:tcW w:type="dxa" w:w="5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Weitere Gruppen, Standorte oder öffentlich nutzbare Referenz sind möglich</w:t>
            </w:r>
          </w:p>
        </w:tc>
      </w:tr>
    </w:tbl>
    <w:p>
      <w:pPr>
        <w:pStyle w:val="BodyText"/>
        <w:spacing w:after="44" w:before="0" w:line="245" w:lineRule="auto"/>
        <w:jc w:val="left"/>
      </w:pPr>
      <w:r>
        <w:rPr>
          <w:rFonts w:ascii="Arial" w:hAnsi="Arial" w:eastAsia="Arial"/>
          <w:i w:val="0"/>
          <w:color w:val="243447"/>
          <w:sz w:val="19"/>
        </w:rPr>
        <w:t>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pPr>
        <w:pStyle w:val="Heading3"/>
        <w:keepNext/>
        <w:spacing w:after="30" w:before="70" w:line="240" w:lineRule="auto"/>
      </w:pPr>
      <w:r>
        <w:rPr>
          <w:rFonts w:ascii="Arial" w:hAnsi="Arial" w:eastAsia="Arial" w:cs="Arial"/>
          <w:b/>
          <w:color w:val="102A43"/>
          <w:sz w:val="20"/>
        </w:rPr>
        <w:t>Vertriebswege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00"/>
        <w:gridCol w:w="3800"/>
      </w:tblGrid>
      <w:tr>
        <w:trPr>
          <w:tblHeader/>
          <w:tblHeader w:val="true"/>
        </w:trPr>
        <w:tc>
          <w:tcPr>
            <w:tcW w:type="dxa" w:w="23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Kanal</w:t>
            </w:r>
          </w:p>
        </w:tc>
        <w:tc>
          <w:tcPr>
            <w:tcW w:type="dxa" w:w="3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Funktion</w:t>
            </w:r>
          </w:p>
        </w:tc>
        <w:tc>
          <w:tcPr>
            <w:tcW w:type="dxa" w:w="3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Einsatz im Start</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Bestehendes Healthcare-Netzwerk</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Warmer Zugang zu Klinikleitungen, HR, Recruiting und Trägern</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Primär: persönliche Einführung, Bedarfsgespräch, Standortbesuch</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Founder-led Direktvertrieb</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Gezielte Ansprache priorisierter Accounts mit konkreter Hypothese</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Primär: E-Mail, Telefon, LinkedIn und persönliche Termine</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Recruiting- und Relocationpartner</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Zugang zu bestätigten Ankunftsgruppen und regionalen Umsetzungslücken</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Selektiv: klare Kundenzuordnung, Vergütung und Datenrollen</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Immobilien- und Umsetzungspartner</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Objektzugang, lokale Leistungsfähigkeit und gemeinsame Projektchancen</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Parallel: Vermieter, Makler, Wohnungsunternehmen, Möbel, Handwerk</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Fachbeiträge und Veranstaltungen</w:t>
            </w:r>
          </w:p>
        </w:tc>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Vertrauensaufbau durch praktische, belegte Inhalte</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Unterstützend: Fallstudien, Checklisten, Webinare, Klinik- und Pflegenetzwerke</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Vergaben und Ausschreibungen</w:t>
            </w:r>
          </w:p>
        </w:tc>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Zugang zu größeren oder öffentlichen Auftraggebern</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Selektiv: nur bei passender Eignung, Referenzlage und vertretbarem Aufwand</w:t>
            </w:r>
          </w:p>
        </w:tc>
      </w:tr>
    </w:tbl>
    <w:p>
      <w:pPr>
        <w:pStyle w:val="Heading2"/>
        <w:keepNext/>
        <w:pBdr>
          <w:bottom w:val="single" w:sz="8" w:space="6" w:color="B08D57"/>
        </w:pBdr>
        <w:spacing w:after="50" w:before="100" w:line="240" w:lineRule="auto"/>
      </w:pPr>
      <w:r>
        <w:rPr>
          <w:rFonts w:ascii="Arial" w:hAnsi="Arial" w:eastAsia="Arial" w:cs="Arial"/>
          <w:b/>
          <w:color w:val="1E3A5F"/>
          <w:sz w:val="24"/>
        </w:rPr>
        <w:t>Botschaft und vertriebsfähige Nachweise</w:t>
      </w:r>
    </w:p>
    <w:p>
      <w:pPr>
        <w:pStyle w:val="BodyText"/>
        <w:spacing w:after="44" w:before="0" w:line="245" w:lineRule="auto"/>
        <w:jc w:val="left"/>
      </w:pPr>
      <w:r>
        <w:rPr>
          <w:rFonts w:ascii="Arial" w:hAnsi="Arial" w:eastAsia="Arial"/>
          <w:i w:val="0"/>
          <w:color w:val="243447"/>
          <w:sz w:val="19"/>
        </w:rPr>
        <w:t>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4500"/>
        <w:gridCol w:w="2800"/>
      </w:tblGrid>
      <w:tr>
        <w:trPr>
          <w:tblHeader/>
          <w:tblHeader w:val="true"/>
        </w:trPr>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Vertriebsbaustein</w:t>
            </w:r>
          </w:p>
        </w:tc>
        <w:tc>
          <w:tcPr>
            <w:tcW w:type="dxa" w:w="4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Inhalt</w:t>
            </w:r>
          </w:p>
        </w:tc>
        <w:tc>
          <w:tcPr>
            <w:tcW w:type="dxa" w:w="2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Einsatz</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Management-One-Pager</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Problem, Prozess, drei Leistungspakete, Ergebnisse und klare Leistungsgrenzen</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Erstkontakt und interne Weiterleitung</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Bedarfs-Check</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Ankünfte, Standorte, Zeit, Bestand, interne Rollen, Kostenblöcke und Risiken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30–45-minütiges Qualifizierungsgespräch</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Pilotangebot</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Leistungsumfang, Meilensteine, Fremdkosten, Mitwirkung, Annahmen und Abnahme</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Verbindliche Entscheidung</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Business-Case-Arbeitsblatt</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Interne Stunden, Übergangswohnen, Verzögerungen und tatsächliche Fallkosten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Kundenspezifische Wirtschaftlichkeitsprüfung</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Leistungs- und Sicherheitsakte</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RACI, Datenschutzrollen, Eskalation, Versicherungen und Fachpartner</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Einkauf, Recht und Datenschutz</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Fallstudie / Referenz</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Ausgangslage, Umsetzung, KPI-Vorher/Nachher und Kundenfreigabe</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Vertrauensaufbau und Rollout</w:t>
            </w:r>
          </w:p>
        </w:tc>
      </w:tr>
    </w:tbl>
    <w:p>
      <w:pPr>
        <w:pStyle w:val="BodyText"/>
        <w:spacing w:after="44" w:before="0" w:line="245" w:lineRule="auto"/>
        <w:jc w:val="left"/>
      </w:pPr>
      <w:r>
        <w:rPr>
          <w:rFonts w:ascii="Arial" w:hAnsi="Arial" w:eastAsia="Arial"/>
          <w:i w:val="0"/>
          <w:color w:val="243447"/>
          <w:sz w:val="19"/>
        </w:rPr>
        <w:t>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pPr>
        <w:pStyle w:val="Heading2"/>
        <w:keepNext/>
        <w:pBdr>
          <w:bottom w:val="single" w:sz="8" w:space="6" w:color="B08D57"/>
        </w:pBdr>
        <w:spacing w:after="50" w:before="100" w:line="240" w:lineRule="auto"/>
      </w:pPr>
      <w:r>
        <w:rPr>
          <w:rFonts w:ascii="Arial" w:hAnsi="Arial" w:eastAsia="Arial" w:cs="Arial"/>
          <w:b/>
          <w:color w:val="1E3A5F"/>
          <w:sz w:val="24"/>
        </w:rPr>
        <w:t>Vertriebstrichter und Pilotabschluss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blHeader w:val="true"/>
        </w:trPr>
        <w:tc>
          <w:tcPr>
            <w:tcW w:type="dxa" w:w="1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Stufe</w:t>
            </w:r>
          </w:p>
        </w:tc>
        <w:tc>
          <w:tcPr>
            <w:tcW w:type="dxa" w:w="4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Pflichtkriterium</w:t>
            </w:r>
          </w:p>
        </w:tc>
        <w:tc>
          <w:tcPr>
            <w:tcW w:type="dxa" w:w="3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Nächster Schritt</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 · Zielaccount</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ICP- und Score-Kriterien grundsätzlich erfüllt</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Personen im Buying Center recherchieren und Ansprachehypothese formulieren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 · Erstkontakt</w:t>
            </w:r>
          </w:p>
        </w:tc>
        <w:tc>
          <w:tcPr>
            <w:tcW w:type="dxa" w:w="4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Relevante Rolle reagiert oder Einführung ist bestätigt</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Qualifizierungstermin vereinbaren</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 · Qualifiziert</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Ankunft, Standort, Problem, Entscheider und Zeitfenster sind konkret</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Bedarfsworkshop anbieten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4 · Opportunity</w:t>
            </w:r>
          </w:p>
        </w:tc>
        <w:tc>
          <w:tcPr>
            <w:tcW w:type="dxa" w:w="4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Budgetpfad und Beschaffungsweg sind bekannt; Projekt ist grundsätzlich machbar</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Leistungsumfang und Pilot kalkulieren</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 · Angebot</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Entscheidungstermin, Vertragspartei und offene Punkte sind dokumentiert</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Freigabe, Verhandlung oder begründeter Verlust</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6 · Gewonnen</w:t>
            </w:r>
          </w:p>
        </w:tc>
        <w:tc>
          <w:tcPr>
            <w:tcW w:type="dxa" w:w="4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Unterzeichneter Auftrag, Ansprechpartner und Kick-off-Termin</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Saubere Übergabe an Projektsteuerung</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7 · Ausbau</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Pilot abgenommen und Nutzen dokumentiert</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Folgegruppe, Standort oder Housing &amp; Arrival Office</w:t>
            </w:r>
          </w:p>
        </w:tc>
      </w:tr>
    </w:tbl>
    <w:p>
      <w:pPr>
        <w:pStyle w:val="Heading3"/>
        <w:keepNext/>
        <w:spacing w:after="30" w:before="70" w:line="240" w:lineRule="auto"/>
      </w:pPr>
      <w:r>
        <w:rPr>
          <w:rFonts w:ascii="Arial" w:hAnsi="Arial" w:eastAsia="Arial" w:cs="Arial"/>
          <w:b/>
          <w:color w:val="102A43"/>
          <w:sz w:val="20"/>
        </w:rPr>
        <w:t>Planannahmen für die Vertriebssteuerung</w:t>
      </w:r>
    </w:p>
    <w:p>
      <w:pPr>
        <w:pStyle w:val="BodyText"/>
        <w:spacing w:after="44" w:before="0" w:line="245" w:lineRule="auto"/>
        <w:jc w:val="left"/>
      </w:pPr>
      <w:r>
        <w:rPr>
          <w:rFonts w:ascii="Arial" w:hAnsi="Arial" w:eastAsia="Arial"/>
          <w:i w:val="0"/>
          <w:color w:val="243447"/>
          <w:sz w:val="19"/>
        </w:rPr>
        <w:t>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00"/>
        <w:gridCol w:w="2650"/>
        <w:gridCol w:w="4500"/>
      </w:tblGrid>
      <w:tr>
        <w:trPr>
          <w:tblHeader/>
          <w:tblHeader w:val="true"/>
        </w:trPr>
        <w:tc>
          <w:tcPr>
            <w:tcW w:type="dxa" w:w="2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KPI</w:t>
            </w:r>
          </w:p>
        </w:tc>
        <w:tc>
          <w:tcPr>
            <w:tcW w:type="dxa" w:w="2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Startziel</w:t>
            </w:r>
          </w:p>
        </w:tc>
        <w:tc>
          <w:tcPr>
            <w:tcW w:type="dxa" w:w="4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Steuerungsfrage</w:t>
            </w:r>
          </w:p>
        </w:tc>
      </w:tr>
      <w:tr>
        <w:trPr>
          <w:cantSplit/>
        </w:trPr>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Neue qualifizierte Erstgespräche</w:t>
            </w:r>
          </w:p>
        </w:tc>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4–6 pro Monat</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Entsteht ausreichend neue, passende Nachfrage?</w:t>
            </w:r>
          </w:p>
        </w:tc>
      </w:tr>
      <w:tr>
        <w:trPr>
          <w:cantSplit/>
        </w:trPr>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Opportunity-Quote</w:t>
            </w:r>
          </w:p>
        </w:tc>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mind. 30 % der qualifizierten Gespräche</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Wird ein konkreter Bedarf mit Entscheidungsweg sichtbar?</w:t>
            </w:r>
          </w:p>
        </w:tc>
      </w:tr>
      <w:tr>
        <w:trPr>
          <w:cantSplit/>
        </w:trPr>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Angebotsquote</w:t>
            </w:r>
          </w:p>
        </w:tc>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mind. 50 % der Opportunities</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Sind Bedarf, Machbarkeit und Budget ausreichend geklärt?</w:t>
            </w:r>
          </w:p>
        </w:tc>
      </w:tr>
      <w:tr>
        <w:trPr>
          <w:cantSplit/>
        </w:trPr>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Abschlussquote</w:t>
            </w:r>
          </w:p>
        </w:tc>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20–30 % der Angebote</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Sind Angebot, Vertrauen und Pilotumfang überzeugend?</w:t>
            </w:r>
          </w:p>
        </w:tc>
      </w:tr>
      <w:tr>
        <w:trPr>
          <w:cantSplit/>
        </w:trPr>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Pipeline Coverage</w:t>
            </w:r>
          </w:p>
        </w:tc>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mind. 3 × nächstes 6-Monats-Umsatzziel</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Ist trotz langer Zyklen genug gewichtete Pipeline vorhanden?</w:t>
            </w:r>
          </w:p>
        </w:tc>
      </w:tr>
      <w:tr>
        <w:trPr>
          <w:cantSplit/>
        </w:trPr>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Akquisekosten</w:t>
            </w:r>
          </w:p>
        </w:tc>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Gründerzeit + externe Vertriebs-/Reisekosten je gewonnenem Auftrag</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Trägt der Deckungsbeitrag den Vertriebsaufwand?</w:t>
            </w:r>
          </w:p>
        </w:tc>
      </w:tr>
    </w:tbl>
    <w:p>
      <w:pPr>
        <w:pStyle w:val="BodyText"/>
        <w:spacing w:after="44" w:before="0" w:line="245" w:lineRule="auto"/>
        <w:jc w:val="left"/>
      </w:pPr>
      <w:r>
        <w:rPr>
          <w:rFonts w:ascii="Arial" w:hAnsi="Arial" w:eastAsia="Arial"/>
          <w:i w:val="0"/>
          <w:color w:val="243447"/>
          <w:sz w:val="19"/>
        </w:rPr>
        <w:t>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pPr>
        <w:pStyle w:val="Heading3"/>
        <w:keepNext/>
        <w:spacing w:after="30" w:before="70" w:line="240" w:lineRule="auto"/>
      </w:pPr>
      <w:r>
        <w:rPr>
          <w:rFonts w:ascii="Arial" w:hAnsi="Arial" w:eastAsia="Arial" w:cs="Arial"/>
          <w:b/>
          <w:color w:val="102A43"/>
          <w:sz w:val="20"/>
        </w:rPr>
        <w:t>Pilot als risikoarmer Einstieg</w:t>
      </w:r>
    </w:p>
    <w:p>
      <w:pPr>
        <w:spacing w:before="0" w:after="44" w:line="245" w:lineRule="auto"/>
        <w:ind w:left="0"/>
        <w:jc w:val="left"/>
      </w:pPr>
      <w:r>
        <w:rPr>
          <w:rFonts w:ascii="Arial" w:hAnsi="Arial" w:eastAsia="Arial"/>
          <w:b/>
          <w:color w:val="B08D57"/>
          <w:sz w:val="19"/>
        </w:rPr>
        <w:t xml:space="preserve">01  </w:t>
      </w:r>
      <w:r>
        <w:rPr>
          <w:rFonts w:ascii="Arial" w:hAnsi="Arial" w:eastAsia="Arial"/>
          <w:b/>
          <w:color w:val="102A43"/>
          <w:sz w:val="19"/>
        </w:rPr>
        <w:t xml:space="preserve">Enger Scope  </w:t>
      </w:r>
      <w:r>
        <w:rPr>
          <w:rFonts w:ascii="Arial" w:hAnsi="Arial" w:eastAsia="Arial"/>
          <w:color w:val="243447"/>
          <w:sz w:val="19"/>
        </w:rPr>
        <w:t>Ein Standort, eine definierte Ankunftsgruppe oder eine klar abgegrenzte Wohnraumstrategie.</w:t>
      </w:r>
    </w:p>
    <w:p>
      <w:pPr>
        <w:spacing w:before="0" w:after="44" w:line="245" w:lineRule="auto"/>
        <w:ind w:left="0"/>
        <w:jc w:val="left"/>
      </w:pPr>
      <w:r>
        <w:rPr>
          <w:rFonts w:ascii="Arial" w:hAnsi="Arial" w:eastAsia="Arial"/>
          <w:b/>
          <w:color w:val="B08D57"/>
          <w:sz w:val="19"/>
        </w:rPr>
        <w:t xml:space="preserve">02  </w:t>
      </w:r>
      <w:r>
        <w:rPr>
          <w:rFonts w:ascii="Arial" w:hAnsi="Arial" w:eastAsia="Arial"/>
          <w:b/>
          <w:color w:val="102A43"/>
          <w:sz w:val="19"/>
        </w:rPr>
        <w:t xml:space="preserve">Kurze Entscheidungsstrecke  </w:t>
      </w:r>
      <w:r>
        <w:rPr>
          <w:rFonts w:ascii="Arial" w:hAnsi="Arial" w:eastAsia="Arial"/>
          <w:color w:val="243447"/>
          <w:sz w:val="19"/>
        </w:rPr>
        <w:t>Benannter Sponsor, operativer Ansprechpartner, Budgetverantwortung und wöchentlicher Steuerungstermin.</w:t>
      </w:r>
    </w:p>
    <w:p>
      <w:pPr>
        <w:spacing w:before="0" w:after="44" w:line="245" w:lineRule="auto"/>
        <w:ind w:left="0"/>
        <w:jc w:val="left"/>
      </w:pPr>
      <w:r>
        <w:rPr>
          <w:rFonts w:ascii="Arial" w:hAnsi="Arial" w:eastAsia="Arial"/>
          <w:b/>
          <w:color w:val="B08D57"/>
          <w:sz w:val="19"/>
        </w:rPr>
        <w:t xml:space="preserve">03  </w:t>
      </w:r>
      <w:r>
        <w:rPr>
          <w:rFonts w:ascii="Arial" w:hAnsi="Arial" w:eastAsia="Arial"/>
          <w:b/>
          <w:color w:val="102A43"/>
          <w:sz w:val="19"/>
        </w:rPr>
        <w:t xml:space="preserve">Messbare Abnahme  </w:t>
      </w:r>
      <w:r>
        <w:rPr>
          <w:rFonts w:ascii="Arial" w:hAnsi="Arial" w:eastAsia="Arial"/>
          <w:color w:val="243447"/>
          <w:sz w:val="19"/>
        </w:rPr>
        <w:t>Vereinbarte Dokumente, Meilensteine, Objektentscheidungen, Bezugsfertigkeit oder Stabilisierungsergebnisse.</w:t>
      </w:r>
    </w:p>
    <w:p>
      <w:pPr>
        <w:spacing w:before="0" w:after="44" w:line="245" w:lineRule="auto"/>
        <w:ind w:left="0"/>
        <w:jc w:val="left"/>
      </w:pPr>
      <w:r>
        <w:rPr>
          <w:rFonts w:ascii="Arial" w:hAnsi="Arial" w:eastAsia="Arial"/>
          <w:b/>
          <w:color w:val="B08D57"/>
          <w:sz w:val="19"/>
        </w:rPr>
        <w:t xml:space="preserve">04  </w:t>
      </w:r>
      <w:r>
        <w:rPr>
          <w:rFonts w:ascii="Arial" w:hAnsi="Arial" w:eastAsia="Arial"/>
          <w:b/>
          <w:color w:val="102A43"/>
          <w:sz w:val="19"/>
        </w:rPr>
        <w:t xml:space="preserve">Begrenztes Risiko  </w:t>
      </w:r>
      <w:r>
        <w:rPr>
          <w:rFonts w:ascii="Arial" w:hAnsi="Arial" w:eastAsia="Arial"/>
          <w:color w:val="243447"/>
          <w:sz w:val="19"/>
        </w:rPr>
        <w:t>Keine Verfügbarkeits-, Genehmigungs- oder Bindungsgarantie; Fremdkosten und Kundenentscheidungen bleiben transparent.</w:t>
      </w:r>
    </w:p>
    <w:p>
      <w:pPr>
        <w:spacing w:before="0" w:after="44" w:line="245" w:lineRule="auto"/>
        <w:ind w:left="0"/>
        <w:jc w:val="left"/>
      </w:pPr>
      <w:r>
        <w:rPr>
          <w:rFonts w:ascii="Arial" w:hAnsi="Arial" w:eastAsia="Arial"/>
          <w:b/>
          <w:color w:val="B08D57"/>
          <w:sz w:val="19"/>
        </w:rPr>
        <w:t xml:space="preserve">05  </w:t>
      </w:r>
      <w:r>
        <w:rPr>
          <w:rFonts w:ascii="Arial" w:hAnsi="Arial" w:eastAsia="Arial"/>
          <w:b/>
          <w:color w:val="102A43"/>
          <w:sz w:val="19"/>
        </w:rPr>
        <w:t xml:space="preserve">Definierter Ausbau  </w:t>
      </w:r>
      <w:r>
        <w:rPr>
          <w:rFonts w:ascii="Arial" w:hAnsi="Arial" w:eastAsia="Arial"/>
          <w:color w:val="243447"/>
          <w:sz w:val="19"/>
        </w:rPr>
        <w:t>Bereits im Angebot wird festgelegt, nach welchen Ergebnissen ein weiterer Standort oder ein laufender Vertrag geprüft wird.</w:t>
      </w:r>
    </w:p>
    <w:p>
      <w:pPr>
        <w:pStyle w:val="Heading3"/>
        <w:keepNext/>
        <w:spacing w:after="30" w:before="70" w:line="240" w:lineRule="auto"/>
      </w:pPr>
      <w:r>
        <w:rPr>
          <w:rFonts w:ascii="Arial" w:hAnsi="Arial" w:eastAsia="Arial" w:cs="Arial"/>
          <w:b/>
          <w:color w:val="102A43"/>
          <w:sz w:val="20"/>
        </w:rPr>
        <w:t>90-Tage-Vertriebsrhythmus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00"/>
        <w:gridCol w:w="2900"/>
      </w:tblGrid>
      <w:tr>
        <w:trPr>
          <w:tblHeader/>
          <w:tblHeader w:val="true"/>
        </w:trPr>
        <w:tc>
          <w:tcPr>
            <w:tcW w:type="dxa" w:w="1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Phase</w:t>
            </w:r>
          </w:p>
        </w:tc>
        <w:tc>
          <w:tcPr>
            <w:tcW w:type="dxa" w:w="5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Kernaktivitäten</w:t>
            </w:r>
          </w:p>
        </w:tc>
        <w:tc>
          <w:tcPr>
            <w:tcW w:type="dxa" w:w="2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Entscheidungsziel</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Tag 1–30 · Grundlage</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40–60 Zielaccounts strukturieren, warme Zugänge aktivieren, One-Pager und Bedarfs-Check finalisieren, erste 8–12 Gespräche führen</w:t>
            </w:r>
          </w:p>
        </w:tc>
        <w:tc>
          <w:tcPr>
            <w:tcW w:type="dxa" w:w="2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Mindestens fünf belastbar qualifizierte Bedarfe oder klare Lernhypothesen</w:t>
            </w:r>
          </w:p>
        </w:tc>
      </w:tr>
      <w:tr>
        <w:trPr>
          <w:cantSplit/>
        </w:trPr>
        <w:tc>
          <w:tcPr>
            <w:tcW w:type="dxa" w:w="1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Tag 31–60 · Validierung</w:t>
            </w:r>
          </w:p>
        </w:tc>
        <w:tc>
          <w:tcPr>
            <w:tcW w:type="dxa" w:w="5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Vertiefungstermine und Bedarfsworkshops, Partnerabdeckung in A-Korridoren, Pilotumfang und Business Case mit Kunden entwickeln</w:t>
            </w:r>
          </w:p>
        </w:tc>
        <w:tc>
          <w:tcPr>
            <w:tcW w:type="dxa" w:w="2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Zwei bis vier konkrete Opportunities mit Entscheider, Zeitplan und Budgetpfad</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Tag 61–90 · Konversion</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Angebote verhandeln, Einwände und Beschaffungsfragen schließen, Kick-off vorbereiten und verlorene Fälle systematisch auswerten</w:t>
            </w:r>
          </w:p>
        </w:tc>
        <w:tc>
          <w:tcPr>
            <w:tcW w:type="dxa" w:w="2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Erstes bezahltes Mandat oder dokumentierter Maßnahmenplan zur Schließung der Abschlusslücke</w:t>
            </w:r>
          </w:p>
        </w:tc>
      </w:tr>
    </w:tbl>
    <w:p>
      <w:pPr>
        <w:pStyle w:val="BodyText"/>
        <w:spacing w:after="44" w:before="0" w:line="245" w:lineRule="auto"/>
        <w:jc w:val="left"/>
      </w:pPr>
      <w:r>
        <w:rPr>
          <w:rFonts w:ascii="Arial" w:hAnsi="Arial" w:eastAsia="Arial"/>
          <w:i w:val="0"/>
          <w:color w:val="243447"/>
          <w:sz w:val="19"/>
        </w:rPr>
        <w:t>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pPr>
        <w:pStyle w:val="Heading3"/>
        <w:keepNext/>
        <w:spacing w:after="30" w:before="70" w:line="240" w:lineRule="auto"/>
      </w:pPr>
      <w:r>
        <w:rPr>
          <w:rFonts w:ascii="Arial" w:hAnsi="Arial" w:eastAsia="Arial" w:cs="Arial"/>
          <w:b/>
          <w:color w:val="102A43"/>
          <w:sz w:val="20"/>
        </w:rPr>
        <w:t>Fachliches Marketing statt Werbedruck</w:t>
      </w:r>
    </w:p>
    <w:p>
      <w:pPr>
        <w:pStyle w:val="BodyText"/>
        <w:spacing w:after="44" w:before="0" w:line="245" w:lineRule="auto"/>
        <w:jc w:val="left"/>
      </w:pPr>
      <w:r>
        <w:rPr>
          <w:rFonts w:ascii="Arial" w:hAnsi="Arial" w:eastAsia="Arial"/>
          <w:i w:val="0"/>
          <w:color w:val="243447"/>
          <w:sz w:val="19"/>
        </w:rPr>
        <w:t>Marketing unterstützt den persönlichen Vertrieb, ersetzt ihn aber nicht. AMAVIO veröffentlicht wenige, fachlich belastbare Inhalte, die intern weitergeleitet werden können und eine konkrete Kauf- oder Umsetzungsfrage beantworten. Der Schwerpunkt liegt auf LinkedIn, direktem Versand an passende Kontakte, Partnerveranstaltungen und später freigegebenen Fallstudien.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200"/>
        <w:gridCol w:w="3300"/>
      </w:tblGrid>
      <w:tr>
        <w:trPr>
          <w:tblHeader/>
          <w:tblHeader w:val="true"/>
        </w:trPr>
        <w:tc>
          <w:tcPr>
            <w:tcW w:type="dxa" w:w="2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Inhaltssäule</w:t>
            </w:r>
          </w:p>
        </w:tc>
        <w:tc>
          <w:tcPr>
            <w:tcW w:type="dxa" w:w="4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Beispiel</w:t>
            </w:r>
          </w:p>
        </w:tc>
        <w:tc>
          <w:tcPr>
            <w:tcW w:type="dxa" w:w="33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Zweck</w:t>
            </w:r>
          </w:p>
        </w:tc>
      </w:tr>
      <w:tr>
        <w:trPr>
          <w:cantSplit/>
        </w:trPr>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Entscheiderwissen</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Kosten- und Risikologik fehlender Wohnraumstrukturen</w:t>
            </w:r>
          </w:p>
        </w:tc>
        <w:tc>
          <w:tcPr>
            <w:tcW w:type="dxa" w:w="3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Geschäftsführung, HR und Finanzen für den Business Case sensibilisieren</w:t>
            </w:r>
          </w:p>
        </w:tc>
      </w:tr>
      <w:tr>
        <w:trPr>
          <w:cantSplit/>
        </w:trPr>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Operative Werkzeuge</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Housing-Readiness-Check, Ankunftsplan oder 100-Tage-Checkliste</w:t>
            </w:r>
          </w:p>
        </w:tc>
        <w:tc>
          <w:tcPr>
            <w:tcW w:type="dxa" w:w="3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Kompetenz beweisen und qualifizierte Gespräche auslösen</w:t>
            </w:r>
          </w:p>
        </w:tc>
      </w:tr>
      <w:tr>
        <w:trPr>
          <w:cantSplit/>
        </w:trPr>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Markt- und Praxisdaten</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Wohnungsmarkt, internationale Rekrutierung und regionale Objektalternativen</w:t>
            </w:r>
          </w:p>
        </w:tc>
        <w:tc>
          <w:tcPr>
            <w:tcW w:type="dxa" w:w="3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Dringlichkeit belegen, ohne Angst- oder Übertreibungsmarketing</w:t>
            </w:r>
          </w:p>
        </w:tc>
      </w:tr>
      <w:tr>
        <w:trPr>
          <w:cantSplit/>
        </w:trPr>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Projektbeweis</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Freigegebene Fallstudie mit Zeit, Scope, KPI und Lernpunkten</w:t>
            </w:r>
          </w:p>
        </w:tc>
        <w:tc>
          <w:tcPr>
            <w:tcW w:type="dxa" w:w="3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Vertrauen für Pilot, Folgeauftrag und Rollout aufbauen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6. Operatives Umsetzungskonzept und Wertschöpfung</w:t>
      </w:r>
    </w:p>
    <w:p>
      <w:pPr>
        <w:pStyle w:val="Heading2"/>
        <w:keepNext/>
        <w:pBdr>
          <w:bottom w:val="single" w:sz="8" w:space="6" w:color="B08D57"/>
        </w:pBdr>
        <w:spacing w:after="50" w:before="100" w:line="240" w:lineRule="auto"/>
      </w:pPr>
      <w:r>
        <w:rPr>
          <w:rFonts w:ascii="Arial" w:hAnsi="Arial" w:eastAsia="Arial" w:cs="Arial"/>
          <w:b/>
          <w:color w:val="1E3A5F"/>
          <w:sz w:val="24"/>
        </w:rPr>
        <w:t>Betriebsmodell und Wertschöpfung</w:t>
      </w:r>
    </w:p>
    <w:p>
      <w:pPr>
        <w:pStyle w:val="BodyText"/>
        <w:spacing w:after="44" w:before="0" w:line="245" w:lineRule="auto"/>
        <w:jc w:val="left"/>
      </w:pPr>
      <w:r>
        <w:rPr>
          <w:rFonts w:ascii="Arial" w:hAnsi="Arial" w:eastAsia="Arial"/>
          <w:i w:val="0"/>
          <w:color w:val="243447"/>
          <w:sz w:val="19"/>
        </w:rPr>
        <w:t>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700"/>
        <w:gridCol w:w="2800"/>
      </w:tblGrid>
      <w:tr>
        <w:trPr>
          <w:tblHeader/>
          <w:tblHeader w:val="true"/>
        </w:trPr>
        <w:tc>
          <w:tcPr>
            <w:tcW w:type="dxa" w:w="2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Wertschöpfungsstufe</w:t>
            </w:r>
          </w:p>
        </w:tc>
        <w:tc>
          <w:tcPr>
            <w:tcW w:type="dxa" w:w="4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AMAVIO-Kernleistung</w:t>
            </w:r>
          </w:p>
        </w:tc>
        <w:tc>
          <w:tcPr>
            <w:tcW w:type="dxa" w:w="2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Ergebnis</w:t>
            </w:r>
          </w:p>
        </w:tc>
      </w:tr>
      <w:tr>
        <w:trPr>
          <w:cantSplit/>
        </w:trPr>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Bedarf und Auftrag</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Ziel, Umfang, Stakeholder, Daten, Termine und Entscheidungsrechte klären</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Projektauftrag, RACI, Termin- und Risikobasis</w:t>
            </w:r>
          </w:p>
        </w:tc>
      </w:tr>
      <w:tr>
        <w:trPr>
          <w:cantSplit/>
        </w:trPr>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 und Arrival-Konzept</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Wohnformen, Suchradius, Übergang, Serviceumfang und Kostenkorridor entwickeln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Freigegebene Strategie und priorisierte Varianten</w:t>
            </w:r>
          </w:p>
        </w:tc>
      </w:tr>
      <w:tr>
        <w:trPr>
          <w:cantSplit/>
        </w:trPr>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Supply und Partner</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Objekte und Dienstleister identifizieren, vergleichen und entscheidungsreif aufbereiten</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Shortlist, Angebote, Objekt- und Partnermatrix</w:t>
            </w:r>
          </w:p>
        </w:tc>
      </w:tr>
      <w:tr>
        <w:trPr>
          <w:cantSplit/>
        </w:trPr>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Realisierung</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Verträge koordinieren, Möblierung, Lieferanten, Übergaben und Mängel steuern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Bezugsfertige, dokumentierte Wohnlösung</w:t>
            </w:r>
          </w:p>
        </w:tc>
      </w:tr>
      <w:tr>
        <w:trPr>
          <w:cantSplit/>
        </w:trPr>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Einzug und Stabilisierung</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Information, Schlüssel, Orientierung, Support und Eskalation organisieren</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Planbarer Einzug und 30-/60-/90-Tage-Status</w:t>
            </w:r>
          </w:p>
        </w:tc>
      </w:tr>
      <w:tr>
        <w:trPr>
          <w:cantSplit/>
        </w:trPr>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Abschluss und Lernen</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Ergebnisse, Kosten, Zeit, Abweichungen und Feedback auswerten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Abnahme, Nachkalkulation und Verbesserungsplan</w:t>
            </w:r>
          </w:p>
        </w:tc>
      </w:tr>
    </w:tbl>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LEISTUNGSGRENZE  </w:t>
      </w:r>
      <w:r>
        <w:rPr>
          <w:rFonts w:ascii="Arial" w:hAnsi="Arial" w:eastAsia="Arial"/>
          <w:color w:val="243447"/>
          <w:sz w:val="19"/>
        </w:rPr>
        <w:t>AMAVIO koordiniert und dokumentiert. Rechtsberatung, Steuerberatung, behördliche Entscheidungen, technische Freigaben, Bauplanung, Visa- und Anerkennungsentscheidungen sowie medizinische oder pflegerische Leistungen werden nicht als eigene Befugnis dargestellt.</w:t>
      </w:r>
    </w:p>
    <w:p>
      <w:pPr>
        <w:pStyle w:val="Heading2"/>
        <w:keepNext/>
        <w:pBdr>
          <w:bottom w:val="single" w:sz="8" w:space="6" w:color="B08D57"/>
        </w:pBdr>
        <w:spacing w:after="50" w:before="100" w:line="240" w:lineRule="auto"/>
      </w:pPr>
      <w:r>
        <w:rPr>
          <w:rFonts w:ascii="Arial" w:hAnsi="Arial" w:eastAsia="Arial" w:cs="Arial"/>
          <w:b/>
          <w:color w:val="1E3A5F"/>
          <w:sz w:val="24"/>
        </w:rPr>
        <w:t>Standardprozess mit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1900"/>
        <w:gridCol w:w="5650"/>
      </w:tblGrid>
      <w:tr>
        <w:trPr>
          <w:tblHeader/>
          <w:tblHeader w:val="true"/>
        </w:trPr>
        <w:tc>
          <w:tcPr>
            <w:tcW w:type="dxa" w:w="2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Phase</w:t>
            </w:r>
          </w:p>
        </w:tc>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Richtzeit</w:t>
            </w:r>
          </w:p>
        </w:tc>
        <w:tc>
          <w:tcPr>
            <w:tcW w:type="dxa" w:w="5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Gate und Mindestoutput</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0 · Qualifizierung</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3–10 Arbeitstage</w:t>
            </w:r>
          </w:p>
        </w:tc>
        <w:tc>
          <w:tcPr>
            <w:tcW w:type="dxa" w:w="5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Go/No-Go: Auftraggeber, Bedarf, Zeit, Budgetpfad und grundsätzliche Machbarkeit</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 · Bedarf und Kick-off</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1–2 Wochen</w:t>
            </w:r>
          </w:p>
        </w:tc>
        <w:tc>
          <w:tcPr>
            <w:tcW w:type="dxa" w:w="5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G1: Bedarfsmatrix, RACI, Datenraum, Terminplan und Ausgangs-KPIs freigegeben</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 · Konzept</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2–3 Wochen</w:t>
            </w:r>
          </w:p>
        </w:tc>
        <w:tc>
          <w:tcPr>
            <w:tcW w:type="dxa" w:w="5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G2: Zielbild, Varianten, Kostenkorridor, Suchprofil und Risikoregister freigegeben</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 · Beschaffung</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3–10 Wochen</w:t>
            </w:r>
          </w:p>
        </w:tc>
        <w:tc>
          <w:tcPr>
            <w:tcW w:type="dxa" w:w="5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G3: Shortlist, Vergleich, Besichtigungs-/Prüfstatus und Kundenentscheidung dokumentiert</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 · Prüfung und Vertrag</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1–3 Wochen</w:t>
            </w:r>
          </w:p>
        </w:tc>
        <w:tc>
          <w:tcPr>
            <w:tcW w:type="dxa" w:w="5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G4: Kaufmännische Prüfung, zulässige Nutzung, externe Fachprüfungen und Vertragsweg geklärt</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5 · Realisierung</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3–10 Wochen</w:t>
            </w:r>
          </w:p>
        </w:tc>
        <w:tc>
          <w:tcPr>
            <w:tcW w:type="dxa" w:w="5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G5: Möblierung, Versorgung, Mängel, Inventar und Bezugsfertigkeit abgenommen</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6 · Einzug</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2–4 Wochen</w:t>
            </w:r>
          </w:p>
        </w:tc>
        <w:tc>
          <w:tcPr>
            <w:tcW w:type="dxa" w:w="5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G6: Belegung, Unterlagen, Schlüssel, Kontakt- und Notfallwege vollständig</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7 · Stabilisierung</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30–90 Tage; optional laufend</w:t>
            </w:r>
          </w:p>
        </w:tc>
        <w:tc>
          <w:tcPr>
            <w:tcW w:type="dxa" w:w="5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G7: Fälle, Feedback, KPI-Bericht, offene Maßnahmen und Abschluss/Übergang</w:t>
            </w:r>
          </w:p>
        </w:tc>
      </w:tr>
    </w:tbl>
    <w:p>
      <w:pPr>
        <w:pStyle w:val="BodyText"/>
        <w:spacing w:after="44" w:before="0" w:line="245" w:lineRule="auto"/>
        <w:jc w:val="left"/>
      </w:pPr>
      <w:r>
        <w:rPr>
          <w:rFonts w:ascii="Arial" w:hAnsi="Arial" w:eastAsia="Arial"/>
          <w:i w:val="0"/>
          <w:color w:val="243447"/>
          <w:sz w:val="19"/>
        </w:rPr>
        <w:t>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pPr>
        <w:pStyle w:val="Heading2"/>
        <w:keepNext/>
        <w:pBdr>
          <w:bottom w:val="single" w:sz="8" w:space="6" w:color="B08D57"/>
        </w:pBdr>
        <w:spacing w:after="50" w:before="100" w:line="240" w:lineRule="auto"/>
      </w:pPr>
      <w:r>
        <w:rPr>
          <w:rFonts w:ascii="Arial" w:hAnsi="Arial" w:eastAsia="Arial" w:cs="Arial"/>
          <w:b/>
          <w:color w:val="1E3A5F"/>
          <w:sz w:val="24"/>
        </w:rPr>
        <w:t>Rollen, Mitwirkung und Übergaben</w:t>
      </w:r>
    </w:p>
    <w:p>
      <w:pPr>
        <w:pStyle w:val="BodyText"/>
        <w:spacing w:after="44" w:before="0" w:line="245" w:lineRule="auto"/>
        <w:jc w:val="left"/>
      </w:pPr>
      <w:r>
        <w:rPr>
          <w:rFonts w:ascii="Arial" w:hAnsi="Arial" w:eastAsia="Arial"/>
          <w:i w:val="0"/>
          <w:color w:val="243447"/>
          <w:sz w:val="19"/>
        </w:rPr>
        <w:t>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2700"/>
        <w:gridCol w:w="2800"/>
        <w:gridCol w:w="1900"/>
      </w:tblGrid>
      <w:tr>
        <w:trPr>
          <w:tblHeader/>
          <w:tblHeader w:val="true"/>
        </w:trPr>
        <w:tc>
          <w:tcPr>
            <w:tcW w:type="dxa" w:w="23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Aufgabe</w:t>
            </w:r>
          </w:p>
        </w:tc>
        <w:tc>
          <w:tcPr>
            <w:tcW w:type="dxa" w:w="2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AMAVIO</w:t>
            </w:r>
          </w:p>
        </w:tc>
        <w:tc>
          <w:tcPr>
            <w:tcW w:type="dxa" w:w="2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Kunde / Arbeitgeber</w:t>
            </w:r>
          </w:p>
        </w:tc>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Partner / Bewohner</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Bedarf, Projektplan und Status</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verantwortet Erstellung und Reporting</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entscheidet, liefert Daten und benennt Sponsor</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wirken bei Bedarf mit</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Objektsuche und Vergleich</w:t>
            </w:r>
          </w:p>
        </w:tc>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steuert Suche und Entscheidungsvorlage</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genehmigt Kriterien, Kosten und Auswahl</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Vermieter/Makler liefern Nachweise</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 Technik und Nutzung</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koordiniert Prüfpunkte</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beauftragt/freigibt nach Vertragsmodell</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befugte Fachpartner prüfen und bestätigen</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Verträge und Zahlungen</w:t>
            </w:r>
          </w:p>
        </w:tc>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koordiniert Fristen und Unterlagen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unterzeichnet und zahlt im Projektmodell</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Vertragspartner stellen korrekte Dokumente</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Möblierung und Bezugsfertigkeit</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steuert Plan, Lieferanten und Abnahme</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genehmigt Budget und Änderungen</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Lieferanten leisten; Bewohner melden Mängel</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Einzug und Orientierung</w:t>
            </w:r>
          </w:p>
        </w:tc>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koordiniert Informationen und Übergabe</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liefert Personal-/Startdaten und betriebliche Einführung</w:t>
            </w:r>
          </w:p>
        </w:tc>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Bewohner wirken mit und bestätigen Übergabe</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Fachliche Einarbeitung</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nicht verantwortlich</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voll verantwortlich</w:t>
            </w:r>
          </w:p>
        </w:tc>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Fachbereich führt durch</w:t>
            </w:r>
          </w:p>
        </w:tc>
      </w:tr>
    </w:tbl>
    <w:p>
      <w:pPr>
        <w:pStyle w:val="Heading2"/>
        <w:keepNext/>
        <w:pBdr>
          <w:bottom w:val="single" w:sz="8" w:space="6" w:color="B08D57"/>
        </w:pBdr>
        <w:spacing w:after="50" w:before="100" w:line="240" w:lineRule="auto"/>
      </w:pPr>
      <w:r>
        <w:rPr>
          <w:rFonts w:ascii="Arial" w:hAnsi="Arial" w:eastAsia="Arial" w:cs="Arial"/>
          <w:b/>
          <w:color w:val="1E3A5F"/>
          <w:sz w:val="24"/>
        </w:rPr>
        <w:t>Kapazitäts- und Ressourcenplanung</w:t>
      </w:r>
    </w:p>
    <w:p>
      <w:pPr>
        <w:pStyle w:val="BodyText"/>
        <w:spacing w:after="44" w:before="0" w:line="245" w:lineRule="auto"/>
        <w:jc w:val="left"/>
      </w:pPr>
      <w:r>
        <w:rPr>
          <w:rFonts w:ascii="Arial" w:hAnsi="Arial" w:eastAsia="Arial"/>
          <w:i w:val="0"/>
          <w:color w:val="243447"/>
          <w:sz w:val="19"/>
        </w:rPr>
        <w:t>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00"/>
        <w:gridCol w:w="4250"/>
        <w:gridCol w:w="3100"/>
      </w:tblGrid>
      <w:tr>
        <w:trPr>
          <w:tblHeader/>
          <w:tblHeader w:val="true"/>
        </w:trPr>
        <w:tc>
          <w:tcPr>
            <w:tcW w:type="dxa" w:w="24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Kapazitätsregel</w:t>
            </w:r>
          </w:p>
        </w:tc>
        <w:tc>
          <w:tcPr>
            <w:tcW w:type="dxa" w:w="4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Startstandard</w:t>
            </w:r>
          </w:p>
        </w:tc>
        <w:tc>
          <w:tcPr>
            <w:tcW w:type="dxa" w:w="3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Zweck</w:t>
            </w:r>
          </w:p>
        </w:tc>
      </w:tr>
      <w:tr>
        <w:trPr>
          <w:cantSplit/>
        </w:trPr>
        <w:tc>
          <w:tcPr>
            <w:tcW w:type="dxa" w:w="2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Auslastungsgrenze</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max. 70 % der verfügbaren Gründerzeit fest verplanen</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Reserve für Vertrieb, Eskalationen, Administration und Unvorhergesehenes</w:t>
            </w:r>
          </w:p>
        </w:tc>
      </w:tr>
      <w:tr>
        <w:trPr>
          <w:cantSplit/>
        </w:trPr>
        <w:tc>
          <w:tcPr>
            <w:tcW w:type="dxa" w:w="2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Parallele Kernprojekte</w:t>
            </w:r>
          </w:p>
        </w:tc>
        <w:tc>
          <w:tcPr>
            <w:tcW w:type="dxa" w:w="4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regelmäßig 1 Launch plus 1 Blueprint; zweiter Launch nur mit externer Projektunterstützung</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Qualität und Reaktionsfähigkeit sichern</w:t>
            </w:r>
          </w:p>
        </w:tc>
      </w:tr>
      <w:tr>
        <w:trPr>
          <w:cantSplit/>
        </w:trPr>
        <w:tc>
          <w:tcPr>
            <w:tcW w:type="dxa" w:w="2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Projektstart</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 Kick-off ohne Stundenbudget, Meilensteine und Zahlungsplan</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unbezahlte Vorleistung und Scope Creep begrenzen</w:t>
            </w:r>
          </w:p>
        </w:tc>
      </w:tr>
      <w:tr>
        <w:trPr>
          <w:cantSplit/>
        </w:trPr>
        <w:tc>
          <w:tcPr>
            <w:tcW w:type="dxa" w:w="2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Partnerzuschaltung</w:t>
            </w:r>
          </w:p>
        </w:tc>
        <w:tc>
          <w:tcPr>
            <w:tcW w:type="dxa" w:w="4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vor Auftrag definierte Trigger nach Region, Technik, Sprache und Vor-Ort-Volumen</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variable statt vorschnell fixe Kosten</w:t>
            </w:r>
          </w:p>
        </w:tc>
      </w:tr>
      <w:tr>
        <w:trPr>
          <w:cantSplit/>
        </w:trPr>
        <w:tc>
          <w:tcPr>
            <w:tcW w:type="dxa" w:w="2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Einstellung</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erst bei belastbarer Pipeline und mindestens sechs Monaten finanzierbarer Personalkosten</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Fixkostenaufbau an wiederkehrende Nachfrage koppeln</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Qualitäts-, Daten- und Änderungsmanagement</w:t>
      </w:r>
    </w:p>
    <w:p>
      <w:pPr>
        <w:pStyle w:val="BodyText"/>
        <w:spacing w:after="16" w:before="0" w:line="228" w:lineRule="auto"/>
        <w:jc w:val="left"/>
      </w:pPr>
      <w:r>
        <w:rPr>
          <w:rFonts w:ascii="Arial" w:hAnsi="Arial" w:eastAsia="Arial"/>
          <w:i w:val="0"/>
          <w:color w:val="243447"/>
          <w:sz w:val="15"/>
        </w:rPr>
        <w:t>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300"/>
        <w:gridCol w:w="3400"/>
      </w:tblGrid>
      <w:tr>
        <w:trPr>
          <w:tblHeader/>
          <w:tblHeader w:val="true"/>
        </w:trPr>
        <w:tc>
          <w:tcPr>
            <w:tcW w:type="dxa" w:w="2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Steuerungsfeld</w:t>
            </w:r>
          </w:p>
        </w:tc>
        <w:tc>
          <w:tcPr>
            <w:tcW w:type="dxa" w:w="43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Standard</w:t>
            </w:r>
          </w:p>
        </w:tc>
        <w:tc>
          <w:tcPr>
            <w:tcW w:type="dxa" w:w="34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Eskalation</w:t>
            </w:r>
          </w:p>
        </w:tc>
      </w:tr>
      <w:tr>
        <w:trPr>
          <w:cantSplit/>
        </w:trPr>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Termin</w:t>
            </w:r>
          </w:p>
        </w:tc>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Meilensteinplan mit Eigentümer und Fälligkeit</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Abweichung &gt; 5 Arbeitstage oder Gefahr für Einzug</w:t>
            </w:r>
          </w:p>
        </w:tc>
      </w:tr>
      <w:tr>
        <w:trPr>
          <w:cantSplit/>
        </w:trPr>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Budget</w:t>
            </w:r>
          </w:p>
        </w:tc>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Freigabegrenzen und Forecast inkl. Fremdkosten</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Abweichung &gt; 10 % oder ungeplante Verpflichtung</w:t>
            </w:r>
          </w:p>
        </w:tc>
      </w:tr>
      <w:tr>
        <w:trPr>
          <w:cantSplit/>
        </w:trPr>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Scope</w:t>
            </w:r>
          </w:p>
        </w:tc>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Leistung, Ausschlüsse und Anzahl Revisionen schriftlich</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Change Request mit Zeit-, Preis- und Terminwirkung</w:t>
            </w:r>
          </w:p>
        </w:tc>
      </w:tr>
      <w:tr>
        <w:trPr>
          <w:cantSplit/>
        </w:trPr>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Qualität</w:t>
            </w:r>
          </w:p>
        </w:tc>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Checklisten und Abnahme je Gate</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Mangel priorisieren, Verantwortlichen und Lösungstermin festlegen</w:t>
            </w:r>
          </w:p>
        </w:tc>
      </w:tr>
      <w:tr>
        <w:trPr>
          <w:cantSplit/>
        </w:trPr>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Servicefall</w:t>
            </w:r>
          </w:p>
        </w:tc>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Ticket/Protokoll mit Kategorie und Reaktionsziel</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Sicherheits-, Wohn- oder Arbeitsstart-Risiko sofort an benannte Stelle</w:t>
            </w:r>
          </w:p>
        </w:tc>
      </w:tr>
      <w:tr>
        <w:trPr>
          <w:cantSplit/>
        </w:trPr>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Daten</w:t>
            </w:r>
          </w:p>
        </w:tc>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Minimaldaten, Rollenrechte und geregelter Austausch</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Fehlversand, unbefugter Zugriff oder unklarer Zweck nach Datenschutzprozess</w:t>
            </w:r>
          </w:p>
        </w:tc>
      </w:tr>
    </w:tbl>
    <w:p>
      <w:pPr>
        <w:pStyle w:val="Heading3"/>
        <w:keepNext/>
        <w:spacing w:after="30" w:before="70" w:line="240" w:lineRule="auto"/>
      </w:pPr>
      <w:r>
        <w:rPr>
          <w:rFonts w:ascii="Arial" w:hAnsi="Arial" w:eastAsia="Arial" w:cs="Arial"/>
          <w:b/>
          <w:color w:val="102A43"/>
          <w:sz w:val="20"/>
        </w:rPr>
        <w:t>Kern-KPIs der operativen Leistung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4500"/>
        <w:gridCol w:w="2750"/>
      </w:tblGrid>
      <w:tr>
        <w:trPr>
          <w:tblHeader/>
          <w:tblHeader w:val="true"/>
        </w:trPr>
        <w:tc>
          <w:tcPr>
            <w:tcW w:type="dxa" w:w="2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KPI</w:t>
            </w:r>
          </w:p>
        </w:tc>
        <w:tc>
          <w:tcPr>
            <w:tcW w:type="dxa" w:w="4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Definition</w:t>
            </w:r>
          </w:p>
        </w:tc>
        <w:tc>
          <w:tcPr>
            <w:tcW w:type="dxa" w:w="2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Startziel</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Time-to-Housing</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Tage von freigegebenem Suchauftrag bis bestätigter Wohnlösung</w:t>
            </w:r>
          </w:p>
        </w:tc>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projektspezifischer Baseline- und Zielwert</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On-time Move-in</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Anteil der Einzüge am freigegebenen Termin</w:t>
            </w:r>
          </w:p>
        </w:tc>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90 %, soweit Ursache im steuerbaren Prozess liegt</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Decision Lead Time</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Tage vom Entscheidungsvorschlag bis Kundenfreigabe</w:t>
            </w:r>
          </w:p>
        </w:tc>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5 Arbeitstage oder vertraglich vereinbart</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Issue Resolution</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Zeit bis Lösung bzw. belastbarer Maßnahmenplan</w:t>
            </w:r>
          </w:p>
        </w:tc>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kritisch am selben Tag; Standard innerhalb 2 Arbeitstagen</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Budget Variance</w:t>
            </w:r>
          </w:p>
        </w:tc>
        <w:tc>
          <w:tcPr>
            <w:tcW w:type="dxa" w:w="4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Abweichung Forecast zu freigegebenem Budget</w:t>
            </w:r>
          </w:p>
        </w:tc>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10 % ohne genehmigten Change</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30/90-Day Satisfaction</w:t>
            </w:r>
          </w:p>
        </w:tc>
        <w:tc>
          <w:tcPr>
            <w:tcW w:type="dxa" w:w="4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standardisiertes Feedback von Bewohnern und Auftraggeber</w:t>
            </w:r>
          </w:p>
        </w:tc>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Baseline im Pilot, danach Verbesserungsziel</w:t>
            </w:r>
          </w:p>
        </w:tc>
      </w:tr>
    </w:tbl>
    <w:p>
      <w:pPr>
        <w:pStyle w:val="BodyText"/>
        <w:spacing w:after="44" w:before="0" w:line="245" w:lineRule="auto"/>
        <w:jc w:val="left"/>
      </w:pPr>
      <w:r>
        <w:rPr>
          <w:rFonts w:ascii="Arial" w:hAnsi="Arial" w:eastAsia="Arial"/>
          <w:i w:val="0"/>
          <w:color w:val="243447"/>
          <w:sz w:val="19"/>
        </w:rPr>
        <w:t>Zielwerte gelten nur für den von AMAVIO beeinflussbaren Leistungsbereich. Visa-, Anerkennungs-, Behörden-, Vermieter- oder Kundenverzögerungen werden als Ursachen getrennt ausgewiesen. So bleibt das Reporting ehrlich und dennoch steuerungsrelevant.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3100"/>
        <w:gridCol w:w="4000"/>
      </w:tblGrid>
      <w:tr>
        <w:trPr>
          <w:tblHeader/>
          <w:tblHeader w:val="true"/>
        </w:trPr>
        <w:tc>
          <w:tcPr>
            <w:tcW w:type="dxa" w:w="2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Leistung</w:t>
            </w:r>
          </w:p>
        </w:tc>
        <w:tc>
          <w:tcPr>
            <w:tcW w:type="dxa" w:w="3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Startentscheidung</w:t>
            </w:r>
          </w:p>
        </w:tc>
        <w:tc>
          <w:tcPr>
            <w:tcW w:type="dxa" w:w="4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Auswahlkriterien</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Projektsteuerung und Kundenführung</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intern durch Gründer</w:t>
            </w:r>
          </w:p>
        </w:tc>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Kernkompetenz, Vertrauen und Lernsystem</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Objektsuche und Vermieterkontakte</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intern + lokale Makler/Partner</w:t>
            </w:r>
          </w:p>
        </w:tc>
        <w:tc>
          <w:tcPr>
            <w:tcW w:type="dxa" w:w="4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Marktzugang, Transparenz, keine unklaren Doppelprovisionen</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 Steuer, Datenschutz</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extern befugte Beratung</w:t>
            </w:r>
          </w:p>
        </w:tc>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Zulassung, Spezialisierung, klare Beauftragung</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Technik, Brandschutz, Genehmigungsplanung</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extern je Objekt</w:t>
            </w:r>
          </w:p>
        </w:tc>
        <w:tc>
          <w:tcPr>
            <w:tcW w:type="dxa" w:w="4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Qualifikation, Haftung, Dokumentation und Reaktionszeit</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Möblierung, Handwerk und Logistik</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extern gesteuert</w:t>
            </w:r>
          </w:p>
        </w:tc>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Preis, Termin, Gewährleistung, Ersatzfähigkeit und regionale Abdeckung</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Mehrsprachiger Vor-Ort-Support</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variabel nach Projekt</w:t>
            </w:r>
          </w:p>
        </w:tc>
        <w:tc>
          <w:tcPr>
            <w:tcW w:type="dxa" w:w="4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Sprache, interkulturelle Eignung, Vertraulichkeit und Erreichbarkeit</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CRM, Projekt- und Dokumentensystem</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standardisierte Software</w:t>
            </w:r>
          </w:p>
        </w:tc>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Rechte, Export, Datenschutz, Skalierbarkeit und Kosten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7. Unternehmensstruktur, Rechtsform, Partner und Personal</w:t>
      </w:r>
    </w:p>
    <w:p>
      <w:pPr>
        <w:pStyle w:val="Heading2"/>
        <w:keepNext/>
        <w:pBdr>
          <w:bottom w:val="single" w:sz="8" w:space="6" w:color="B08D57"/>
        </w:pBdr>
        <w:spacing w:after="50" w:before="100" w:line="240" w:lineRule="auto"/>
      </w:pPr>
      <w:r>
        <w:rPr>
          <w:rFonts w:ascii="Arial" w:hAnsi="Arial" w:eastAsia="Arial" w:cs="Arial"/>
          <w:b/>
          <w:color w:val="1E3A5F"/>
          <w:sz w:val="24"/>
        </w:rPr>
        <w:t>Rechtliche Identität und Markenarchitektur</w:t>
      </w:r>
    </w:p>
    <w:p>
      <w:pPr>
        <w:pStyle w:val="BodyText"/>
        <w:spacing w:after="44" w:before="0" w:line="245" w:lineRule="auto"/>
        <w:jc w:val="left"/>
      </w:pPr>
      <w:r>
        <w:t>„AMAVIO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pPr>
        <w:pStyle w:val="BodyText"/>
        <w:spacing w:after="44" w:before="0" w:line="245" w:lineRule="auto"/>
        <w:jc w:val="left"/>
      </w:pPr>
      <w:r>
        <w:rPr>
          <w:rFonts w:ascii="Arial" w:hAnsi="Arial" w:eastAsia="Arial"/>
          <w:i w:val="0"/>
          <w:color w:val="243447"/>
          <w:sz w:val="19"/>
        </w:rPr>
        <w:t>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RECHTSTRÄGER-LOGIK  </w:t>
      </w:r>
      <w:r>
        <w:rPr>
          <w:rFonts w:ascii="Arial" w:hAnsi="Arial" w:eastAsia="Arial"/>
          <w:color w:val="243447"/>
          <w:sz w:val="19"/>
        </w:rPr>
        <w:t>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pPr>
        <w:pStyle w:val="Heading3"/>
        <w:keepNext/>
        <w:spacing w:after="30" w:before="70" w:line="240" w:lineRule="auto"/>
      </w:pPr>
      <w:r>
        <w:rPr>
          <w:rFonts w:ascii="Arial" w:hAnsi="Arial" w:eastAsia="Arial" w:cs="Arial"/>
          <w:b/>
          <w:color w:val="102A43"/>
          <w:sz w:val="20"/>
        </w:rPr>
        <w:t>Unternehmensgegenstand als Start-Gate</w:t>
      </w:r>
    </w:p>
    <w:p>
      <w:pPr>
        <w:pStyle w:val="BodyText"/>
        <w:spacing w:after="44" w:before="0" w:line="245" w:lineRule="auto"/>
        <w:jc w:val="left"/>
      </w:pPr>
      <w:r>
        <w:rPr>
          <w:rFonts w:ascii="Arial" w:hAnsi="Arial" w:eastAsia="Arial"/>
          <w:i w:val="0"/>
          <w:color w:val="243447"/>
          <w:sz w:val="19"/>
        </w:rPr>
        <w:t>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4950"/>
        <w:gridCol w:w="2800"/>
      </w:tblGrid>
      <w:tr>
        <w:trPr>
          <w:tblHeader/>
          <w:tblHeader w:val="true"/>
        </w:trPr>
        <w:tc>
          <w:tcPr>
            <w:tcW w:type="dxa" w:w="2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Gate</w:t>
            </w:r>
          </w:p>
        </w:tc>
        <w:tc>
          <w:tcPr>
            <w:tcW w:type="dxa" w:w="4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Pflichtnachweis vor Freigabe</w:t>
            </w:r>
          </w:p>
        </w:tc>
        <w:tc>
          <w:tcPr>
            <w:tcW w:type="dxa" w:w="2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Verantwortung</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Satzung und Gewerbe</w:t>
            </w:r>
          </w:p>
        </w:tc>
        <w:tc>
          <w:tcPr>
            <w:tcW w:type="dxa" w:w="4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Unternehmensgegenstand, Gewerbeanmeldung und tatsächliche Leistung sind konsistent</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Geschäftsführung + Notariat/Recht</w:t>
            </w:r>
          </w:p>
        </w:tc>
      </w:tr>
      <w:tr>
        <w:trPr>
          <w:cantSplit/>
        </w:trPr>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Kundenvertrag</w:t>
            </w:r>
          </w:p>
        </w:tc>
        <w:tc>
          <w:tcPr>
            <w:tcW w:type="dxa" w:w="4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Leistungsbild, Haftungsgrenzen, Mitwirkung, Abnahme, Vergütung und Datenschutzrollen</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Geschäftsführung + Recht</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Wohn-/Objektvertrag</w:t>
            </w:r>
          </w:p>
        </w:tc>
        <w:tc>
          <w:tcPr>
            <w:tcW w:type="dxa" w:w="4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Nutzung, Untervermietung, Laufzeit, Kaution, Versicherung und Exit sind geprüft</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Geschäftsführung + Objekt-/Rechtsfachleute</w:t>
            </w:r>
          </w:p>
        </w:tc>
      </w:tr>
      <w:tr>
        <w:trPr>
          <w:cantSplit/>
        </w:trPr>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Fachleistung</w:t>
            </w:r>
          </w:p>
        </w:tc>
        <w:tc>
          <w:tcPr>
            <w:tcW w:type="dxa" w:w="4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Genehmigungs-, Steuer-, Rechts- oder Technikberatung wird nur durch befugte Partner erbracht</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jeweiliger Fachpartner</w:t>
            </w:r>
          </w:p>
        </w:tc>
      </w:tr>
    </w:tbl>
    <w:p>
      <w:pPr>
        <w:pStyle w:val="Heading2"/>
        <w:keepNext/>
        <w:pBdr>
          <w:bottom w:val="single" w:sz="8" w:space="6" w:color="B08D57"/>
        </w:pBdr>
        <w:spacing w:after="50" w:before="100" w:line="240" w:lineRule="auto"/>
      </w:pPr>
      <w:r>
        <w:rPr>
          <w:rFonts w:ascii="Arial" w:hAnsi="Arial" w:eastAsia="Arial" w:cs="Arial"/>
          <w:b/>
          <w:color w:val="1E3A5F"/>
          <w:sz w:val="24"/>
        </w:rPr>
        <w:t>Führung, Governance und kaufmännische Kontrolle</w:t>
      </w:r>
    </w:p>
    <w:p>
      <w:pPr>
        <w:pStyle w:val="BodyText"/>
        <w:spacing w:after="44" w:before="0" w:line="245" w:lineRule="auto"/>
        <w:jc w:val="left"/>
      </w:pPr>
      <w:r>
        <w:rPr>
          <w:rFonts w:ascii="Arial" w:hAnsi="Arial" w:eastAsia="Arial"/>
          <w:i w:val="0"/>
          <w:color w:val="243447"/>
          <w:sz w:val="19"/>
        </w:rPr>
        <w:t>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650"/>
        <w:gridCol w:w="3200"/>
      </w:tblGrid>
      <w:tr>
        <w:trPr>
          <w:tblHeader/>
          <w:tblHeader w:val="true"/>
        </w:trPr>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Steuerungsrhythmus</w:t>
            </w:r>
          </w:p>
        </w:tc>
        <w:tc>
          <w:tcPr>
            <w:tcW w:type="dxa" w:w="4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Inhalt</w:t>
            </w:r>
          </w:p>
        </w:tc>
        <w:tc>
          <w:tcPr>
            <w:tcW w:type="dxa" w:w="3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Auslöser / Ergebnis</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Wöchentlich</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Liquiditätsstatus, Forderungen, Projektstunden, Risiken und Entscheidungen</w:t>
            </w:r>
          </w:p>
        </w:tc>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sofortige Eskalation bei Termin-, Budget- oder Zahlungsrisiko</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Monatlich</w:t>
            </w:r>
          </w:p>
        </w:tc>
        <w:tc>
          <w:tcPr>
            <w:tcW w:type="dxa" w:w="4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BWA/Controlling, Pipeline, Auftragsbestand, Deckungsbeitrag und Kapazität</w:t>
            </w:r>
          </w:p>
        </w:tc>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Forecast für mindestens 13 Wochen und rollierend 12 Monate</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Je Auftrag</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Angebotskalkulation, Zahlungsplan, Fremdkosten, Change Requests und Nachkalkulation</w:t>
            </w:r>
          </w:p>
        </w:tc>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Go-/No-Go sowie Lernwerte für Folgeangebote</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Jährlich</w:t>
            </w:r>
          </w:p>
        </w:tc>
        <w:tc>
          <w:tcPr>
            <w:tcW w:type="dxa" w:w="4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Jahresabschluss, Ergebnisverwendung, Rücklage, Offenlegung und Steuererklärungen</w:t>
            </w:r>
          </w:p>
        </w:tc>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Gesellschafterbeschlüsse und Compliance-Nachweis</w:t>
            </w:r>
          </w:p>
        </w:tc>
      </w:tr>
    </w:tbl>
    <w:p>
      <w:pPr>
        <w:pStyle w:val="Heading3"/>
        <w:keepNext/>
        <w:spacing w:after="30" w:before="70" w:line="240" w:lineRule="auto"/>
      </w:pPr>
      <w:r>
        <w:rPr>
          <w:rFonts w:ascii="Arial" w:hAnsi="Arial" w:eastAsia="Arial" w:cs="Arial"/>
          <w:b/>
          <w:color w:val="102A43"/>
          <w:sz w:val="20"/>
        </w:rPr>
        <w:t>Verpflichtungs- und Freigabegrenzen</w:t>
      </w:r>
    </w:p>
    <w:p>
      <w:pPr>
        <w:spacing w:before="0" w:after="44" w:line="245" w:lineRule="auto"/>
        <w:ind w:left="0"/>
        <w:jc w:val="left"/>
      </w:pPr>
      <w:r>
        <w:rPr>
          <w:rFonts w:ascii="Arial" w:hAnsi="Arial" w:eastAsia="Arial"/>
          <w:b/>
          <w:color w:val="B08D57"/>
          <w:sz w:val="19"/>
        </w:rPr>
        <w:t xml:space="preserve">01  </w:t>
      </w:r>
      <w:r>
        <w:rPr>
          <w:rFonts w:ascii="Arial" w:hAnsi="Arial" w:eastAsia="Arial"/>
          <w:b/>
          <w:color w:val="102A43"/>
          <w:sz w:val="19"/>
        </w:rPr>
        <w:t xml:space="preserve">Keine private Vermischung  </w:t>
      </w:r>
      <w:r>
        <w:rPr>
          <w:rFonts w:ascii="Arial" w:hAnsi="Arial" w:eastAsia="Arial"/>
          <w:color w:val="243447"/>
          <w:sz w:val="19"/>
        </w:rPr>
        <w:t>Geschäfts- und Privatvermögen, Konten, Ausgaben und Verträge werden strikt getrennt.</w:t>
      </w:r>
    </w:p>
    <w:p>
      <w:pPr>
        <w:spacing w:before="0" w:after="44" w:line="245" w:lineRule="auto"/>
        <w:ind w:left="0"/>
        <w:jc w:val="left"/>
      </w:pPr>
      <w:r>
        <w:rPr>
          <w:rFonts w:ascii="Arial" w:hAnsi="Arial" w:eastAsia="Arial"/>
          <w:b/>
          <w:color w:val="B08D57"/>
          <w:sz w:val="19"/>
        </w:rPr>
        <w:t xml:space="preserve">02  </w:t>
      </w:r>
      <w:r>
        <w:rPr>
          <w:rFonts w:ascii="Arial" w:hAnsi="Arial" w:eastAsia="Arial"/>
          <w:b/>
          <w:color w:val="102A43"/>
          <w:sz w:val="19"/>
        </w:rPr>
        <w:t xml:space="preserve">Vier-Augen-Prüfung bei Spezialrisiken  </w:t>
      </w:r>
      <w:r>
        <w:rPr>
          <w:rFonts w:ascii="Arial" w:hAnsi="Arial" w:eastAsia="Arial"/>
          <w:color w:val="243447"/>
          <w:sz w:val="19"/>
        </w:rPr>
        <w:t>Miet-, Bau-, Steuer-, Datenschutz- und haftungsrelevante Fragen erhalten eine dokumentierte Fachprüfung.</w:t>
      </w:r>
    </w:p>
    <w:p>
      <w:pPr>
        <w:spacing w:before="0" w:after="44" w:line="245" w:lineRule="auto"/>
        <w:ind w:left="0"/>
        <w:jc w:val="left"/>
      </w:pPr>
      <w:r>
        <w:rPr>
          <w:rFonts w:ascii="Arial" w:hAnsi="Arial" w:eastAsia="Arial"/>
          <w:b/>
          <w:color w:val="B08D57"/>
          <w:sz w:val="19"/>
        </w:rPr>
        <w:t xml:space="preserve">03  </w:t>
      </w:r>
      <w:r>
        <w:rPr>
          <w:rFonts w:ascii="Arial" w:hAnsi="Arial" w:eastAsia="Arial"/>
          <w:b/>
          <w:color w:val="102A43"/>
          <w:sz w:val="19"/>
        </w:rPr>
        <w:t xml:space="preserve">Keine ungedeckte Vorleistung  </w:t>
      </w:r>
      <w:r>
        <w:rPr>
          <w:rFonts w:ascii="Arial" w:hAnsi="Arial" w:eastAsia="Arial"/>
          <w:color w:val="243447"/>
          <w:sz w:val="19"/>
        </w:rPr>
        <w:t>Projektstart und wesentliche Fremdbeauftragung setzen fällige Kundenzahlung oder gesicherte Finanzierung voraus.</w:t>
      </w:r>
    </w:p>
    <w:p>
      <w:pPr>
        <w:spacing w:before="0" w:after="44" w:line="245" w:lineRule="auto"/>
        <w:ind w:left="0"/>
        <w:jc w:val="left"/>
      </w:pPr>
      <w:r>
        <w:rPr>
          <w:rFonts w:ascii="Arial" w:hAnsi="Arial" w:eastAsia="Arial"/>
          <w:b/>
          <w:color w:val="B08D57"/>
          <w:sz w:val="19"/>
        </w:rPr>
        <w:t xml:space="preserve">04  </w:t>
      </w:r>
      <w:r>
        <w:rPr>
          <w:rFonts w:ascii="Arial" w:hAnsi="Arial" w:eastAsia="Arial"/>
          <w:b/>
          <w:color w:val="102A43"/>
          <w:sz w:val="19"/>
        </w:rPr>
        <w:t xml:space="preserve">Liquiditätsfrühwarnung  </w:t>
      </w:r>
      <w:r>
        <w:rPr>
          <w:rFonts w:ascii="Arial" w:hAnsi="Arial" w:eastAsia="Arial"/>
          <w:color w:val="243447"/>
          <w:sz w:val="19"/>
        </w:rPr>
        <w:t>Zahlungsfähigkeit und Überschuldungsrisiken werden laufend überwacht; bei Krisenanzeichen wird unverzüglich fachlicher Rat eingeholt. [Q42]</w:t>
      </w:r>
    </w:p>
    <w:p>
      <w:pPr>
        <w:spacing w:before="0" w:after="44" w:line="245" w:lineRule="auto"/>
        <w:ind w:left="0"/>
        <w:jc w:val="left"/>
      </w:pPr>
      <w:r>
        <w:rPr>
          <w:rFonts w:ascii="Arial" w:hAnsi="Arial" w:eastAsia="Arial"/>
          <w:b/>
          <w:color w:val="B08D57"/>
          <w:sz w:val="19"/>
        </w:rPr>
        <w:t xml:space="preserve">05  </w:t>
      </w:r>
      <w:r>
        <w:rPr>
          <w:rFonts w:ascii="Arial" w:hAnsi="Arial" w:eastAsia="Arial"/>
          <w:b/>
          <w:color w:val="102A43"/>
          <w:sz w:val="19"/>
        </w:rPr>
        <w:t xml:space="preserve">Gesellschaftergeschäfte dokumentieren  </w:t>
      </w:r>
      <w:r>
        <w:rPr>
          <w:rFonts w:ascii="Arial" w:hAnsi="Arial" w:eastAsia="Arial"/>
          <w:color w:val="243447"/>
          <w:sz w:val="19"/>
        </w:rPr>
        <w:t>Leistungen, Darlehen und Auslagen zwischen Gründer und Gesellschaft werden schriftlich, fremdüblich und steuerlich nachvollziehbar behandelt.</w:t>
      </w:r>
    </w:p>
    <w:p>
      <w:pPr>
        <w:pStyle w:val="Heading2"/>
        <w:keepNext/>
        <w:pBdr>
          <w:bottom w:val="single" w:sz="8" w:space="6" w:color="B08D57"/>
        </w:pBdr>
        <w:spacing w:after="50" w:before="100" w:line="240" w:lineRule="auto"/>
      </w:pPr>
      <w:r>
        <w:rPr>
          <w:rFonts w:ascii="Arial" w:hAnsi="Arial" w:eastAsia="Arial" w:cs="Arial"/>
          <w:b/>
          <w:color w:val="1E3A5F"/>
          <w:sz w:val="24"/>
        </w:rPr>
        <w:t>Organisationsmodell und Verantwortungsgrenzen</w:t>
      </w:r>
    </w:p>
    <w:p>
      <w:pPr>
        <w:pStyle w:val="BodyText"/>
        <w:spacing w:after="44" w:before="0" w:line="245" w:lineRule="auto"/>
        <w:jc w:val="left"/>
      </w:pPr>
      <w:r>
        <w:rPr>
          <w:rFonts w:ascii="Arial" w:hAnsi="Arial" w:eastAsia="Arial"/>
          <w:i w:val="0"/>
          <w:color w:val="243447"/>
          <w:sz w:val="19"/>
        </w:rPr>
        <w:t>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3100"/>
        <w:gridCol w:w="4150"/>
      </w:tblGrid>
      <w:tr>
        <w:trPr>
          <w:tblHeader/>
          <w:tblHeader w:val="true"/>
        </w:trPr>
        <w:tc>
          <w:tcPr>
            <w:tcW w:type="dxa" w:w="2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Funktion</w:t>
            </w:r>
          </w:p>
        </w:tc>
        <w:tc>
          <w:tcPr>
            <w:tcW w:type="dxa" w:w="3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Startverantwortung</w:t>
            </w:r>
          </w:p>
        </w:tc>
        <w:tc>
          <w:tcPr>
            <w:tcW w:type="dxa" w:w="41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Grenze / externer Bedarf</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Geschäftsführung und Vertrieb</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Gründer</w:t>
            </w:r>
          </w:p>
        </w:tc>
        <w:tc>
          <w:tcPr>
            <w:tcW w:type="dxa" w:w="41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keine unautorisierten Abschlussvollmachten für Partner</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Projektleitung und Kundenreporting</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Gründer; später Projektleitung</w:t>
            </w:r>
          </w:p>
        </w:tc>
        <w:tc>
          <w:tcPr>
            <w:tcW w:type="dxa" w:w="41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definierte Eskalationen bleiben bei Geschäftsführung</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Objektsuche und kaufmännische Prüfung</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AMAVIO + lokale Immobilienpartner</w:t>
            </w:r>
          </w:p>
        </w:tc>
        <w:tc>
          <w:tcPr>
            <w:tcW w:type="dxa" w:w="41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Rechts-, Bau- und Technikprüfung extern</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Möblierung, Logistik und Handwerk</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AMAVIO steuert</w:t>
            </w:r>
          </w:p>
        </w:tc>
        <w:tc>
          <w:tcPr>
            <w:tcW w:type="dxa" w:w="41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Ausführung, Gewährleistung und Arbeitsschutz beim Auftragnehmer</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Arrival und Bewohnerkommunikation</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AMAVIO-Standard + geschulte Vor-Ort-Partner</w:t>
            </w:r>
          </w:p>
        </w:tc>
        <w:tc>
          <w:tcPr>
            <w:tcW w:type="dxa" w:w="41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keine Rechts-, Anerkennungs- oder medizinische Beratung</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Finanzen, Steuern und Lohn</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Geschäftsführung + Steuerberatung</w:t>
            </w:r>
          </w:p>
        </w:tc>
        <w:tc>
          <w:tcPr>
            <w:tcW w:type="dxa" w:w="41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Buchungs- und Abschlussprozesse fachlich begleitet</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Datenschutz und IT-Sicherheit</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Geschäftsführung als Owner</w:t>
            </w:r>
          </w:p>
        </w:tc>
        <w:tc>
          <w:tcPr>
            <w:tcW w:type="dxa" w:w="41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Verträge, Rollen und Spezialprüfung extern</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Technologie / Welcome OS</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Prozess-Owner intern; Entwicklung später</w:t>
            </w:r>
          </w:p>
        </w:tc>
        <w:tc>
          <w:tcPr>
            <w:tcW w:type="dxa" w:w="41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keine Eigenentwicklung vor validierten Workflows und Budget</w:t>
            </w:r>
          </w:p>
        </w:tc>
      </w:tr>
    </w:tbl>
    <w:p>
      <w:pPr>
        <w:pStyle w:val="Heading3"/>
        <w:keepNext/>
        <w:spacing w:after="30" w:before="70" w:line="240" w:lineRule="auto"/>
      </w:pPr>
      <w:r>
        <w:rPr>
          <w:rFonts w:ascii="Arial" w:hAnsi="Arial" w:eastAsia="Arial" w:cs="Arial"/>
          <w:b/>
          <w:color w:val="102A43"/>
          <w:sz w:val="20"/>
        </w:rPr>
        <w:t>Partnerqualifizierung</w:t>
      </w:r>
    </w:p>
    <w:p>
      <w:pPr>
        <w:pStyle w:val="BodyText"/>
        <w:spacing w:after="44" w:before="0" w:line="245" w:lineRule="auto"/>
        <w:jc w:val="left"/>
      </w:pPr>
      <w:r>
        <w:rPr>
          <w:rFonts w:ascii="Arial" w:hAnsi="Arial" w:eastAsia="Arial"/>
          <w:i w:val="0"/>
          <w:color w:val="243447"/>
          <w:sz w:val="19"/>
        </w:rPr>
        <w:t>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200"/>
        <w:gridCol w:w="2900"/>
      </w:tblGrid>
      <w:tr>
        <w:trPr>
          <w:tblHeader/>
          <w:tblHeader w:val="true"/>
        </w:trPr>
        <w:tc>
          <w:tcPr>
            <w:tcW w:type="dxa" w:w="2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Partnergruppe</w:t>
            </w:r>
          </w:p>
        </w:tc>
        <w:tc>
          <w:tcPr>
            <w:tcW w:type="dxa" w:w="4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Kernprüfung</w:t>
            </w:r>
          </w:p>
        </w:tc>
        <w:tc>
          <w:tcPr>
            <w:tcW w:type="dxa" w:w="2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Einsatz</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 / Notariat / Steuer</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Zulassung, Spezialisierung und eindeutiges Mandat</w:t>
            </w:r>
          </w:p>
        </w:tc>
        <w:tc>
          <w:tcPr>
            <w:tcW w:type="dxa" w:w="2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Satzung, Verträge, Steuerlogik, Jahresabschluss</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Architektur / Brandschutz / Technik</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Qualifikation, Haftpflicht und dokumentierbare Ergebnisse</w:t>
            </w:r>
          </w:p>
        </w:tc>
        <w:tc>
          <w:tcPr>
            <w:tcW w:type="dxa" w:w="2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nur objekt- und genehmigungsbezogen</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Makler / Vermieter / Wohnungsunternehmen</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Mandat, Vergütung, Nutzung und Objektzugang</w:t>
            </w:r>
          </w:p>
        </w:tc>
        <w:tc>
          <w:tcPr>
            <w:tcW w:type="dxa" w:w="2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Supply-Aufbau ohne unklare Doppelrolle</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Möbel / Handwerk / Logistik</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Preis, Termin, Gewährleistung und Ersatzfähigkeit</w:t>
            </w:r>
          </w:p>
        </w:tc>
        <w:tc>
          <w:tcPr>
            <w:tcW w:type="dxa" w:w="2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bezugsfertige Übergabe</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Mehrsprachiger Support / Community</w:t>
            </w:r>
          </w:p>
        </w:tc>
        <w:tc>
          <w:tcPr>
            <w:tcW w:type="dxa" w:w="4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Sprache, Eignung, Vertraulichkeit und Schutzkonzept</w:t>
            </w:r>
          </w:p>
        </w:tc>
        <w:tc>
          <w:tcPr>
            <w:tcW w:type="dxa" w:w="2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projektbezogen nach Zielgruppe</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Software / IT</w:t>
            </w:r>
          </w:p>
        </w:tc>
        <w:tc>
          <w:tcPr>
            <w:tcW w:type="dxa" w:w="4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Datenschutz, Rollen, Export, Verfügbarkeit und Kosten</w:t>
            </w:r>
          </w:p>
        </w:tc>
        <w:tc>
          <w:tcPr>
            <w:tcW w:type="dxa" w:w="2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Standardsoftware vor Eigenentwicklung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Personalaufbau nach nachgewiesener Nachfrage</w:t>
      </w:r>
    </w:p>
    <w:p>
      <w:pPr>
        <w:pStyle w:val="BodyText"/>
        <w:spacing w:after="44" w:before="0" w:line="245" w:lineRule="auto"/>
        <w:jc w:val="left"/>
      </w:pPr>
      <w:r>
        <w:rPr>
          <w:rFonts w:ascii="Arial" w:hAnsi="Arial" w:eastAsia="Arial"/>
          <w:i w:val="0"/>
          <w:color w:val="243447"/>
          <w:sz w:val="19"/>
        </w:rPr>
        <w:t>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5000"/>
        <w:gridCol w:w="2950"/>
      </w:tblGrid>
      <w:tr>
        <w:trPr>
          <w:tblHeader/>
          <w:tblHeader w:val="true"/>
        </w:trPr>
        <w:tc>
          <w:tcPr>
            <w:tcW w:type="dxa" w:w="1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Stufe</w:t>
            </w:r>
          </w:p>
        </w:tc>
        <w:tc>
          <w:tcPr>
            <w:tcW w:type="dxa" w:w="5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Auslöser</w:t>
            </w:r>
          </w:p>
        </w:tc>
        <w:tc>
          <w:tcPr>
            <w:tcW w:type="dxa" w:w="2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Rolle / Wirkung</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0 · Start</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bis zu 1 Launch + 1 Blueprint parallel</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Gründer führt; Fach- und Vor-Ort-Leistungen projektbezogen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 · Projektassistenz</w:t>
            </w:r>
          </w:p>
        </w:tc>
        <w:tc>
          <w:tcPr>
            <w:tcW w:type="dxa" w:w="5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wiederkehrender Auftragsbestand, &gt; 20 Std./Woche delegierbare Delivery und 6-Monats-Reserve</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Dokumentation, Termine, Partner- und Einzugskoordination</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 · Projektleitung</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zweiter paralleler Launch oder mehrere Standorte mit gesicherter Pipeline</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übernimmt Standardprojekte; Gründer fokussiert Key Accounts und Freigaben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 · Operations / Housing</w:t>
            </w:r>
          </w:p>
        </w:tc>
        <w:tc>
          <w:tcPr>
            <w:tcW w:type="dxa" w:w="5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wiederkehrender Objekt- oder Office-Betrieb mit planbarer Grundgebühr</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Servicefälle, Qualitätssteuerung, Objekt- und Bewohnerprozesse</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 · Finance / Administration</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Transaktionsvolumen und Berichtspflichten überschreiten externe/Gründer-Kapazität</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Forderungen, Belege, Projektcontrolling und Vertragsadministration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5 · Produkt / IT</w:t>
            </w:r>
          </w:p>
        </w:tc>
        <w:tc>
          <w:tcPr>
            <w:tcW w:type="dxa" w:w="5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mindestens drei wiederkehrende Kundenworkflows und finanziertes MVP</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Produktisierung; keine Vorwegnahme einer unbewiesenen Plattform</w:t>
            </w:r>
          </w:p>
        </w:tc>
      </w:tr>
    </w:tbl>
    <w:p>
      <w:pPr>
        <w:pStyle w:val="Heading3"/>
        <w:keepNext/>
        <w:spacing w:after="30" w:before="70" w:line="240" w:lineRule="auto"/>
      </w:pPr>
      <w:r>
        <w:rPr>
          <w:rFonts w:ascii="Arial" w:hAnsi="Arial" w:eastAsia="Arial" w:cs="Arial"/>
          <w:b/>
          <w:color w:val="102A43"/>
          <w:sz w:val="20"/>
        </w:rPr>
        <w:t>Rollenprofil der ersten Einstellung</w:t>
      </w:r>
    </w:p>
    <w:p>
      <w:pPr>
        <w:pStyle w:val="BodyText"/>
        <w:spacing w:after="44" w:before="0" w:line="245" w:lineRule="auto"/>
        <w:jc w:val="left"/>
      </w:pPr>
      <w:r>
        <w:rPr>
          <w:rFonts w:ascii="Arial" w:hAnsi="Arial" w:eastAsia="Arial"/>
          <w:i w:val="0"/>
          <w:color w:val="243447"/>
          <w:sz w:val="19"/>
        </w:rPr>
        <w:t>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EINSTELLUNGSREGEL  </w:t>
      </w:r>
      <w:r>
        <w:rPr>
          <w:rFonts w:ascii="Arial" w:hAnsi="Arial" w:eastAsia="Arial"/>
          <w:color w:val="243447"/>
          <w:sz w:val="19"/>
        </w:rPr>
        <w:t>Eine neue Rolle muss entweder abrechenbare Kapazität schaffen, eine nachweisbare Qualitäts- oder Risikolücke schließen oder den Gründer für höherwertigen Vertrieb und Projektführung freisetzen. Reines Wachstum der Kopfzahl ist kein Meilenstein.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50"/>
        <w:gridCol w:w="3750"/>
      </w:tblGrid>
      <w:tr>
        <w:trPr>
          <w:tblHeader/>
          <w:tblHeader w:val="true"/>
        </w:trPr>
        <w:tc>
          <w:tcPr>
            <w:tcW w:type="dxa" w:w="23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Risiko</w:t>
            </w:r>
          </w:p>
        </w:tc>
        <w:tc>
          <w:tcPr>
            <w:tcW w:type="dxa" w:w="3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Auswirkung</w:t>
            </w:r>
          </w:p>
        </w:tc>
        <w:tc>
          <w:tcPr>
            <w:tcW w:type="dxa" w:w="3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Gegenmaßnahme</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Gründerabhängigkeit</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Vertrieb, Wissen und Freigaben konzentrieren sich auf eine Person</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CRM, Prozessakten, Vertretungsplan, standardisierte Angebote und Übergaben</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Partnerausfall</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Einzug, Technik oder Liefertermin gefährdet</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Ersatzpartner, klare SLAs, Meilensteinzahlungen und Eskalation</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Scope Creep</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unbezahlte Arbeit und Kapazitätsverlust</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Leistungsgrenzen, Stundenbudget und verpflichtender Change Request</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Fachliche Grenzüberschreitung</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Haftung und Vertrauensverlust</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Befugnisse klar benennen; Spezialfragen extern mandatieren</w:t>
            </w:r>
          </w:p>
        </w:tc>
      </w:tr>
      <w:tr>
        <w:trPr>
          <w:cantSplit/>
        </w:trPr>
        <w:tc>
          <w:tcPr>
            <w:tcW w:type="dxa" w:w="2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 früher Personalaufbau</w:t>
            </w:r>
          </w:p>
        </w:tc>
        <w:tc>
          <w:tcPr>
            <w:tcW w:type="dxa" w:w="3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Fixkosten ohne gesicherten Umsatz</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Pipeline-, Reserve- und Delegierbarkeits-Gate</w:t>
            </w:r>
          </w:p>
        </w:tc>
      </w:tr>
      <w:tr>
        <w:trPr>
          <w:cantSplit/>
        </w:trPr>
        <w:tc>
          <w:tcPr>
            <w:tcW w:type="dxa" w:w="2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 früher Objektbetrieb</w:t>
            </w:r>
          </w:p>
        </w:tc>
        <w:tc>
          <w:tcPr>
            <w:tcW w:type="dxa" w:w="3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Miet-, Kautions- und Leerstandsrisiko</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separates Nachfrage-, Rechts-, Finanzierungs- und Stress-Gate</w:t>
            </w:r>
          </w:p>
        </w:tc>
      </w:tr>
    </w:tbl>
    <w:p>
      <w:pPr>
        <w:pStyle w:val="Heading1"/>
        <w:keepNext/>
        <w:spacing w:before="140" w:after="80" w:line="240" w:lineRule="auto"/>
        <w:pBdr>
          <w:bottom w:val="single" w:sz="8" w:space="6" w:color="B08D57"/>
        </w:pBdr>
      </w:pPr>
      <w:r>
        <w:rPr>
          <w:rFonts w:ascii="Arial" w:hAnsi="Arial" w:eastAsia="Arial" w:cs="Arial"/>
          <w:b/>
          <w:color w:val="102A43"/>
          <w:sz w:val="32"/>
        </w:rPr>
        <w:t>8. Erlösmodell, Preisstrategie und Wirtschaftlichkeit</w:t>
      </w:r>
    </w:p>
    <w:p>
      <w:pPr>
        <w:pStyle w:val="Heading2"/>
        <w:keepNext/>
        <w:pBdr>
          <w:bottom w:val="single" w:sz="8" w:space="6" w:color="B08D57"/>
        </w:pBdr>
        <w:spacing w:after="50" w:before="100" w:line="240" w:lineRule="auto"/>
      </w:pPr>
      <w:r>
        <w:rPr>
          <w:rFonts w:ascii="Arial" w:hAnsi="Arial" w:eastAsia="Arial" w:cs="Arial"/>
          <w:b/>
          <w:color w:val="1E3A5F"/>
          <w:sz w:val="24"/>
        </w:rPr>
        <w:t>Erlösarchitektur: Projektgeschäft zuerst</w:t>
      </w:r>
    </w:p>
    <w:p>
      <w:pPr>
        <w:pStyle w:val="BodyText"/>
        <w:spacing w:after="44" w:before="0" w:line="245" w:lineRule="auto"/>
        <w:jc w:val="left"/>
      </w:pPr>
      <w:r>
        <w:rPr>
          <w:rFonts w:ascii="Arial" w:hAnsi="Arial" w:eastAsia="Arial"/>
          <w:i w:val="0"/>
          <w:color w:val="243447"/>
          <w:sz w:val="19"/>
        </w:rPr>
        <w:t>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50"/>
        <w:gridCol w:w="3850"/>
        <w:gridCol w:w="3350"/>
      </w:tblGrid>
      <w:tr>
        <w:trPr>
          <w:tblHeader/>
          <w:tblHeader w:val="true"/>
        </w:trPr>
        <w:tc>
          <w:tcPr>
            <w:tcW w:type="dxa" w:w="25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Erlösstrom</w:t>
            </w:r>
          </w:p>
        </w:tc>
        <w:tc>
          <w:tcPr>
            <w:tcW w:type="dxa" w:w="3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Abrechnung</w:t>
            </w:r>
          </w:p>
        </w:tc>
        <w:tc>
          <w:tcPr>
            <w:tcW w:type="dxa" w:w="33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Wirtschaftliche Funktion</w:t>
            </w:r>
          </w:p>
        </w:tc>
      </w:tr>
      <w:tr>
        <w:trPr>
          <w:cantSplit/>
        </w:trPr>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Blueprint</w:t>
            </w:r>
          </w:p>
        </w:tc>
        <w:tc>
          <w:tcPr>
            <w:tcW w:type="dxa" w:w="3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Festpreis nach Standorten, Varianten und Entscheidungsumfang</w:t>
            </w:r>
          </w:p>
        </w:tc>
        <w:tc>
          <w:tcPr>
            <w:tcW w:type="dxa" w:w="3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früher Cashflow und bezahlte Machbarkeitsentscheidung</w:t>
            </w:r>
          </w:p>
        </w:tc>
      </w:tr>
      <w:tr>
        <w:trPr>
          <w:cantSplit/>
        </w:trPr>
        <w:tc>
          <w:tcPr>
            <w:tcW w:type="dxa" w:w="2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Launch</w:t>
            </w:r>
          </w:p>
        </w:tc>
        <w:tc>
          <w:tcPr>
            <w:tcW w:type="dxa" w:w="3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Festpreis mit Meilensteinen; Fremdkosten getrennt</w:t>
            </w:r>
          </w:p>
        </w:tc>
        <w:tc>
          <w:tcPr>
            <w:tcW w:type="dxa" w:w="3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Umsetzungserlös aus Projektleitung, Supply und Bezugsfertigkeit</w:t>
            </w:r>
          </w:p>
        </w:tc>
      </w:tr>
      <w:tr>
        <w:trPr>
          <w:cantSplit/>
        </w:trPr>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Housing &amp; Arrival Office</w:t>
            </w:r>
          </w:p>
        </w:tc>
        <w:tc>
          <w:tcPr>
            <w:tcW w:type="dxa" w:w="3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Setup + monatliche Grundgebühr + definierte Mengentreiber</w:t>
            </w:r>
          </w:p>
        </w:tc>
        <w:tc>
          <w:tcPr>
            <w:tcW w:type="dxa" w:w="3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wiederkehrender Umsatz und planbare Kundenbindung</w:t>
            </w:r>
          </w:p>
        </w:tc>
      </w:tr>
      <w:tr>
        <w:trPr>
          <w:cantSplit/>
        </w:trPr>
        <w:tc>
          <w:tcPr>
            <w:tcW w:type="dxa" w:w="2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Zusatzmodule</w:t>
            </w:r>
          </w:p>
        </w:tc>
        <w:tc>
          <w:tcPr>
            <w:tcW w:type="dxa" w:w="3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separater Festpreis, Tagessatz oder Stückpreis</w:t>
            </w:r>
          </w:p>
        </w:tc>
        <w:tc>
          <w:tcPr>
            <w:tcW w:type="dxa" w:w="33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nur bei klarem Zusatznutzen und eigener Leistungsbeschreibung</w:t>
            </w:r>
          </w:p>
        </w:tc>
      </w:tr>
      <w:tr>
        <w:trPr>
          <w:cantSplit/>
        </w:trPr>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Objektbetrieb später</w:t>
            </w:r>
          </w:p>
        </w:tc>
        <w:tc>
          <w:tcPr>
            <w:tcW w:type="dxa" w:w="3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Miet-/Nutzungsentgelt und ggf. B2B-Service</w:t>
            </w:r>
          </w:p>
        </w:tc>
        <w:tc>
          <w:tcPr>
            <w:tcW w:type="dxa" w:w="33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skalierbarer, aber kapital- und risikointensiver Umsatz</w:t>
            </w:r>
          </w:p>
        </w:tc>
      </w:tr>
    </w:tbl>
    <w:p>
      <w:pPr>
        <w:pStyle w:val="Heading2"/>
        <w:keepNext/>
        <w:pBdr>
          <w:bottom w:val="single" w:sz="8" w:space="6" w:color="B08D57"/>
        </w:pBdr>
        <w:spacing w:after="50" w:before="100" w:line="240" w:lineRule="auto"/>
      </w:pPr>
      <w:r>
        <w:rPr>
          <w:rFonts w:ascii="Arial" w:hAnsi="Arial" w:eastAsia="Arial" w:cs="Arial"/>
          <w:b/>
          <w:color w:val="1E3A5F"/>
          <w:sz w:val="24"/>
        </w:rPr>
        <w:t>Preisbildung und interne Kalkulationslogik</w:t>
      </w:r>
    </w:p>
    <w:p>
      <w:pPr>
        <w:pStyle w:val="BodyText"/>
        <w:spacing w:after="44" w:before="0" w:line="245" w:lineRule="auto"/>
        <w:jc w:val="left"/>
      </w:pPr>
      <w:r>
        <w:rPr>
          <w:rFonts w:ascii="Arial" w:hAnsi="Arial" w:eastAsia="Arial"/>
          <w:i w:val="0"/>
          <w:color w:val="243447"/>
          <w:sz w:val="19"/>
        </w:rPr>
        <w:t>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p>
      <w:pPr>
        <w:spacing w:before="0" w:after="44" w:line="245" w:lineRule="auto"/>
        <w:shd w:fill="EEF3F7"/>
        <w:pBdr>
          <w:left w:val="single" w:sz="18" w:space="10" w:color="1E3A5F"/>
        </w:pBdr>
        <w:ind w:left="180" w:right="120"/>
        <w:jc w:val="left"/>
      </w:pPr>
      <w:r>
        <w:rPr>
          <w:rFonts w:ascii="Arial" w:hAnsi="Arial" w:eastAsia="Arial"/>
          <w:b/>
          <w:color w:val="1E3A5F"/>
          <w:sz w:val="19"/>
        </w:rPr>
        <w:t xml:space="preserve">KALKULATIONSFORMEL  </w:t>
      </w:r>
      <w:r>
        <w:rPr>
          <w:rFonts w:ascii="Arial" w:hAnsi="Arial" w:eastAsia="Arial"/>
          <w:color w:val="243447"/>
          <w:sz w:val="19"/>
        </w:rPr>
        <w:t>Angebotspreis = abrechenbare interne Zeit × Verrechnungssatz + nicht weiterberechnete Direktkosten + Komplexitäts-/Risikopuffer. Durchlaufende Fremdkosten werden grundsätzlich separat ausgewiesen und nicht als eigener Umsatzvorteil behandelt.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2800"/>
        <w:gridCol w:w="4250"/>
      </w:tblGrid>
      <w:tr>
        <w:trPr>
          <w:tblHeader/>
          <w:tblHeader w:val="true"/>
        </w:trPr>
        <w:tc>
          <w:tcPr>
            <w:tcW w:type="dxa" w:w="2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Paket</w:t>
            </w:r>
          </w:p>
        </w:tc>
        <w:tc>
          <w:tcPr>
            <w:tcW w:type="dxa" w:w="2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Preisrahmen netto</w:t>
            </w:r>
          </w:p>
        </w:tc>
        <w:tc>
          <w:tcPr>
            <w:tcW w:type="dxa" w:w="4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Interne Plausibilitätsregel</w:t>
            </w:r>
          </w:p>
        </w:tc>
      </w:tr>
      <w:tr>
        <w:trPr>
          <w:cantSplit/>
        </w:trPr>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Blueprint</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Pilot ab 12.500 EUR; Standard 21.000–22.500 EUR</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Pilot nur mit begrenztem Ergebnis- und Stundenumfang; Standard 120–190 Std.</w:t>
            </w:r>
          </w:p>
        </w:tc>
      </w:tr>
      <w:tr>
        <w:trPr>
          <w:cantSplit/>
        </w:trPr>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Launch</w:t>
            </w:r>
          </w:p>
        </w:tc>
        <w:tc>
          <w:tcPr>
            <w:tcW w:type="dxa" w:w="2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Pilot ab 29.500 EUR; Standard 33.750–65.000 EUR zzgl. Fremdkosten</w:t>
            </w:r>
          </w:p>
        </w:tc>
        <w:tc>
          <w:tcPr>
            <w:tcW w:type="dxa" w:w="4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Pilot unter 300 Std.; Standard ab 300 Std. mit mindestens 900 EUR je Acht-Stunden-Tag</w:t>
            </w:r>
          </w:p>
        </w:tc>
      </w:tr>
      <w:tr>
        <w:trPr>
          <w:cantSplit/>
        </w:trPr>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Housing &amp; Arrival Office</w:t>
            </w:r>
          </w:p>
        </w:tc>
        <w:tc>
          <w:tcPr>
            <w:tcW w:type="dxa" w:w="2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Reduziertes Setup ab 15.000 EUR; Standard 20.250–33.750 EUR + Monatsentgelt</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Reduzierter Scope bis ca. 130 Std.; Standard 180–300 Std.; laufend nach Volumen und SLA</w:t>
            </w:r>
          </w:p>
        </w:tc>
      </w:tr>
    </w:tbl>
    <w:p>
      <w:pPr>
        <w:pStyle w:val="BodyText"/>
        <w:spacing w:after="44" w:before="0" w:line="245" w:lineRule="auto"/>
        <w:jc w:val="left"/>
      </w:pPr>
      <w:r>
        <w:rPr>
          <w:rFonts w:ascii="Arial" w:hAnsi="Arial" w:eastAsia="Arial"/>
          <w:i w:val="0"/>
          <w:color w:val="243447"/>
          <w:sz w:val="19"/>
        </w:rPr>
        <w:t>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pPr>
        <w:pStyle w:val="Heading3"/>
        <w:keepNext/>
        <w:spacing w:after="30" w:before="70" w:line="240" w:lineRule="auto"/>
      </w:pPr>
      <w:r>
        <w:rPr>
          <w:rFonts w:ascii="Arial" w:hAnsi="Arial" w:eastAsia="Arial" w:cs="Arial"/>
          <w:b/>
          <w:color w:val="102A43"/>
          <w:sz w:val="20"/>
        </w:rPr>
        <w:t>Preis-Gates vor Angebotsfreigabe</w:t>
      </w:r>
    </w:p>
    <w:p>
      <w:pPr>
        <w:spacing w:before="0" w:after="44" w:line="245" w:lineRule="auto"/>
        <w:ind w:left="0"/>
        <w:jc w:val="left"/>
      </w:pPr>
      <w:r>
        <w:rPr>
          <w:rFonts w:ascii="Arial" w:hAnsi="Arial" w:eastAsia="Arial"/>
          <w:b/>
          <w:color w:val="B08D57"/>
          <w:sz w:val="19"/>
        </w:rPr>
        <w:t xml:space="preserve">01  </w:t>
      </w:r>
      <w:r>
        <w:rPr>
          <w:rFonts w:ascii="Arial" w:hAnsi="Arial" w:eastAsia="Arial"/>
          <w:b/>
          <w:color w:val="102A43"/>
          <w:sz w:val="19"/>
        </w:rPr>
        <w:t xml:space="preserve">Scope-Gate  </w:t>
      </w:r>
      <w:r>
        <w:rPr>
          <w:rFonts w:ascii="Arial" w:hAnsi="Arial" w:eastAsia="Arial"/>
          <w:color w:val="243447"/>
          <w:sz w:val="19"/>
        </w:rPr>
        <w:t>Ergebnisse, Standorte, Personenvolumen, Revisionen, SLA, Ausschlüsse und Mitwirkung sind messbar beschrieben.</w:t>
      </w:r>
    </w:p>
    <w:p>
      <w:pPr>
        <w:spacing w:before="0" w:after="44" w:line="245" w:lineRule="auto"/>
        <w:ind w:left="0"/>
        <w:jc w:val="left"/>
      </w:pPr>
      <w:r>
        <w:rPr>
          <w:rFonts w:ascii="Arial" w:hAnsi="Arial" w:eastAsia="Arial"/>
          <w:b/>
          <w:color w:val="B08D57"/>
          <w:sz w:val="19"/>
        </w:rPr>
        <w:t xml:space="preserve">02  </w:t>
      </w:r>
      <w:r>
        <w:rPr>
          <w:rFonts w:ascii="Arial" w:hAnsi="Arial" w:eastAsia="Arial"/>
          <w:b/>
          <w:color w:val="102A43"/>
          <w:sz w:val="19"/>
        </w:rPr>
        <w:t xml:space="preserve">Zeit-Gate  </w:t>
      </w:r>
      <w:r>
        <w:rPr>
          <w:rFonts w:ascii="Arial" w:hAnsi="Arial" w:eastAsia="Arial"/>
          <w:color w:val="243447"/>
          <w:sz w:val="19"/>
        </w:rPr>
        <w:t>Jede Leistungsposition besitzt ein Stundenbudget; mindestens 10 bis 15 Prozent Reserve werden nur bei realer Unsicherheit angesetzt.</w:t>
      </w:r>
    </w:p>
    <w:p>
      <w:pPr>
        <w:spacing w:before="0" w:after="44" w:line="245" w:lineRule="auto"/>
        <w:ind w:left="0"/>
        <w:jc w:val="left"/>
      </w:pPr>
      <w:r>
        <w:rPr>
          <w:rFonts w:ascii="Arial" w:hAnsi="Arial" w:eastAsia="Arial"/>
          <w:b/>
          <w:color w:val="B08D57"/>
          <w:sz w:val="19"/>
        </w:rPr>
        <w:t xml:space="preserve">03  </w:t>
      </w:r>
      <w:r>
        <w:rPr>
          <w:rFonts w:ascii="Arial" w:hAnsi="Arial" w:eastAsia="Arial"/>
          <w:b/>
          <w:color w:val="102A43"/>
          <w:sz w:val="19"/>
        </w:rPr>
        <w:t xml:space="preserve">Kosten-Gate  </w:t>
      </w:r>
      <w:r>
        <w:rPr>
          <w:rFonts w:ascii="Arial" w:hAnsi="Arial" w:eastAsia="Arial"/>
          <w:color w:val="243447"/>
          <w:sz w:val="19"/>
        </w:rPr>
        <w:t>Externe Kosten sind Angebot, Kostendach oder freizugebender Durchlaufposten; verdeckte Vorfinanzierung wird ausgeschlossen.</w:t>
      </w:r>
    </w:p>
    <w:p>
      <w:pPr>
        <w:spacing w:before="0" w:after="44" w:line="245" w:lineRule="auto"/>
        <w:ind w:left="0"/>
        <w:jc w:val="left"/>
      </w:pPr>
      <w:r>
        <w:rPr>
          <w:rFonts w:ascii="Arial" w:hAnsi="Arial" w:eastAsia="Arial"/>
          <w:b/>
          <w:color w:val="B08D57"/>
          <w:sz w:val="19"/>
        </w:rPr>
        <w:t xml:space="preserve">04  </w:t>
      </w:r>
      <w:r>
        <w:rPr>
          <w:rFonts w:ascii="Arial" w:hAnsi="Arial" w:eastAsia="Arial"/>
          <w:b/>
          <w:color w:val="102A43"/>
          <w:sz w:val="19"/>
        </w:rPr>
        <w:t xml:space="preserve">Kapazitäts-Gate  </w:t>
      </w:r>
      <w:r>
        <w:rPr>
          <w:rFonts w:ascii="Arial" w:hAnsi="Arial" w:eastAsia="Arial"/>
          <w:color w:val="243447"/>
          <w:sz w:val="19"/>
        </w:rPr>
        <w:t>Der Auftrag passt in die 70-Prozent-Planungsgrenze und gefährdet weder laufende Projekte noch Vertrieb.</w:t>
      </w:r>
    </w:p>
    <w:p>
      <w:pPr>
        <w:spacing w:before="0" w:after="44" w:line="245" w:lineRule="auto"/>
        <w:ind w:left="0"/>
        <w:jc w:val="left"/>
      </w:pPr>
      <w:r>
        <w:rPr>
          <w:rFonts w:ascii="Arial" w:hAnsi="Arial" w:eastAsia="Arial"/>
          <w:b/>
          <w:color w:val="B08D57"/>
          <w:sz w:val="19"/>
        </w:rPr>
        <w:t xml:space="preserve">05  </w:t>
      </w:r>
      <w:r>
        <w:rPr>
          <w:rFonts w:ascii="Arial" w:hAnsi="Arial" w:eastAsia="Arial"/>
          <w:b/>
          <w:color w:val="102A43"/>
          <w:sz w:val="19"/>
        </w:rPr>
        <w:t xml:space="preserve">Ergebnis-Gate  </w:t>
      </w:r>
      <w:r>
        <w:rPr>
          <w:rFonts w:ascii="Arial" w:hAnsi="Arial" w:eastAsia="Arial"/>
          <w:color w:val="243447"/>
          <w:sz w:val="19"/>
        </w:rPr>
        <w:t>Der kalkulierte Preis deckt Zeit, direkte Kosten und Unternehmensbeitrag; andernfalls werden Scope, Termin oder Preis angepasst.</w:t>
      </w:r>
    </w:p>
    <w:p>
      <w:pPr>
        <w:pStyle w:val="Heading2"/>
        <w:keepNext/>
        <w:pBdr>
          <w:bottom w:val="single" w:sz="8" w:space="6" w:color="B08D57"/>
        </w:pBdr>
        <w:spacing w:after="50" w:before="100" w:line="240" w:lineRule="auto"/>
      </w:pPr>
      <w:r>
        <w:rPr>
          <w:rFonts w:ascii="Arial" w:hAnsi="Arial" w:eastAsia="Arial" w:cs="Arial"/>
          <w:b/>
          <w:color w:val="1E3A5F"/>
          <w:sz w:val="24"/>
        </w:rPr>
        <w:t>Zahlungsmodell und Liquiditätsschutz</w:t>
      </w:r>
    </w:p>
    <w:p>
      <w:pPr>
        <w:pStyle w:val="BodyText"/>
        <w:spacing w:after="44" w:before="0" w:line="245" w:lineRule="auto"/>
        <w:jc w:val="left"/>
      </w:pPr>
      <w:r>
        <w:rPr>
          <w:rFonts w:ascii="Arial" w:hAnsi="Arial" w:eastAsia="Arial"/>
          <w:i w:val="0"/>
          <w:color w:val="243447"/>
          <w:sz w:val="19"/>
        </w:rPr>
        <w:t>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700"/>
        <w:gridCol w:w="2950"/>
      </w:tblGrid>
      <w:tr>
        <w:trPr>
          <w:tblHeader/>
          <w:tblHeader w:val="true"/>
        </w:trPr>
        <w:tc>
          <w:tcPr>
            <w:tcW w:type="dxa" w:w="2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Paket</w:t>
            </w:r>
          </w:p>
        </w:tc>
        <w:tc>
          <w:tcPr>
            <w:tcW w:type="dxa" w:w="4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Empfohlener Zahlungsplan</w:t>
            </w:r>
          </w:p>
        </w:tc>
        <w:tc>
          <w:tcPr>
            <w:tcW w:type="dxa" w:w="2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Logik</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Blueprint</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40 % bei Auftrag · 40 % nach Analyse/Optionen · 20 % bei Übergabe</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kurze Laufzeit; wesentliche Analyse vorfinanziert</w:t>
            </w:r>
          </w:p>
        </w:tc>
      </w:tr>
      <w:tr>
        <w:trPr>
          <w:cantSplit/>
        </w:trPr>
        <w:tc>
          <w:tcPr>
            <w:tcW w:type="dxa" w:w="2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Launch</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30 % Auftrag · 30 % Such-/Konzeptfreigabe · 30 % vor Realisierung · 10 % Abnahme</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Cash folgt den vier risikorelevanten Projektstufen</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Office Setup</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50 % Auftrag · 30 % System-/Prozessfreigabe · 20 % Go-live</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Setup-Kapazität wird nicht aus Monatsgebühren vorfinanziert</w:t>
            </w:r>
          </w:p>
        </w:tc>
      </w:tr>
      <w:tr>
        <w:trPr>
          <w:cantSplit/>
        </w:trPr>
        <w:tc>
          <w:tcPr>
            <w:tcW w:type="dxa" w:w="2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Office laufend</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monatliche Grundgebühr im Voraus; Mehrmengen monatlich nachlaufend</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planbare Kapazität und transparente Volumentreiber</w:t>
            </w:r>
          </w:p>
        </w:tc>
      </w:tr>
      <w:tr>
        <w:trPr>
          <w:cantSplit/>
        </w:trPr>
        <w:tc>
          <w:tcPr>
            <w:tcW w:type="dxa" w:w="2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Fremdkosten</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Kunde direkt oder AMAVIO nur nach Vorauszahlung</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 ungedecktes Lieferanten-, Miet- oder Kautionsrisiko</w:t>
            </w:r>
          </w:p>
        </w:tc>
      </w:tr>
    </w:tbl>
    <w:p>
      <w:pPr>
        <w:pStyle w:val="BodyText"/>
        <w:spacing w:after="44" w:before="0" w:line="245" w:lineRule="auto"/>
        <w:jc w:val="left"/>
      </w:pPr>
      <w:r>
        <w:rPr>
          <w:rFonts w:ascii="Arial" w:hAnsi="Arial" w:eastAsia="Arial"/>
          <w:i w:val="0"/>
          <w:color w:val="243447"/>
          <w:sz w:val="19"/>
        </w:rPr>
        <w:t>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pPr>
        <w:pStyle w:val="Heading2"/>
        <w:keepNext/>
        <w:pBdr>
          <w:bottom w:val="single" w:sz="8" w:space="6" w:color="B08D57"/>
        </w:pBdr>
        <w:spacing w:after="50" w:before="100" w:line="240" w:lineRule="auto"/>
      </w:pPr>
      <w:r>
        <w:rPr>
          <w:rFonts w:ascii="Arial" w:hAnsi="Arial" w:eastAsia="Arial" w:cs="Arial"/>
          <w:b/>
          <w:color w:val="1E3A5F"/>
          <w:sz w:val="24"/>
        </w:rPr>
        <w:t>Kapazität, Umsatzgrenze und Break-even-Logik</w:t>
      </w:r>
    </w:p>
    <w:p>
      <w:pPr>
        <w:pStyle w:val="BodyText"/>
        <w:spacing w:after="44" w:before="0" w:line="245" w:lineRule="auto"/>
        <w:jc w:val="left"/>
      </w:pPr>
      <w:r>
        <w:rPr>
          <w:rFonts w:ascii="Arial" w:hAnsi="Arial" w:eastAsia="Arial"/>
          <w:i w:val="0"/>
          <w:color w:val="243447"/>
          <w:sz w:val="19"/>
        </w:rPr>
        <w:t>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750"/>
        <w:gridCol w:w="3550"/>
      </w:tblGrid>
      <w:tr>
        <w:trPr>
          <w:tblHeader/>
          <w:tblHeader w:val="true"/>
        </w:trPr>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Steuerungsgröße</w:t>
            </w:r>
          </w:p>
        </w:tc>
        <w:tc>
          <w:tcPr>
            <w:tcW w:type="dxa" w:w="3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Formel</w:t>
            </w:r>
          </w:p>
        </w:tc>
        <w:tc>
          <w:tcPr>
            <w:tcW w:type="dxa" w:w="35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Managementregel</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Effektiver Tagessatz</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Nettohonorar ÷ tatsächlich geleistete Projekttage</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nach jedem Meilenstein und Projekt prüfen</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Cash-Deckungsbeitrag</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Nettohonorar − direkt zurechenbare externe Cash-Kosten</w:t>
            </w:r>
          </w:p>
        </w:tc>
        <w:tc>
          <w:tcPr>
            <w:tcW w:type="dxa" w:w="3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muss Fixkosten, Gründerbedarf, Steuern und Reserve tragen</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Projektabweichung</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(Ist-Stunden − Planstunden) ÷ Planstunden</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 +10 % Ursachenanalyse; weiterer Aufwand nur via Change oder Managemententscheidung</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Forderungslaufzeit</w:t>
            </w:r>
          </w:p>
        </w:tc>
        <w:tc>
          <w:tcPr>
            <w:tcW w:type="dxa" w:w="3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Tage zwischen Rechnung und Zahlung</w:t>
            </w:r>
          </w:p>
        </w:tc>
        <w:tc>
          <w:tcPr>
            <w:tcW w:type="dxa" w:w="3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13-Wochen-Liquidität um reale Zahlungserfahrung korrigieren</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Vollkosten-Break-even</w:t>
            </w:r>
          </w:p>
        </w:tc>
        <w:tc>
          <w:tcPr>
            <w:tcW w:type="dxa" w:w="3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jährlicher Finanzbedarf ÷ realisierter Beitrag je fakturierbarem Tag</w:t>
            </w:r>
          </w:p>
        </w:tc>
        <w:tc>
          <w:tcPr>
            <w:tcW w:type="dxa" w:w="3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darf die realistisch verfügbare Fakturakapazität nicht überschreiten</w:t>
            </w:r>
          </w:p>
        </w:tc>
      </w:tr>
    </w:tbl>
    <w:p>
      <w:pPr>
        <w:pStyle w:val="Heading3"/>
        <w:keepNext/>
        <w:spacing w:after="30" w:before="70" w:line="240" w:lineRule="auto"/>
      </w:pPr>
      <w:r>
        <w:rPr>
          <w:rFonts w:ascii="Arial" w:hAnsi="Arial" w:eastAsia="Arial" w:cs="Arial"/>
          <w:b/>
          <w:color w:val="102A43"/>
          <w:sz w:val="20"/>
        </w:rPr>
        <w:t>Kapazitätskorridor als Belastungstest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050"/>
        <w:gridCol w:w="4700"/>
      </w:tblGrid>
      <w:tr>
        <w:trPr>
          <w:tblHeader/>
          <w:tblHeader w:val="true"/>
        </w:trPr>
        <w:tc>
          <w:tcPr>
            <w:tcW w:type="dxa" w:w="2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Fakturierbare Tage</w:t>
            </w:r>
          </w:p>
        </w:tc>
        <w:tc>
          <w:tcPr>
            <w:tcW w:type="dxa" w:w="3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Serviceumsatz bei 900 EUR/Tag</w:t>
            </w:r>
          </w:p>
        </w:tc>
        <w:tc>
          <w:tcPr>
            <w:tcW w:type="dxa" w:w="4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Einordnung</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80 Tage</w:t>
            </w:r>
          </w:p>
        </w:tc>
        <w:tc>
          <w:tcPr>
            <w:tcW w:type="dxa" w:w="3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72.000 EUR</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Anlauf-/Downside: hoher Anteil Vertrieb und Aufbau; Fixkosten strikt niedrig halten</w:t>
            </w:r>
          </w:p>
        </w:tc>
      </w:tr>
      <w:tr>
        <w:trPr>
          <w:cantSplit/>
        </w:trPr>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100 Tage</w:t>
            </w:r>
          </w:p>
        </w:tc>
        <w:tc>
          <w:tcPr>
            <w:tcW w:type="dxa" w:w="3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90.000 EUR</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früher belastbarer Betrieb; noch kein Spielraum für vorschnellen Personalaufbau</w:t>
            </w:r>
          </w:p>
        </w:tc>
      </w:tr>
      <w:tr>
        <w:trPr>
          <w:cantSplit/>
        </w:trPr>
        <w:tc>
          <w:tcPr>
            <w:tcW w:type="dxa" w:w="2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102 Tage</w:t>
            </w:r>
          </w:p>
        </w:tc>
        <w:tc>
          <w:tcPr>
            <w:tcW w:type="dxa" w:w="3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91.800 EUR</w:t>
            </w:r>
          </w:p>
        </w:tc>
        <w:tc>
          <w:tcPr>
            <w:tcW w:type="dxa" w:w="4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Konservativer Kapazitätsrahmen des Basiscase in Planjahr 1</w:t>
            </w:r>
          </w:p>
        </w:tc>
      </w:tr>
      <w:tr>
        <w:trPr>
          <w:cantSplit/>
        </w:trPr>
        <w:tc>
          <w:tcPr>
            <w:tcW w:type="dxa" w:w="2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140 Tage</w:t>
            </w:r>
          </w:p>
        </w:tc>
        <w:tc>
          <w:tcPr>
            <w:tcW w:type="dxa" w:w="3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126.000 EUR</w:t>
            </w:r>
          </w:p>
        </w:tc>
        <w:tc>
          <w:tcPr>
            <w:tcW w:type="dxa" w:w="4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obere Planungsgrenze; weiteres Wachstum erfordert Preishebel, Standards oder Delivery-Kapazität</w:t>
            </w:r>
          </w:p>
        </w:tc>
      </w:tr>
    </w:tbl>
    <w:p>
      <w:pPr>
        <w:pStyle w:val="BodyText"/>
        <w:spacing w:after="44" w:before="0" w:line="245" w:lineRule="auto"/>
        <w:jc w:val="left"/>
      </w:pPr>
      <w:r>
        <w:rPr>
          <w:rFonts w:ascii="Arial" w:hAnsi="Arial" w:eastAsia="Arial" w:cs="Arial"/>
          <w:color w:val="243447"/>
          <w:sz w:val="19"/>
        </w:rPr>
        <w:t>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pStyle w:val="Heading2"/>
        <w:keepNext/>
        <w:pBdr>
          <w:bottom w:val="single" w:sz="8" w:space="6" w:color="B08D57"/>
        </w:pBdr>
        <w:spacing w:after="50" w:before="100" w:line="240" w:lineRule="auto"/>
      </w:pPr>
      <w:r>
        <w:rPr>
          <w:rFonts w:ascii="Arial" w:hAnsi="Arial" w:eastAsia="Arial" w:cs="Arial"/>
          <w:b/>
          <w:color w:val="1E3A5F"/>
          <w:sz w:val="24"/>
        </w:rPr>
        <w:t>Wiederkehrende Erlöse und Skalierungshebel</w:t>
      </w:r>
    </w:p>
    <w:p>
      <w:pPr>
        <w:pStyle w:val="BodyText"/>
        <w:spacing w:after="44" w:before="0" w:line="245" w:lineRule="auto"/>
        <w:jc w:val="left"/>
      </w:pPr>
      <w:r>
        <w:rPr>
          <w:rFonts w:ascii="Arial" w:hAnsi="Arial" w:eastAsia="Arial"/>
          <w:i w:val="0"/>
          <w:color w:val="243447"/>
          <w:sz w:val="19"/>
        </w:rPr>
        <w:t>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900"/>
        <w:gridCol w:w="3400"/>
      </w:tblGrid>
      <w:tr>
        <w:trPr>
          <w:tblHeader/>
          <w:tblHeader w:val="true"/>
        </w:trPr>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Hebel</w:t>
            </w:r>
          </w:p>
        </w:tc>
        <w:tc>
          <w:tcPr>
            <w:tcW w:type="dxa" w:w="3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Wirtschaftlicher Effekt</w:t>
            </w:r>
          </w:p>
        </w:tc>
        <w:tc>
          <w:tcPr>
            <w:tcW w:type="dxa" w:w="34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Schutzregel</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Templates und Standards</w:t>
            </w:r>
          </w:p>
        </w:tc>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weniger Stunden je wiederholter Aufgabe</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Qualität und Kundennutzen müssen erhalten bleiben</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Partner-Rahmenpreise</w:t>
            </w:r>
          </w:p>
        </w:tc>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bessere Planbarkeit und geringere Beschaffungszeit</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keine Abhängigkeit von nur einem kritischen Anbieter</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Mehrere Gruppen je Kunde</w:t>
            </w:r>
          </w:p>
        </w:tc>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geringere Akquisekosten je Folgeauftrag</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neuer Scope und Kapazität werden trotzdem kalkuliert</w:t>
            </w:r>
          </w:p>
        </w:tc>
      </w:tr>
      <w:tr>
        <w:trPr>
          <w:cantSplit/>
        </w:trPr>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Digitale Workflows</w:t>
            </w:r>
          </w:p>
        </w:tc>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weniger Status- und Dokumentationsaufwand</w:t>
            </w:r>
          </w:p>
        </w:tc>
        <w:tc>
          <w:tcPr>
            <w:tcW w:type="dxa" w:w="34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Eigenentwicklung erst nach wiederholtem Prozessbeweis</w:t>
            </w:r>
          </w:p>
        </w:tc>
      </w:tr>
      <w:tr>
        <w:trPr>
          <w:cantSplit/>
        </w:trPr>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Volumenpreise</w:t>
            </w:r>
          </w:p>
        </w:tc>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höherer Gesamtauftrag und Planungssicherheit</w:t>
            </w:r>
          </w:p>
        </w:tc>
        <w:tc>
          <w:tcPr>
            <w:tcW w:type="dxa" w:w="34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Rabatt nur bei realer Standardisierung oder Mindestabnahme</w:t>
            </w:r>
          </w:p>
        </w:tc>
      </w:tr>
    </w:tbl>
    <w:p>
      <w:pPr>
        <w:pStyle w:val="Heading2"/>
        <w:keepNext/>
        <w:pBdr>
          <w:bottom w:val="single" w:sz="8" w:space="6" w:color="B08D57"/>
        </w:pBdr>
        <w:spacing w:after="50" w:before="100" w:line="240" w:lineRule="auto"/>
      </w:pPr>
      <w:r>
        <w:rPr>
          <w:rFonts w:ascii="Arial" w:hAnsi="Arial" w:eastAsia="Arial" w:cs="Arial"/>
          <w:b/>
          <w:color w:val="1E3A5F"/>
          <w:sz w:val="24"/>
        </w:rPr>
        <w:t>Selektiver Objektbetrieb als eigene Investitionsentscheidung</w:t>
      </w:r>
    </w:p>
    <w:p>
      <w:pPr>
        <w:pStyle w:val="BodyText"/>
        <w:spacing w:after="44" w:before="0" w:line="245" w:lineRule="auto"/>
        <w:jc w:val="left"/>
      </w:pPr>
      <w:r>
        <w:rPr>
          <w:rFonts w:ascii="Arial" w:hAnsi="Arial" w:eastAsia="Arial"/>
          <w:i w:val="0"/>
          <w:color w:val="243447"/>
          <w:sz w:val="19"/>
        </w:rPr>
        <w:t>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7250"/>
      </w:tblGrid>
      <w:tr>
        <w:trPr>
          <w:tblHeader/>
          <w:tblHeader w:val="true"/>
        </w:trPr>
        <w:tc>
          <w:tcPr>
            <w:tcW w:type="dxa" w:w="2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Objekt-Gate</w:t>
            </w:r>
          </w:p>
        </w:tc>
        <w:tc>
          <w:tcPr>
            <w:tcW w:type="dxa" w:w="7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Mindestanforderung</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Nachfrage</w:t>
            </w:r>
          </w:p>
        </w:tc>
        <w:tc>
          <w:tcPr>
            <w:tcW w:type="dxa" w:w="7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konkrete, zeitlich passende Arbeitgeber- oder Bewohnernachfrage; keine reine Hoffnungsauslastung</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Recht und Technik</w:t>
            </w:r>
          </w:p>
        </w:tc>
        <w:tc>
          <w:tcPr>
            <w:tcW w:type="dxa" w:w="7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zulässige Nutzung, Untervermietung, Brandschutz, Meldefähigkeit, Versicherung und Vertragsrechte</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Wirtschaftlichkeit</w:t>
            </w:r>
          </w:p>
        </w:tc>
        <w:tc>
          <w:tcPr>
            <w:tcW w:type="dxa" w:w="7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positiver Deckungsbeitrag auch bei mindestens 20 % Leerstand und realistischen Betriebskosten</w:t>
            </w:r>
          </w:p>
        </w:tc>
      </w:tr>
      <w:tr>
        <w:trPr>
          <w:cantSplit/>
        </w:trPr>
        <w:tc>
          <w:tcPr>
            <w:tcW w:type="dxa" w:w="2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Liquidität</w:t>
            </w:r>
          </w:p>
        </w:tc>
        <w:tc>
          <w:tcPr>
            <w:tcW w:type="dxa" w:w="7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Finanzierung von Kaution/CAPEX sowie Zielreserve von sechs objektbezogenen Fixkostenmonaten</w:t>
            </w:r>
          </w:p>
        </w:tc>
      </w:tr>
      <w:tr>
        <w:trPr>
          <w:cantSplit/>
        </w:trPr>
        <w:tc>
          <w:tcPr>
            <w:tcW w:type="dxa" w:w="2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Exit</w:t>
            </w:r>
          </w:p>
        </w:tc>
        <w:tc>
          <w:tcPr>
            <w:tcW w:type="dxa" w:w="7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Kündigungs-, Rückgabe-, Nachvermietungs- und Rückbaupfad vor Bindung bekannt</w:t>
            </w:r>
          </w:p>
        </w:tc>
      </w:tr>
    </w:tbl>
    <w:p>
      <w:pPr>
        <w:pStyle w:val="BodyText"/>
        <w:spacing w:after="44" w:before="0" w:line="245" w:lineRule="auto"/>
        <w:jc w:val="left"/>
      </w:pPr>
      <w:r>
        <w:rPr>
          <w:rFonts w:ascii="Arial" w:hAnsi="Arial" w:eastAsia="Arial"/>
          <w:i w:val="0"/>
          <w:color w:val="243447"/>
          <w:sz w:val="19"/>
        </w:rPr>
        <w:t>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pPr>
        <w:pStyle w:val="Heading1"/>
        <w:keepNext/>
        <w:spacing w:before="140" w:after="80" w:line="240" w:lineRule="auto"/>
        <w:pBdr>
          <w:bottom w:val="single" w:sz="8" w:space="6" w:color="B08D57"/>
        </w:pBdr>
      </w:pPr>
      <w:r>
        <w:rPr>
          <w:rFonts w:ascii="Arial" w:hAnsi="Arial" w:eastAsia="Arial" w:cs="Arial"/>
          <w:b/>
          <w:color w:val="102A43"/>
          <w:sz w:val="32"/>
        </w:rPr>
        <w:t>9. Kapitalbedarf, Finanzierung und Finanzplanung</w:t>
      </w:r>
    </w:p>
    <w:p>
      <w:pPr>
        <w:pStyle w:val="Heading2"/>
        <w:keepNext/>
        <w:pBdr>
          <w:bottom w:val="single" w:sz="8" w:space="6" w:color="B08D57"/>
        </w:pBdr>
        <w:spacing w:after="50" w:before="100" w:line="240" w:lineRule="auto"/>
      </w:pPr>
      <w:r>
        <w:rPr>
          <w:rFonts w:ascii="Arial" w:hAnsi="Arial" w:eastAsia="Arial" w:cs="Arial"/>
          <w:b/>
          <w:color w:val="1E3A5F"/>
          <w:sz w:val="24"/>
        </w:rPr>
        <w:t>Finanzielle Leitlogik</w:t>
      </w:r>
    </w:p>
    <w:p>
      <w:pPr>
        <w:pStyle w:val="BodyText"/>
        <w:spacing w:after="44" w:before="0" w:line="245" w:lineRule="auto"/>
        <w:jc w:val="left"/>
      </w:pPr>
      <w:r>
        <w:rPr>
          <w:rFonts w:ascii="Arial" w:hAnsi="Arial" w:eastAsia="Arial"/>
          <w:i w:val="0"/>
          <w:color w:val="243447"/>
          <w:sz w:val="19"/>
        </w:rPr>
        <w:t>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pPr>
        <w:pStyle w:val="BodyText"/>
        <w:spacing w:after="44" w:before="0" w:line="245" w:lineRule="auto"/>
        <w:jc w:val="left"/>
      </w:pPr>
      <w:r>
        <w:rPr>
          <w:rFonts w:ascii="Arial" w:hAnsi="Arial" w:eastAsia="Arial"/>
          <w:i w:val="0"/>
          <w:color w:val="243447"/>
          <w:sz w:val="19"/>
        </w:rPr>
        <w:t>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KAUFMÄNNISCHE GRUNDREGEL  </w:t>
      </w:r>
      <w:r>
        <w:rPr>
          <w:rFonts w:ascii="Arial" w:hAnsi="Arial" w:eastAsia="Arial"/>
          <w:color w:val="243447"/>
          <w:sz w:val="19"/>
        </w:rPr>
        <w:t>Die Servicegesellschaft muss auch ohne Betreiberumsatz tragfähig sein. Ein Objekt darf später nur hinzukommen, wenn seine eigene Ergebnis- und Liquiditätsrechnung den Service-Basiscase nicht gefährdet.</w:t>
      </w:r>
    </w:p>
    <w:p>
      <w:pPr>
        <w:pStyle w:val="Heading2"/>
        <w:keepNext/>
        <w:pBdr>
          <w:bottom w:val="single" w:sz="8" w:space="6" w:color="B08D57"/>
        </w:pBdr>
        <w:spacing w:after="50" w:before="100" w:line="240" w:lineRule="auto"/>
      </w:pPr>
      <w:r>
        <w:rPr>
          <w:rFonts w:ascii="Arial" w:hAnsi="Arial" w:eastAsia="Arial" w:cs="Arial"/>
          <w:b/>
          <w:color w:val="1E3A5F"/>
          <w:sz w:val="24"/>
        </w:rPr>
        <w:t>Kapitalbedarf zum Markteintritt</w:t>
      </w:r>
    </w:p>
    <w:p>
      <w:pPr>
        <w:pStyle w:val="BodyText"/>
        <w:spacing w:after="44" w:before="0" w:line="245" w:lineRule="auto"/>
        <w:jc w:val="left"/>
      </w:pPr>
      <w:r>
        <w:rPr>
          <w:rFonts w:ascii="Arial" w:hAnsi="Arial" w:eastAsia="Arial"/>
          <w:i w:val="0"/>
          <w:color w:val="243447"/>
          <w:sz w:val="19"/>
        </w:rPr>
        <w:t>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300"/>
        <w:gridCol w:w="1650"/>
        <w:gridCol w:w="3800"/>
      </w:tblGrid>
      <w:tr>
        <w:trPr>
          <w:tblHeader/>
          <w:tblHeader w:val="true"/>
        </w:trPr>
        <w:tc>
          <w:tcPr>
            <w:tcW w:type="dxa" w:w="43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Kapitalbedarf</w:t>
            </w:r>
          </w:p>
        </w:tc>
        <w:tc>
          <w:tcPr>
            <w:tcW w:type="dxa" w:w="1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Betrag</w:t>
            </w:r>
          </w:p>
        </w:tc>
        <w:tc>
          <w:tcPr>
            <w:tcW w:type="dxa" w:w="3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Funktion</w:t>
            </w:r>
          </w:p>
        </w:tc>
      </w:tr>
      <w:tr>
        <w:trPr>
          <w:cantSplit/>
        </w:trPr>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 Verträge, Datenschutz und Steuer-Setup</w:t>
            </w:r>
          </w:p>
        </w:tc>
        <w:tc>
          <w:tcPr>
            <w:tcW w:type="dxa" w:w="1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3.500 EUR</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professionelle und haftungsbewusste Startbasis</w:t>
            </w:r>
          </w:p>
        </w:tc>
      </w:tr>
      <w:tr>
        <w:trPr>
          <w:cantSplit/>
        </w:trPr>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Hardware und Arbeitsmittel</w:t>
            </w:r>
          </w:p>
        </w:tc>
        <w:tc>
          <w:tcPr>
            <w:tcW w:type="dxa" w:w="1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2.000 EUR</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schlanker Gründerarbeitsplatz</w:t>
            </w:r>
          </w:p>
        </w:tc>
      </w:tr>
      <w:tr>
        <w:trPr>
          <w:cantSplit/>
        </w:trPr>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Marke, Website und Vertriebsunterlagen</w:t>
            </w:r>
          </w:p>
        </w:tc>
        <w:tc>
          <w:tcPr>
            <w:tcW w:type="dxa" w:w="1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2.500 EUR</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B2B-Markteintritt und Beschaffungsfähigkeit</w:t>
            </w:r>
          </w:p>
        </w:tc>
      </w:tr>
      <w:tr>
        <w:trPr>
          <w:cantSplit/>
        </w:trPr>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Versicherungen und Anlaufbeiträge</w:t>
            </w:r>
          </w:p>
        </w:tc>
        <w:tc>
          <w:tcPr>
            <w:tcW w:type="dxa" w:w="1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1.200 EUR</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betriebliches Grundrisiko</w:t>
            </w:r>
          </w:p>
        </w:tc>
      </w:tr>
      <w:tr>
        <w:trPr>
          <w:cantSplit/>
        </w:trPr>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Software- und System-Setup</w:t>
            </w:r>
          </w:p>
        </w:tc>
        <w:tc>
          <w:tcPr>
            <w:tcW w:type="dxa" w:w="1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1.000 EUR</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CRM, Projekt- und Dokumentenstruktur</w:t>
            </w:r>
          </w:p>
        </w:tc>
      </w:tr>
      <w:tr>
        <w:trPr>
          <w:cantSplit/>
        </w:trPr>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Betriebsmittelreserve</w:t>
            </w:r>
          </w:p>
        </w:tc>
        <w:tc>
          <w:tcPr>
            <w:tcW w:type="dxa" w:w="1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10.000 EUR</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Vertriebsanlauf und Zahlungsverschiebungen</w:t>
            </w:r>
          </w:p>
        </w:tc>
      </w:tr>
      <w:tr>
        <w:trPr>
          <w:cantSplit/>
        </w:trPr>
        <w:tc>
          <w:tcPr>
            <w:tcW w:type="dxa" w:w="43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Allgemeiner Risikopuffer</w:t>
            </w:r>
          </w:p>
        </w:tc>
        <w:tc>
          <w:tcPr>
            <w:tcW w:type="dxa" w:w="1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4.800 EUR</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unvorhergesehene Kosten ohne Objektbindung</w:t>
            </w:r>
          </w:p>
        </w:tc>
      </w:tr>
      <w:tr>
        <w:trPr>
          <w:cantSplit/>
        </w:trPr>
        <w:tc>
          <w:tcPr>
            <w:tcW w:type="dxa" w:w="43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Gesamtkapitalbedarf</w:t>
            </w:r>
          </w:p>
        </w:tc>
        <w:tc>
          <w:tcPr>
            <w:tcW w:type="dxa" w:w="1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25.000 EUR</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vollständig zu finanzierender Startbedarf</w:t>
            </w:r>
          </w:p>
        </w:tc>
      </w:tr>
    </w:tbl>
    <w:p>
      <w:pPr>
        <w:pStyle w:val="Heading3"/>
        <w:keepNext/>
        <w:spacing w:after="30" w:before="70" w:line="240" w:lineRule="auto"/>
      </w:pPr>
      <w:r>
        <w:rPr>
          <w:rFonts w:ascii="Arial" w:hAnsi="Arial" w:eastAsia="Arial" w:cs="Arial"/>
          <w:b/>
          <w:color w:val="102A43"/>
          <w:sz w:val="20"/>
        </w:rPr>
        <w:t>Finanzierung des Basiscase</w:t>
      </w:r>
    </w:p>
    <w:p>
      <w:pPr>
        <w:pStyle w:val="BodyText"/>
        <w:spacing w:after="44" w:before="0" w:line="245" w:lineRule="auto"/>
        <w:jc w:val="left"/>
      </w:pPr>
      <w:r>
        <w:rPr>
          <w:rFonts w:ascii="Arial" w:hAnsi="Arial" w:eastAsia="Arial"/>
          <w:i w:val="0"/>
          <w:color w:val="243447"/>
          <w:sz w:val="19"/>
        </w:rPr>
        <w:t>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800"/>
        <w:gridCol w:w="1700"/>
        <w:gridCol w:w="4250"/>
      </w:tblGrid>
      <w:tr>
        <w:trPr>
          <w:tblHeader/>
          <w:tblHeader w:val="true"/>
        </w:trPr>
        <w:tc>
          <w:tcPr>
            <w:tcW w:type="dxa" w:w="3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Finanzierungsquelle</w:t>
            </w:r>
          </w:p>
        </w:tc>
        <w:tc>
          <w:tcPr>
            <w:tcW w:type="dxa" w:w="1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Basiscase</w:t>
            </w:r>
          </w:p>
        </w:tc>
        <w:tc>
          <w:tcPr>
            <w:tcW w:type="dxa" w:w="4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Status / Bedingung</w:t>
            </w:r>
          </w:p>
        </w:tc>
      </w:tr>
      <w:tr>
        <w:trPr>
          <w:cantSplit/>
        </w:trPr>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Stammkapital</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500 EUR</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vorhanden gemäß Gründungsangabe</w:t>
            </w:r>
          </w:p>
        </w:tc>
      </w:tr>
      <w:tr>
        <w:trPr>
          <w:cantSplit/>
        </w:trPr>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Zusätzliche private Mittel</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24.500 EUR</w:t>
            </w:r>
          </w:p>
        </w:tc>
        <w:tc>
          <w:tcPr>
            <w:tcW w:type="dxa" w:w="4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noch einzubringen und zu dokumentieren</w:t>
            </w:r>
          </w:p>
        </w:tc>
      </w:tr>
      <w:tr>
        <w:trPr>
          <w:cantSplit/>
        </w:trPr>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Gründungszuschuss</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0 EUR</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nicht als Unternehmensumsatz oder sichere Finanzierung angesetzt</w:t>
            </w:r>
          </w:p>
        </w:tc>
      </w:tr>
      <w:tr>
        <w:trPr>
          <w:cantSplit/>
        </w:trPr>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Förderdarlehen</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0 EUR</w:t>
            </w:r>
          </w:p>
        </w:tc>
        <w:tc>
          <w:tcPr>
            <w:tcW w:type="dxa" w:w="4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Option nur nach Antrag, Prüfung und Zusage</w:t>
            </w:r>
          </w:p>
        </w:tc>
      </w:tr>
      <w:tr>
        <w:trPr>
          <w:cantSplit/>
        </w:trPr>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Gesamtfinanzierung</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25.000 EUR</w:t>
            </w:r>
          </w:p>
        </w:tc>
        <w:tc>
          <w:tcPr>
            <w:tcW w:type="dxa" w:w="4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deckt den geplanten Startkapitalbedarf</w:t>
            </w:r>
          </w:p>
        </w:tc>
      </w:tr>
    </w:tbl>
    <w:p>
      <w:pPr>
        <w:pStyle w:val="Heading3"/>
        <w:keepNext/>
        <w:spacing w:after="30" w:before="70" w:line="240" w:lineRule="auto"/>
      </w:pPr>
      <w:r>
        <w:rPr>
          <w:rFonts w:ascii="Arial" w:hAnsi="Arial" w:eastAsia="Arial" w:cs="Arial"/>
          <w:b/>
          <w:color w:val="102A43"/>
          <w:sz w:val="20"/>
        </w:rPr>
        <w:t>Förderoptionen ohne Vorwegnahme</w:t>
      </w:r>
    </w:p>
    <w:p>
      <w:pPr>
        <w:pStyle w:val="BodyText"/>
        <w:spacing w:after="44" w:before="0" w:line="245" w:lineRule="auto"/>
        <w:jc w:val="left"/>
      </w:pPr>
      <w:r>
        <w:rPr>
          <w:rFonts w:ascii="Arial" w:hAnsi="Arial" w:eastAsia="Arial"/>
          <w:i w:val="0"/>
          <w:color w:val="243447"/>
          <w:sz w:val="19"/>
        </w:rPr>
        <w:t>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pStyle w:val="BodyText"/>
        <w:spacing w:after="44" w:before="0" w:line="245" w:lineRule="auto"/>
        <w:jc w:val="left"/>
      </w:pPr>
      <w:r>
        <w:rPr>
          <w:rFonts w:ascii="Arial" w:hAnsi="Arial" w:eastAsia="Arial"/>
          <w:i w:val="0"/>
          <w:color w:val="243447"/>
          <w:sz w:val="19"/>
        </w:rPr>
        <w:t>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pPr>
        <w:pStyle w:val="Heading2"/>
        <w:keepNext/>
        <w:pBdr>
          <w:bottom w:val="single" w:sz="8" w:space="6" w:color="B08D57"/>
        </w:pBdr>
        <w:spacing w:after="50" w:before="100" w:line="240" w:lineRule="auto"/>
      </w:pPr>
      <w:r>
        <w:rPr>
          <w:rFonts w:ascii="Arial" w:hAnsi="Arial" w:eastAsia="Arial" w:cs="Arial"/>
          <w:b/>
          <w:color w:val="1E3A5F"/>
          <w:sz w:val="24"/>
        </w:rPr>
        <w:t>Umsatzplanung aus konkreten Mandaten</w:t>
      </w:r>
    </w:p>
    <w:p>
      <w:pPr>
        <w:pStyle w:val="BodyText"/>
        <w:spacing w:after="44" w:before="0" w:line="245" w:lineRule="auto"/>
        <w:jc w:val="left"/>
      </w:pPr>
      <w:r>
        <w:rPr>
          <w:rFonts w:ascii="Arial" w:hAnsi="Arial" w:eastAsia="Arial"/>
          <w:i w:val="0"/>
          <w:color w:val="243447"/>
          <w:sz w:val="19"/>
        </w:rPr>
        <w:t>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600"/>
        <w:gridCol w:w="2050"/>
        <w:gridCol w:w="2050"/>
        <w:gridCol w:w="2050"/>
      </w:tblGrid>
      <w:tr>
        <w:trPr>
          <w:tblHeader/>
          <w:tblHeader w:val="true"/>
        </w:trPr>
        <w:tc>
          <w:tcPr>
            <w:tcW w:type="dxa" w:w="3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Erlösstrom</w:t>
            </w:r>
          </w:p>
        </w:tc>
        <w:tc>
          <w:tcPr>
            <w:tcW w:type="dxa" w:w="2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1</w:t>
            </w:r>
          </w:p>
        </w:tc>
        <w:tc>
          <w:tcPr>
            <w:tcW w:type="dxa" w:w="2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2</w:t>
            </w:r>
          </w:p>
        </w:tc>
        <w:tc>
          <w:tcPr>
            <w:tcW w:type="dxa" w:w="2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3</w:t>
            </w:r>
          </w:p>
        </w:tc>
      </w:tr>
      <w:tr>
        <w:trPr>
          <w:cantSplit/>
        </w:trPr>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Blueprint</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25.000 EUR</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63.000 EUR</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84.000 EUR</w:t>
            </w:r>
          </w:p>
        </w:tc>
      </w:tr>
      <w:tr>
        <w:trPr>
          <w:cantSplit/>
        </w:trPr>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Launch</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29.500 EUR</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100.000 EUR</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110.000 EUR</w:t>
            </w:r>
          </w:p>
        </w:tc>
      </w:tr>
      <w:tr>
        <w:trPr>
          <w:cantSplit/>
        </w:trPr>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Office Setup</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15.000 EUR</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25.000 EUR</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56.000 EUR</w:t>
            </w:r>
          </w:p>
        </w:tc>
      </w:tr>
      <w:tr>
        <w:trPr>
          <w:cantSplit/>
        </w:trPr>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Office laufend</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13.500 EUR</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72.000 EUR</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144.000 EUR</w:t>
            </w:r>
          </w:p>
        </w:tc>
      </w:tr>
      <w:tr>
        <w:trPr>
          <w:cantSplit/>
        </w:trPr>
        <w:tc>
          <w:tcPr>
            <w:tcW w:type="dxa" w:w="3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Zusatzmodule</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10.500 EUR</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9.000 EUR</w:t>
            </w:r>
          </w:p>
        </w:tc>
        <w:tc>
          <w:tcPr>
            <w:tcW w:type="dxa" w:w="2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48.000 EUR</w:t>
            </w:r>
          </w:p>
        </w:tc>
      </w:tr>
      <w:tr>
        <w:trPr>
          <w:cantSplit/>
        </w:trPr>
        <w:tc>
          <w:tcPr>
            <w:tcW w:type="dxa" w:w="3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Gesamtumsatz</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93.500 EUR</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269.000 EUR</w:t>
            </w:r>
          </w:p>
        </w:tc>
        <w:tc>
          <w:tcPr>
            <w:tcW w:type="dxa" w:w="2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442.000 EUR</w:t>
            </w:r>
          </w:p>
        </w:tc>
      </w:tr>
    </w:tbl>
    <w:p>
      <w:pPr>
        <w:spacing w:before="0" w:after="44" w:line="245" w:lineRule="auto"/>
        <w:shd w:fill="EEF3F7"/>
        <w:pBdr>
          <w:left w:val="single" w:sz="18" w:space="10" w:color="1E3A5F"/>
        </w:pBdr>
        <w:ind w:left="180" w:right="120"/>
        <w:jc w:val="left"/>
      </w:pPr>
      <w:r>
        <w:rPr>
          <w:rFonts w:ascii="Arial" w:hAnsi="Arial" w:eastAsia="Arial"/>
          <w:b/>
          <w:color w:val="1E3A5F"/>
          <w:sz w:val="19"/>
        </w:rPr>
        <w:t xml:space="preserve">KAPAZITÄTSBEDINGUNG  </w:t>
      </w:r>
      <w:r>
        <w:rPr>
          <w:rFonts w:ascii="Arial" w:hAnsi="Arial" w:eastAsia="Arial"/>
          <w:color w:val="243447"/>
          <w:sz w:val="19"/>
        </w:rPr>
        <w:t>Das Wachstum in Planjahr 2 und 3 setzt bezahlte, delegierbare Arbeit sowie Projektkoordination und später zusätzliche Projektleitung voraus. Kommt diese Kapazität nicht zustande, wird der Umsatzplan reduziert; die Qualitätsreserve des Gründers wird nicht verplant.</w:t>
      </w:r>
    </w:p>
    <w:p>
      <w:pPr>
        <w:pStyle w:val="Heading2"/>
        <w:keepNext/>
        <w:pBdr>
          <w:bottom w:val="single" w:sz="8" w:space="6" w:color="B08D57"/>
        </w:pBdr>
        <w:spacing w:after="50" w:before="100" w:line="240" w:lineRule="auto"/>
      </w:pPr>
      <w:r>
        <w:rPr>
          <w:rFonts w:ascii="Arial" w:hAnsi="Arial" w:eastAsia="Arial" w:cs="Arial"/>
          <w:b/>
          <w:color w:val="1E3A5F"/>
          <w:sz w:val="24"/>
        </w:rPr>
        <w:t>Kosten- und Personalplanung</w:t>
      </w:r>
    </w:p>
    <w:p>
      <w:pPr>
        <w:pStyle w:val="BodyText"/>
        <w:spacing w:after="44" w:before="0" w:line="245" w:lineRule="auto"/>
        <w:jc w:val="left"/>
      </w:pPr>
      <w:r>
        <w:rPr>
          <w:rFonts w:ascii="Arial" w:hAnsi="Arial" w:eastAsia="Arial"/>
          <w:i w:val="0"/>
          <w:color w:val="243447"/>
          <w:sz w:val="19"/>
        </w:rPr>
        <w:t>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type="dxa" w:w="976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000"/>
        <w:gridCol w:w="1920"/>
        <w:gridCol w:w="1920"/>
        <w:gridCol w:w="1920"/>
      </w:tblGrid>
      <w:tr>
        <w:trPr>
          <w:tblHeader/>
          <w:tblHeader w:val="true"/>
        </w:trPr>
        <w:tc>
          <w:tcPr>
            <w:tcW w:type="dxa" w:w="4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Kostenblock</w:t>
            </w:r>
          </w:p>
        </w:tc>
        <w:tc>
          <w:tcPr>
            <w:tcW w:type="dxa" w:w="192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1</w:t>
            </w:r>
          </w:p>
        </w:tc>
        <w:tc>
          <w:tcPr>
            <w:tcW w:type="dxa" w:w="192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2</w:t>
            </w:r>
          </w:p>
        </w:tc>
        <w:tc>
          <w:tcPr>
            <w:tcW w:type="dxa" w:w="192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3</w:t>
            </w:r>
          </w:p>
        </w:tc>
      </w:tr>
      <w:tr>
        <w:trPr>
          <w:cantSplit/>
        </w:trPr>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Variable externe Kosten</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9.350 EUR</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32.280 EUR</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66.300 EUR</w:t>
            </w:r>
          </w:p>
        </w:tc>
      </w:tr>
      <w:tr>
        <w:trPr>
          <w:cantSplit/>
        </w:trPr>
        <w:tc>
          <w:tcPr>
            <w:tcW w:type="dxa" w:w="4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Betriebsaufwand</w:t>
            </w:r>
          </w:p>
        </w:tc>
        <w:tc>
          <w:tcPr>
            <w:tcW w:type="dxa" w:w="19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19.200 EUR</w:t>
            </w:r>
          </w:p>
        </w:tc>
        <w:tc>
          <w:tcPr>
            <w:tcW w:type="dxa" w:w="19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26.400 EUR</w:t>
            </w:r>
          </w:p>
        </w:tc>
        <w:tc>
          <w:tcPr>
            <w:tcW w:type="dxa" w:w="19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38.400 EUR</w:t>
            </w:r>
          </w:p>
        </w:tc>
      </w:tr>
      <w:tr>
        <w:trPr>
          <w:cantSplit/>
        </w:trPr>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Geschäftsführerbezug</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30.000 EUR</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42.000 EUR</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60.000 EUR</w:t>
            </w:r>
          </w:p>
        </w:tc>
      </w:tr>
      <w:tr>
        <w:trPr>
          <w:cantSplit/>
        </w:trPr>
        <w:tc>
          <w:tcPr>
            <w:tcW w:type="dxa" w:w="4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Personal / Projektkoordination</w:t>
            </w:r>
          </w:p>
        </w:tc>
        <w:tc>
          <w:tcPr>
            <w:tcW w:type="dxa" w:w="19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0 EUR</w:t>
            </w:r>
          </w:p>
        </w:tc>
        <w:tc>
          <w:tcPr>
            <w:tcW w:type="dxa" w:w="19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48.000 EUR</w:t>
            </w:r>
          </w:p>
        </w:tc>
        <w:tc>
          <w:tcPr>
            <w:tcW w:type="dxa" w:w="192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108.000 EUR</w:t>
            </w:r>
          </w:p>
        </w:tc>
      </w:tr>
      <w:tr>
        <w:trPr>
          <w:cantSplit/>
        </w:trPr>
        <w:tc>
          <w:tcPr>
            <w:tcW w:type="dxa" w:w="4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Abschreibungen</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2.000 EUR</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3.000 EUR</w:t>
            </w:r>
          </w:p>
        </w:tc>
        <w:tc>
          <w:tcPr>
            <w:tcW w:type="dxa" w:w="192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5.000 EUR</w:t>
            </w:r>
          </w:p>
        </w:tc>
      </w:tr>
    </w:tbl>
    <w:p>
      <w:pPr>
        <w:pStyle w:val="BodyText"/>
        <w:spacing w:after="44" w:before="0" w:line="245" w:lineRule="auto"/>
        <w:jc w:val="left"/>
      </w:pPr>
      <w:r>
        <w:t>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pPr>
        <w:pStyle w:val="Heading2"/>
        <w:keepNext/>
        <w:pBdr>
          <w:bottom w:val="single" w:sz="8" w:space="6" w:color="B08D57"/>
        </w:pBdr>
        <w:spacing w:after="50" w:before="100" w:line="240" w:lineRule="auto"/>
      </w:pPr>
      <w:r>
        <w:rPr>
          <w:rFonts w:ascii="Arial" w:hAnsi="Arial" w:eastAsia="Arial" w:cs="Arial"/>
          <w:b/>
          <w:color w:val="1E3A5F"/>
          <w:sz w:val="24"/>
        </w:rPr>
        <w:t>Drei-Jahres-Rentabilitätsvorschau</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blHeader w:val="true"/>
        </w:trPr>
        <w:tc>
          <w:tcPr>
            <w:tcW w:type="dxa" w:w="3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Position</w:t>
            </w:r>
          </w:p>
        </w:tc>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1</w:t>
            </w:r>
          </w:p>
        </w:tc>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2</w:t>
            </w:r>
          </w:p>
        </w:tc>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3</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Umsatz</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93.500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269.000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442.000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Variable externe Kosten</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− 9.350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− 32.280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− 66.300 EUR</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Betriebsaufwand</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− 19.200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− 26.400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− 38.400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Geschäftsführerbezug</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− 30.000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− 42.000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− 60.000 EUR</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Personal / Projektkoordination</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− 48.000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− 108.000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EBITDA</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34.950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120.320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169.300 EUR</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Abschreibungen</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− 2.000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− 3.000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− 5.000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Ergebnis vor Steuern</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32.950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117.320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164.300 EUR</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Ertragsteueraufwand (Plan)</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− 9.885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− 35.196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− 49.290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Planergebnis nach Steuer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23.065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82.124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115.010 EUR</w:t>
            </w:r>
          </w:p>
        </w:tc>
      </w:tr>
    </w:tbl>
    <w:p>
      <w:pPr>
        <w:pStyle w:val="BodyText"/>
        <w:spacing w:after="44" w:before="0" w:line="245" w:lineRule="auto"/>
        <w:jc w:val="left"/>
      </w:pPr>
      <w:r>
        <w:rPr>
          <w:rFonts w:ascii="Arial" w:hAnsi="Arial" w:eastAsia="Arial"/>
          <w:i w:val="0"/>
          <w:color w:val="243447"/>
          <w:sz w:val="19"/>
        </w:rPr>
        <w:t>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pPr>
        <w:pStyle w:val="Heading3"/>
        <w:keepNext/>
        <w:spacing w:after="30" w:before="70" w:line="240" w:lineRule="auto"/>
      </w:pPr>
      <w:r>
        <w:rPr>
          <w:rFonts w:ascii="Arial" w:hAnsi="Arial" w:eastAsia="Arial" w:cs="Arial"/>
          <w:b/>
          <w:color w:val="102A43"/>
          <w:sz w:val="20"/>
        </w:rPr>
        <w:t>Break-even und wirtschaftliche Tragfähigkeit</w:t>
      </w:r>
    </w:p>
    <w:p>
      <w:pPr>
        <w:pStyle w:val="BodyText"/>
        <w:spacing w:after="44" w:before="0" w:line="245" w:lineRule="auto"/>
        <w:jc w:val="left"/>
      </w:pPr>
      <w:r>
        <w:rPr>
          <w:rFonts w:ascii="Arial" w:hAnsi="Arial" w:eastAsia="Arial"/>
          <w:i w:val="0"/>
          <w:color w:val="243447"/>
          <w:sz w:val="19"/>
        </w:rPr>
        <w:t>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jedoch nicht allein das Jahresergebnis, sondern der Zeitpunkt der Zahlungen: Ein rechnerisch profitables Projekt kann bei später Rechnung oder hoher Vorleistung dennoch Liquidität belasten.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2750"/>
        <w:gridCol w:w="3800"/>
      </w:tblGrid>
      <w:tr>
        <w:trPr>
          <w:tblHeader/>
          <w:tblHeader w:val="true"/>
        </w:trPr>
        <w:tc>
          <w:tcPr>
            <w:tcW w:type="dxa" w:w="3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Steuerungsgröße</w:t>
            </w:r>
          </w:p>
        </w:tc>
        <w:tc>
          <w:tcPr>
            <w:tcW w:type="dxa" w:w="2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Planwert / Schwelle</w:t>
            </w:r>
          </w:p>
        </w:tc>
        <w:tc>
          <w:tcPr>
            <w:tcW w:type="dxa" w:w="3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Managementreaktion</w:t>
            </w:r>
          </w:p>
        </w:tc>
      </w:tr>
      <w:tr>
        <w:trPr>
          <w:cantSplit/>
        </w:trPr>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Operativer Break-even Jahr 1</w:t>
            </w:r>
          </w:p>
        </w:tc>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ca. 56.900 EUR Umsatz</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bei Unterschreitung Geschäftsführerbezug, Kosten und Scope anpassen</w:t>
            </w:r>
          </w:p>
        </w:tc>
      </w:tr>
      <w:tr>
        <w:trPr>
          <w:cantSplit/>
        </w:trPr>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Mindestliquidität</w:t>
            </w:r>
          </w:p>
        </w:tc>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10.000 / 15.000 / 25.000 EUR</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keine neue Fixkosten- oder Objektbindung unter Schwelle</w:t>
            </w:r>
          </w:p>
        </w:tc>
      </w:tr>
      <w:tr>
        <w:trPr>
          <w:cantSplit/>
        </w:trPr>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Forderung</w:t>
            </w:r>
          </w:p>
        </w:tc>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nach vertraglichem Zahlungsziel</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Nachfassen; neue Fremdbeauftragung und nichtkritische Folgeleistung stoppen</w:t>
            </w:r>
          </w:p>
        </w:tc>
      </w:tr>
      <w:tr>
        <w:trPr>
          <w:cantSplit/>
        </w:trPr>
        <w:tc>
          <w:tcPr>
            <w:tcW w:type="dxa" w:w="3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Projektstunden</w:t>
            </w:r>
          </w:p>
        </w:tc>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&gt; 10 % über Plan</w:t>
            </w:r>
          </w:p>
        </w:tc>
        <w:tc>
          <w:tcPr>
            <w:tcW w:type="dxa" w:w="3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Ursache, Change Request oder Management-Stopp</w:t>
            </w:r>
          </w:p>
        </w:tc>
      </w:tr>
      <w:tr>
        <w:trPr>
          <w:cantSplit/>
        </w:trPr>
        <w:tc>
          <w:tcPr>
            <w:tcW w:type="dxa" w:w="3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Kundenkonzentration</w:t>
            </w:r>
          </w:p>
        </w:tc>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&gt; 40 % Jahresumsatz</w:t>
            </w:r>
          </w:p>
        </w:tc>
        <w:tc>
          <w:tcPr>
            <w:tcW w:type="dxa" w:w="3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zweiten Ankerkunden aktiv priorisieren</w:t>
            </w:r>
          </w:p>
        </w:tc>
      </w:tr>
    </w:tbl>
    <w:p>
      <w:pPr>
        <w:pStyle w:val="Heading2"/>
        <w:keepNext/>
        <w:pBdr>
          <w:bottom w:val="single" w:sz="8" w:space="6" w:color="B08D57"/>
        </w:pBdr>
        <w:spacing w:after="50" w:before="100" w:line="240" w:lineRule="auto"/>
      </w:pPr>
      <w:r>
        <w:rPr>
          <w:rFonts w:ascii="Arial" w:hAnsi="Arial" w:eastAsia="Arial" w:cs="Arial"/>
          <w:b/>
          <w:color w:val="1E3A5F"/>
          <w:sz w:val="24"/>
        </w:rPr>
        <w:t>Liquiditätsplanung über 36 Monate</w:t>
      </w:r>
    </w:p>
    <w:p>
      <w:pPr>
        <w:pStyle w:val="BodyText"/>
        <w:spacing w:after="44" w:before="0" w:line="245" w:lineRule="auto"/>
        <w:jc w:val="left"/>
      </w:pPr>
      <w:r>
        <w:t>Die begleitende Excel-Datei v1.7 FINAL führt P&amp;L, Vertragswerte, editierbare Zahlungsprofile und den monatlichen Cashflow getrennt. Sie zeigt zwei Sichtweisen: den Planfall mit 25.000 EUR Startfinanzierung und den Live-Fall mit dem tatsächlich dokumentierten Zufluss. Umsatzsteuer und die pauschale Ertragsteuerreserve werden von der verfügbaren Liquidität abgezogen. Ohne dokumentierte Einzahlung ist keine Live-Freigabe gegeben; vor jeder neuen Bindung wird der Plan mit Ist-Zahlungen aktualisiert.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blHeader w:val="true"/>
        </w:trPr>
        <w:tc>
          <w:tcPr>
            <w:tcW w:type="dxa" w:w="3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Liquiditätsgröße</w:t>
            </w:r>
          </w:p>
        </w:tc>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1</w:t>
            </w:r>
          </w:p>
        </w:tc>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2</w:t>
            </w:r>
          </w:p>
        </w:tc>
        <w:tc>
          <w:tcPr>
            <w:tcW w:type="dxa" w:w="1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3</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Start-/Jahresanfangsliquidität (Plan / Live)</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7"/>
              </w:rPr>
              <w:t>25.000 / 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7"/>
              </w:rPr>
              <w:t>60.040 / 35.040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7"/>
              </w:rPr>
              <w:t>171.410 / 146.410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Finanzierungszufluss (Plan / Live)</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7"/>
              </w:rPr>
              <w:t>25.000 / 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7"/>
              </w:rPr>
              <w:t>0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7"/>
              </w:rPr>
              <w:t>0 EUR</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Investitionen</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2.000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8.000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before="0" w:line="250" w:lineRule="auto"/>
              <w:jc w:val="left"/>
            </w:pPr>
            <w:r>
              <w:rPr>
                <w:rFonts w:ascii="Arial" w:hAnsi="Arial"/>
                <w:b w:val="0"/>
                <w:color w:val="1F2933"/>
                <w:sz w:val="17"/>
              </w:rPr>
              <w:t>15.000 EUR</w:t>
            </w:r>
          </w:p>
        </w:tc>
      </w:tr>
      <w:tr>
        <w:trPr>
          <w:cantSplit/>
        </w:trPr>
        <w:tc>
          <w:tcPr>
            <w:tcW w:type="dxa" w:w="3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Verfügbare Liquidität Jahresende (Plan / Live)</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7"/>
              </w:rPr>
              <w:t>48.065 / 23.065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7"/>
              </w:rPr>
              <w:t>125.189 / 100.189 EUR</w:t>
            </w:r>
          </w:p>
        </w:tc>
        <w:tc>
          <w:tcPr>
            <w:tcW w:type="dxa" w:w="1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7"/>
              </w:rPr>
              <w:t>230.199 / 205.199 EUR</w:t>
            </w:r>
          </w:p>
        </w:tc>
      </w:tr>
      <w:tr>
        <w:trPr>
          <w:cantSplit/>
        </w:trPr>
        <w:tc>
          <w:tcPr>
            <w:tcW w:type="dxa" w:w="3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Management-Mindestliquidität</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10.000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15.000 EUR</w:t>
            </w:r>
          </w:p>
        </w:tc>
        <w:tc>
          <w:tcPr>
            <w:tcW w:type="dxa" w:w="1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25.000 EUR</w:t>
            </w:r>
          </w:p>
        </w:tc>
      </w:tr>
    </w:tbl>
    <w:p>
      <w:pPr>
        <w:pStyle w:val="BodyText"/>
        <w:spacing w:after="44" w:before="0" w:line="245" w:lineRule="auto"/>
        <w:jc w:val="left"/>
      </w:pPr>
      <w:r>
        <w:rPr>
          <w:rFonts w:ascii="Arial" w:hAnsi="Arial" w:eastAsia="Arial"/>
          <w:i w:val="0"/>
          <w:color w:val="243447"/>
          <w:sz w:val="19"/>
        </w:rPr>
        <w:t>Die Liquiditätsplanung behandelt Umsatzsteuer nicht als Ertrag und sperrt die jeweils noch nicht abgeführte Umsatzsteuer. Zusätzlich wird die pauschale Ertragsteuerreserve kumuliert von der verfügbaren Liquidität abgezogen; tatsächliche Steuerhöhe und Zahlungstermine werden durch die Steuerberatung konkretisiert. Der 36-Monats-Plan ersetzt keinen operativen 13-Wochen-Cash-Forecast mit tatsächlichen Rechnungen, Zahlungszielen und Steuerterminen.</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LIQUIDITÄT VOR WACHSTUM  </w:t>
      </w:r>
      <w:r>
        <w:rPr>
          <w:rFonts w:ascii="Arial" w:hAnsi="Arial" w:eastAsia="Arial"/>
          <w:color w:val="243447"/>
          <w:sz w:val="19"/>
        </w:rPr>
        <w:t>Solange die Startmittel nicht nachweisbar eingebracht sind oder die Mindestliquidität unterschritten wird, schließt AMAVIO keine neue langfristige Miet-, Personal- oder Lieferverpflichtung ab.</w:t>
      </w:r>
    </w:p>
    <w:p>
      <w:pPr>
        <w:pStyle w:val="Heading1"/>
        <w:keepNext/>
        <w:spacing w:before="140" w:after="80" w:line="240" w:lineRule="auto"/>
        <w:pBdr>
          <w:bottom w:val="single" w:sz="8" w:space="6" w:color="B08D57"/>
        </w:pBdr>
      </w:pPr>
      <w:r>
        <w:rPr>
          <w:rFonts w:ascii="Arial" w:hAnsi="Arial" w:eastAsia="Arial" w:cs="Arial"/>
          <w:b/>
          <w:color w:val="102A43"/>
          <w:sz w:val="32"/>
        </w:rPr>
        <w:t>10. Chancen, Risiken, Szenarien und Absicherung</w:t>
      </w:r>
    </w:p>
    <w:p>
      <w:pPr>
        <w:pStyle w:val="Heading2"/>
        <w:keepNext/>
        <w:pBdr>
          <w:bottom w:val="single" w:sz="8" w:space="6" w:color="B08D57"/>
        </w:pBdr>
        <w:spacing w:after="50" w:before="100" w:line="240" w:lineRule="auto"/>
      </w:pPr>
      <w:r>
        <w:rPr>
          <w:rFonts w:ascii="Arial" w:hAnsi="Arial" w:eastAsia="Arial" w:cs="Arial"/>
          <w:b/>
          <w:color w:val="1E3A5F"/>
          <w:sz w:val="24"/>
        </w:rPr>
        <w:t>Szenarioanalyse</w:t>
      </w:r>
    </w:p>
    <w:p>
      <w:pPr>
        <w:pStyle w:val="BodyText"/>
        <w:spacing w:after="44" w:before="0" w:line="245" w:lineRule="auto"/>
        <w:jc w:val="left"/>
      </w:pPr>
      <w:r>
        <w:rPr>
          <w:rFonts w:ascii="Arial" w:hAnsi="Arial" w:eastAsia="Arial"/>
          <w:i w:val="0"/>
          <w:color w:val="243447"/>
          <w:sz w:val="19"/>
        </w:rPr>
        <w:t>Die Szenarioanalyse verwendet transparente Umsatzfaktoren von 45 Prozent im Downside, 100 Prozent im Base Case und 125 Prozent im Growth Case. Die variablen Kosten reagieren auf den Umsatz; die geplanten Fixkosten einschließlich Geschäftsführerbezug, Personal und Abschreibungen bleiben im Rechenmodell konservativ unverändert. Damit prüft der Downside bewusst die Kostenrigidität. Verzögerte Einstellungen, Vergütungsanpassungen und Ausgabenstopps sind Managementmaßnahmen, werden aber nicht vorab als sichere Ergebnisverbesserung eingerechnet. Der Betreiberaufbau bleibt in allen Szenarien außerhalb der Planung.</w:t>
      </w:r>
    </w:p>
    <w:tbl>
      <w:tblPr>
        <w:tblW w:type="dxa" w:w="104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1700"/>
        <w:gridCol w:w="1700"/>
        <w:gridCol w:w="1700"/>
        <w:gridCol w:w="2650"/>
      </w:tblGrid>
      <w:tr>
        <w:trPr>
          <w:tblHeader/>
          <w:tblHeader w:val="true"/>
        </w:trPr>
        <w:tc>
          <w:tcPr>
            <w:tcW w:type="dxa" w:w="2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Szenario</w:t>
            </w:r>
          </w:p>
        </w:tc>
        <w:tc>
          <w:tcPr>
            <w:tcW w:type="dxa" w:w="1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1</w:t>
            </w:r>
          </w:p>
        </w:tc>
        <w:tc>
          <w:tcPr>
            <w:tcW w:type="dxa" w:w="1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2</w:t>
            </w:r>
          </w:p>
        </w:tc>
        <w:tc>
          <w:tcPr>
            <w:tcW w:type="dxa" w:w="1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Planjahr 3</w:t>
            </w:r>
          </w:p>
        </w:tc>
        <w:tc>
          <w:tcPr>
            <w:tcW w:type="dxa" w:w="2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Konsequenz</w:t>
            </w:r>
          </w:p>
        </w:tc>
      </w:tr>
      <w:tr>
        <w:trPr>
          <w:cantSplit/>
        </w:trPr>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Downside · Umsatz</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42.075 EUR</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121.050 EUR</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198.900 EUR</w:t>
            </w:r>
          </w:p>
        </w:tc>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45 % des Base Case; Kostenmaßnahmen nicht vorweggenommen</w:t>
            </w:r>
          </w:p>
        </w:tc>
      </w:tr>
      <w:tr>
        <w:trPr>
          <w:cantSplit/>
        </w:trPr>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Downside · Ergebnis n. Reserve</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− 13.333 EUR</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− 12.876 EUR</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− 42.335 EUR</w:t>
            </w:r>
          </w:p>
        </w:tc>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frühes Kosten- und Liquiditätsprogramm zwingend</w:t>
            </w:r>
          </w:p>
        </w:tc>
      </w:tr>
      <w:tr>
        <w:trPr>
          <w:cantSplit/>
        </w:trPr>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Base · Umsatz</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93.500 EUR</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269.000 EUR</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442.000 EUR</w:t>
            </w:r>
          </w:p>
        </w:tc>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Mandats- und Kapazitätsplan wie beschrieben</w:t>
            </w:r>
          </w:p>
        </w:tc>
      </w:tr>
      <w:tr>
        <w:trPr>
          <w:cantSplit/>
        </w:trPr>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Base · Ergebnis n. Reserve</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23.065 EUR</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82.124 EUR</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115.010 EUR</w:t>
            </w:r>
          </w:p>
        </w:tc>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interne Finanzierung des Wachstums grundsätzlich möglich</w:t>
            </w:r>
          </w:p>
        </w:tc>
      </w:tr>
      <w:tr>
        <w:trPr>
          <w:cantSplit/>
        </w:trPr>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Growth · Umsatz</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116.875 EUR</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336.250 EUR</w:t>
            </w:r>
          </w:p>
        </w:tc>
        <w:tc>
          <w:tcPr>
            <w:tcW w:type="dxa" w:w="1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552.500 EUR</w:t>
            </w:r>
          </w:p>
        </w:tc>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nur mit zusätzlicher Delivery-Kapazität</w:t>
            </w:r>
          </w:p>
        </w:tc>
      </w:tr>
      <w:tr>
        <w:trPr>
          <w:cantSplit/>
        </w:trPr>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Growth · Ergebnis n. Reserve</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37.791 EUR</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123.550 EUR</w:t>
            </w:r>
          </w:p>
        </w:tc>
        <w:tc>
          <w:tcPr>
            <w:tcW w:type="dxa" w:w="1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val="0"/>
                <w:color w:val="1F2933"/>
                <w:sz w:val="17"/>
              </w:rPr>
              <w:t>180.758 EUR</w:t>
            </w:r>
          </w:p>
        </w:tc>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Reserve vor Objekt- oder Produktinvestition</w:t>
            </w:r>
          </w:p>
        </w:tc>
      </w:tr>
    </w:tbl>
    <w:p>
      <w:pPr>
        <w:spacing w:before="0" w:after="44" w:line="245" w:lineRule="auto"/>
        <w:shd w:fill="EEF3F7"/>
        <w:pBdr>
          <w:left w:val="single" w:sz="18" w:space="10" w:color="1E3A5F"/>
        </w:pBdr>
        <w:ind w:left="180" w:right="120"/>
        <w:jc w:val="left"/>
      </w:pPr>
      <w:r>
        <w:rPr>
          <w:rFonts w:ascii="Arial" w:hAnsi="Arial" w:eastAsia="Arial"/>
          <w:b/>
          <w:color w:val="1E3A5F"/>
          <w:sz w:val="19"/>
        </w:rPr>
        <w:t xml:space="preserve">DOWNSIDE-REGEL  </w:t>
      </w:r>
      <w:r>
        <w:rPr>
          <w:rFonts w:ascii="Arial" w:hAnsi="Arial" w:eastAsia="Arial"/>
          <w:color w:val="243447"/>
          <w:sz w:val="19"/>
        </w:rPr>
        <w:t>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pPr>
        <w:pStyle w:val="Heading2"/>
        <w:keepNext/>
        <w:pBdr>
          <w:bottom w:val="single" w:sz="8" w:space="6" w:color="B08D57"/>
        </w:pBdr>
        <w:spacing w:after="50" w:before="100" w:line="240" w:lineRule="auto"/>
      </w:pPr>
      <w:r>
        <w:rPr>
          <w:rFonts w:ascii="Arial" w:hAnsi="Arial" w:eastAsia="Arial" w:cs="Arial"/>
          <w:b/>
          <w:color w:val="1E3A5F"/>
          <w:sz w:val="24"/>
        </w:rPr>
        <w:t>Zentrales Risikoregister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2450"/>
        <w:gridCol w:w="2250"/>
        <w:gridCol w:w="2850"/>
      </w:tblGrid>
      <w:tr>
        <w:trPr>
          <w:tblHeader/>
          <w:tblHeader w:val="true"/>
        </w:trPr>
        <w:tc>
          <w:tcPr>
            <w:tcW w:type="dxa" w:w="22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Risiko</w:t>
            </w:r>
          </w:p>
        </w:tc>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Frühindikator</w:t>
            </w:r>
          </w:p>
        </w:tc>
        <w:tc>
          <w:tcPr>
            <w:tcW w:type="dxa" w:w="2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Auswirkung</w:t>
            </w:r>
          </w:p>
        </w:tc>
        <w:tc>
          <w:tcPr>
            <w:tcW w:type="dxa" w:w="2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Absicherung</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Langer B2B-Vertrieb / verschobene Aufträge</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Entscheidung &gt; 30 Tage ohne nächsten Termin</w:t>
            </w:r>
          </w:p>
        </w:tc>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Umsatz- und Liquiditätslücke</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breite Pipeline, bezahlter Blueprint-Einstieg, Kosten variabel halten</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Kundenkonzentration</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ein Kunde &gt; 40 % des Jahresumsatzes</w:t>
            </w:r>
          </w:p>
        </w:tc>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Abhängigkeit und Preisdruck</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zweiter Ankerkunde, keine ungedeckten kundenspezifischen Fixkosten</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Zahlungsverzug</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Zahlungsziel überschritten</w:t>
            </w:r>
          </w:p>
        </w:tc>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Projektvorfinanzierung</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Meilensteinzahlung, kurze Ziele, Leistungsstopp nach Vertrag</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Scope Creep</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Ist-Stunden &gt; 110 %</w:t>
            </w:r>
          </w:p>
        </w:tc>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Margen- und Kapazitätsverlust</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Scope, Revisionen, Change Request und Nachkalkulation</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Gründerabhängigkeit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kritische Information nur beim Gründer</w:t>
            </w:r>
          </w:p>
        </w:tc>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Ausfall- und Skalierungsrisiko</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CRM, Projektakte, Vertretung, dokumentierte Freigaben</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Partner-/Lieferausfall</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Termin- oder Qualitätsabweichung</w:t>
            </w:r>
          </w:p>
        </w:tc>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Einzug oder Kundenbeziehung gefährdet</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Ersatzpartner, SLAs, Meilensteine, Gewährleistung</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Datenschutz / IT-Sicherheit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unzulässige Freigabe oder Datenkategorie</w:t>
            </w:r>
          </w:p>
        </w:tc>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Bußgeld, Schaden, Vertrauensverlust</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Datenminimierung, Rollen, AV-Verträge, Zugriff, Incident-Prozess</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Rechts-/Leistungsgrenze</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ungeklärte Beratung, Nutzung oder Haftung</w:t>
            </w:r>
          </w:p>
        </w:tc>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Vertrag, Genehmigung oder Haftung gefährdet</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befugte Fachpartner, dokumentierte Freigabe, klare Ausschlüsse</w:t>
            </w:r>
          </w:p>
        </w:tc>
      </w:tr>
      <w:tr>
        <w:trPr>
          <w:cantSplit/>
        </w:trPr>
        <w:tc>
          <w:tcPr>
            <w:tcW w:type="dxa" w:w="22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Reputation und Bewohnerschutz</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Beschwerde, Sicherheits- oder Diskriminierungsfall</w:t>
            </w:r>
          </w:p>
        </w:tc>
        <w:tc>
          <w:tcPr>
            <w:tcW w:type="dxa" w:w="2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Kunden- und Personenschaden</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Beschwerdekanal, Eskalation, Haus-/Schutzkonzept, faire Standards</w:t>
            </w:r>
          </w:p>
        </w:tc>
      </w:tr>
      <w:tr>
        <w:trPr>
          <w:cantSplit/>
        </w:trPr>
        <w:tc>
          <w:tcPr>
            <w:tcW w:type="dxa" w:w="22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Objektleerstand / Mietbindung</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Nachfrage oder Nutzung nicht gesichert</w:t>
            </w:r>
          </w:p>
        </w:tc>
        <w:tc>
          <w:tcPr>
            <w:tcW w:type="dxa" w:w="2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hohe Fixkosten und Kapitalverlust</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 Objekt ohne 20-%-Stresscase, sechs Fixkostenmonate Reserve und Exit</w:t>
            </w:r>
          </w:p>
        </w:tc>
      </w:tr>
    </w:tbl>
    <w:p>
      <w:pPr>
        <w:pStyle w:val="Heading3"/>
        <w:keepNext/>
        <w:spacing w:after="30" w:before="70" w:line="240" w:lineRule="auto"/>
      </w:pPr>
      <w:r>
        <w:rPr>
          <w:rFonts w:ascii="Arial" w:hAnsi="Arial" w:eastAsia="Arial" w:cs="Arial"/>
          <w:b/>
          <w:color w:val="102A43"/>
          <w:sz w:val="20"/>
        </w:rPr>
        <w:t>Risiken aus Finanzierung, Steuer und Insolvenz</w:t>
      </w:r>
    </w:p>
    <w:p>
      <w:pPr>
        <w:pStyle w:val="BodyText"/>
        <w:spacing w:after="44" w:before="0" w:line="245" w:lineRule="auto"/>
        <w:jc w:val="left"/>
      </w:pPr>
      <w:r>
        <w:rPr>
          <w:rFonts w:ascii="Arial" w:hAnsi="Arial" w:eastAsia="Arial"/>
          <w:i w:val="0"/>
          <w:color w:val="243447"/>
          <w:sz w:val="19"/>
        </w:rPr>
        <w:t>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pPr>
        <w:pStyle w:val="BodyText"/>
        <w:spacing w:after="44" w:before="0" w:line="245" w:lineRule="auto"/>
        <w:jc w:val="left"/>
      </w:pPr>
      <w:r>
        <w:rPr>
          <w:rFonts w:ascii="Arial" w:hAnsi="Arial" w:eastAsia="Arial"/>
          <w:i w:val="0"/>
          <w:color w:val="243447"/>
          <w:sz w:val="19"/>
        </w:rPr>
        <w:t>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pPr>
        <w:pStyle w:val="Heading2"/>
        <w:keepNext/>
        <w:pBdr>
          <w:bottom w:val="single" w:sz="8" w:space="6" w:color="B08D57"/>
        </w:pBdr>
        <w:spacing w:after="50" w:before="100" w:line="240" w:lineRule="auto"/>
      </w:pPr>
      <w:r>
        <w:rPr>
          <w:rFonts w:ascii="Arial" w:hAnsi="Arial" w:eastAsia="Arial" w:cs="Arial"/>
          <w:b/>
          <w:color w:val="1E3A5F"/>
          <w:sz w:val="24"/>
        </w:rPr>
        <w:t>Chancen und kontrollierte Wachstumsoptionen</w:t>
      </w:r>
    </w:p>
    <w:tbl>
      <w:tblPr>
        <w:tblW w:type="dxa" w:w="950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50"/>
        <w:gridCol w:w="3500"/>
        <w:gridCol w:w="3250"/>
      </w:tblGrid>
      <w:tr>
        <w:trPr>
          <w:tblHeader/>
          <w:tblHeader w:val="true"/>
        </w:trPr>
        <w:tc>
          <w:tcPr>
            <w:tcW w:type="dxa" w:w="2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Chance</w:t>
            </w:r>
          </w:p>
        </w:tc>
        <w:tc>
          <w:tcPr>
            <w:tcW w:type="dxa" w:w="35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Werttreiber</w:t>
            </w:r>
          </w:p>
        </w:tc>
        <w:tc>
          <w:tcPr>
            <w:tcW w:type="dxa" w:w="32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Nachweis vor Skalierung</w:t>
            </w:r>
          </w:p>
        </w:tc>
      </w:tr>
      <w:tr>
        <w:trPr>
          <w:cantSplit/>
        </w:trPr>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Housing &amp; Arrival Office</w:t>
            </w:r>
          </w:p>
        </w:tc>
        <w:tc>
          <w:tcPr>
            <w:tcW w:type="dxa" w:w="3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wiederkehrender Umsatz und tiefere Kundenbindung</w:t>
            </w:r>
          </w:p>
        </w:tc>
        <w:tc>
          <w:tcPr>
            <w:tcW w:type="dxa" w:w="3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mindestens ein bezahlter Betrieb mit belastbaren Fall- und Zeitdaten</w:t>
            </w:r>
          </w:p>
        </w:tc>
      </w:tr>
      <w:tr>
        <w:trPr>
          <w:cantSplit/>
        </w:trPr>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Folgegruppen und weitere Standorte</w:t>
            </w:r>
          </w:p>
        </w:tc>
        <w:tc>
          <w:tcPr>
            <w:tcW w:type="dxa" w:w="3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geringere Akquisekosten und wiederverwendbare Standards</w:t>
            </w:r>
          </w:p>
        </w:tc>
        <w:tc>
          <w:tcPr>
            <w:tcW w:type="dxa" w:w="3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erneuter Scope-/Kapazitätscheck je Gruppe und Standort</w:t>
            </w:r>
          </w:p>
        </w:tc>
      </w:tr>
      <w:tr>
        <w:trPr>
          <w:cantSplit/>
        </w:trPr>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Partnernetzwerk</w:t>
            </w:r>
          </w:p>
        </w:tc>
        <w:tc>
          <w:tcPr>
            <w:tcW w:type="dxa" w:w="3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schnellere Supply-, Möbel- und Vor-Ort-Koordination</w:t>
            </w:r>
          </w:p>
        </w:tc>
        <w:tc>
          <w:tcPr>
            <w:tcW w:type="dxa" w:w="3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Qualität, Preis, Ersatzfähigkeit und transparente Interessen</w:t>
            </w:r>
          </w:p>
        </w:tc>
      </w:tr>
      <w:tr>
        <w:trPr>
          <w:cantSplit/>
        </w:trPr>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Digitale Workflows / Welcome OS</w:t>
            </w:r>
          </w:p>
        </w:tc>
        <w:tc>
          <w:tcPr>
            <w:tcW w:type="dxa" w:w="3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weniger Statusaufwand und bessere Transparenz</w:t>
            </w:r>
          </w:p>
        </w:tc>
        <w:tc>
          <w:tcPr>
            <w:tcW w:type="dxa" w:w="3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mindestens drei wiederkehrende Kundenworkflows und finanziertes MVP</w:t>
            </w:r>
          </w:p>
        </w:tc>
      </w:tr>
      <w:tr>
        <w:trPr>
          <w:cantSplit/>
        </w:trPr>
        <w:tc>
          <w:tcPr>
            <w:tcW w:type="dxa" w:w="2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Selektiver Objektpilot</w:t>
            </w:r>
          </w:p>
        </w:tc>
        <w:tc>
          <w:tcPr>
            <w:tcW w:type="dxa" w:w="35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zusätzlicher wiederkehrender Wohnumsatz</w:t>
            </w:r>
          </w:p>
        </w:tc>
        <w:tc>
          <w:tcPr>
            <w:tcW w:type="dxa" w:w="32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Ankerkunden, zulässige Nutzung, 20-%-Stresscase, sechs Fixkostenmonate Reserve</w:t>
            </w:r>
          </w:p>
        </w:tc>
      </w:tr>
      <w:tr>
        <w:trPr>
          <w:cantSplit/>
        </w:trPr>
        <w:tc>
          <w:tcPr>
            <w:tcW w:type="dxa" w:w="2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Kinderbetreuungsmodul</w:t>
            </w:r>
          </w:p>
        </w:tc>
        <w:tc>
          <w:tcPr>
            <w:tcW w:type="dxa" w:w="35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stärkeres Arbeitgeberangebot</w:t>
            </w:r>
          </w:p>
        </w:tc>
        <w:tc>
          <w:tcPr>
            <w:tcW w:type="dxa" w:w="32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separater Bedarf, Betreiber-, Genehmigungs-, Finanzierungs- und Haftungskonzept</w:t>
            </w:r>
          </w:p>
        </w:tc>
      </w:tr>
    </w:tbl>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CHANCENREGEL  </w:t>
      </w:r>
      <w:r>
        <w:rPr>
          <w:rFonts w:ascii="Arial" w:hAnsi="Arial" w:eastAsia="Arial"/>
          <w:color w:val="243447"/>
          <w:sz w:val="19"/>
        </w:rPr>
        <w:t>Eine Wachstumsoption wird erst dann Teil des Basiscase, wenn sie einen benannten Kunden, ein definiertes Leistungsbild, eine belastbare Kalkulation, verantwortliche Delivery-Kapazität und eine gesicherte Finanzierung besitzt.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50"/>
        <w:gridCol w:w="2850"/>
      </w:tblGrid>
      <w:tr>
        <w:trPr>
          <w:tblHeader/>
          <w:tblHeader w:val="true"/>
        </w:trPr>
        <w:tc>
          <w:tcPr>
            <w:tcW w:type="dxa" w:w="1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Rhythmus</w:t>
            </w:r>
          </w:p>
        </w:tc>
        <w:tc>
          <w:tcPr>
            <w:tcW w:type="dxa" w:w="50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Prüfung</w:t>
            </w:r>
          </w:p>
        </w:tc>
        <w:tc>
          <w:tcPr>
            <w:tcW w:type="dxa" w:w="2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Entscheidung</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Wöchentlich</w:t>
            </w:r>
          </w:p>
        </w:tc>
        <w:tc>
          <w:tcPr>
            <w:tcW w:type="dxa" w:w="5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Bank, Forderungen, Projektstunden, offene Freigaben und kritische Fälle</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Eskalieren, pausieren oder priorisieren</w:t>
            </w:r>
          </w:p>
        </w:tc>
      </w:tr>
      <w:tr>
        <w:trPr>
          <w:cantSplit/>
        </w:trPr>
        <w:tc>
          <w:tcPr>
            <w:tcW w:type="dxa" w:w="1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Monatlich</w:t>
            </w:r>
          </w:p>
        </w:tc>
        <w:tc>
          <w:tcPr>
            <w:tcW w:type="dxa" w:w="5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BWA, 13-Wochen-Cash, Pipeline, Auftragsbestand, Konzentration und Kapazität</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Forecast, Kosten und Personalplan aktualisieren</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Je Meilenstein</w:t>
            </w:r>
          </w:p>
        </w:tc>
        <w:tc>
          <w:tcPr>
            <w:tcW w:type="dxa" w:w="5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Abnahme, Zahlung, Budget, Fremdkosten, Scope und Termin</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nächste Phase freigeben oder Change Request</w:t>
            </w:r>
          </w:p>
        </w:tc>
      </w:tr>
      <w:tr>
        <w:trPr>
          <w:cantSplit/>
        </w:trPr>
        <w:tc>
          <w:tcPr>
            <w:tcW w:type="dxa" w:w="1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Quartalsweise</w:t>
            </w:r>
          </w:p>
        </w:tc>
        <w:tc>
          <w:tcPr>
            <w:tcW w:type="dxa" w:w="50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Szenario, Versicherungen, Partner, Datenschutz und Qualitäts-KPIs</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Standards und Reserven anpassen</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Vor Objekt/Personal/IT</w:t>
            </w:r>
          </w:p>
        </w:tc>
        <w:tc>
          <w:tcPr>
            <w:tcW w:type="dxa" w:w="50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separates Investitionspapier mit Downside und Exit</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Go/No-Go durch Geschäftsführung nach Fachprüfung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11. Meilenstein- und Wachstumsplanung</w:t>
      </w:r>
    </w:p>
    <w:p>
      <w:pPr>
        <w:pStyle w:val="Heading2"/>
        <w:keepNext/>
        <w:pBdr>
          <w:bottom w:val="single" w:sz="8" w:space="6" w:color="B08D57"/>
        </w:pBdr>
        <w:spacing w:after="50" w:before="100" w:line="240" w:lineRule="auto"/>
      </w:pPr>
      <w:r>
        <w:rPr>
          <w:rFonts w:ascii="Arial" w:hAnsi="Arial" w:eastAsia="Arial" w:cs="Arial"/>
          <w:b/>
          <w:color w:val="1E3A5F"/>
          <w:sz w:val="24"/>
        </w:rPr>
        <w:t>Wachstumsprinzip: Beleg vor Bindung</w:t>
      </w:r>
    </w:p>
    <w:p>
      <w:pPr>
        <w:pStyle w:val="BodyText"/>
        <w:spacing w:after="44" w:before="0" w:line="245" w:lineRule="auto"/>
        <w:jc w:val="left"/>
      </w:pPr>
      <w:r>
        <w:rPr>
          <w:rFonts w:ascii="Arial" w:hAnsi="Arial" w:eastAsia="Arial"/>
          <w:i w:val="0"/>
          <w:color w:val="243447"/>
          <w:sz w:val="19"/>
        </w:rPr>
        <w:t>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pPr>
        <w:pStyle w:val="BodyText"/>
        <w:spacing w:after="44" w:before="0" w:line="245" w:lineRule="auto"/>
        <w:jc w:val="left"/>
      </w:pPr>
      <w:r>
        <w:rPr>
          <w:rFonts w:ascii="Arial" w:hAnsi="Arial" w:eastAsia="Arial"/>
          <w:i w:val="0"/>
          <w:color w:val="243447"/>
          <w:sz w:val="19"/>
        </w:rPr>
        <w:t>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VERBINDLICHE REIHENFOLGE  </w:t>
      </w:r>
      <w:r>
        <w:rPr>
          <w:rFonts w:ascii="Arial" w:hAnsi="Arial" w:eastAsia="Arial"/>
          <w:color w:val="243447"/>
          <w:sz w:val="19"/>
        </w:rPr>
        <w:t>Referenzfähige Delivery kommt vor Personalaufbau; wiederkehrende Workflows kommen vor Eigenentwicklung; gesicherte Nachfrage, zulässige Nutzung und eigener Stresscase kommen vor Objektbindung.</w:t>
      </w:r>
    </w:p>
    <w:p>
      <w:pPr>
        <w:pStyle w:val="Heading2"/>
        <w:keepNext/>
        <w:pBdr>
          <w:bottom w:val="single" w:sz="8" w:space="6" w:color="B08D57"/>
        </w:pBdr>
        <w:spacing w:after="50" w:before="100" w:line="240" w:lineRule="auto"/>
      </w:pPr>
      <w:r>
        <w:rPr>
          <w:rFonts w:ascii="Arial" w:hAnsi="Arial" w:eastAsia="Arial" w:cs="Arial"/>
          <w:b/>
          <w:color w:val="1E3A5F"/>
          <w:sz w:val="24"/>
        </w:rPr>
        <w:t>36-Monats-Roadmap</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1750"/>
        <w:gridCol w:w="3450"/>
        <w:gridCol w:w="2700"/>
      </w:tblGrid>
      <w:tr>
        <w:trPr>
          <w:tblHeader/>
          <w:tblHeader w:val="true"/>
        </w:trPr>
        <w:tc>
          <w:tcPr>
            <w:tcW w:type="dxa" w:w="1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Phase</w:t>
            </w:r>
          </w:p>
        </w:tc>
        <w:tc>
          <w:tcPr>
            <w:tcW w:type="dxa" w:w="17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Zeitraum</w:t>
            </w:r>
          </w:p>
        </w:tc>
        <w:tc>
          <w:tcPr>
            <w:tcW w:type="dxa" w:w="3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Geschäftliches Ziel</w:t>
            </w:r>
          </w:p>
        </w:tc>
        <w:tc>
          <w:tcPr>
            <w:tcW w:type="dxa" w:w="27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Freigabenachweis</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0 · Startklar</w:t>
            </w:r>
          </w:p>
        </w:tc>
        <w:tc>
          <w:tcPr>
            <w:tcW w:type="dxa" w:w="1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Aug.–Sep. 2026</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Rechts-, Finanz-, Vertrags- und Vertriebsbasis vollständig arbeitsfähig machen</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Startmittel dokumentiert; Kernunterlagen freigegeben; CRM, Angebots- und Projektstruktur aktiv</w:t>
            </w:r>
          </w:p>
        </w:tc>
      </w:tr>
      <w:tr>
        <w:trPr>
          <w:cantSplit/>
        </w:trPr>
        <w:tc>
          <w:tcPr>
            <w:tcW w:type="dxa" w:w="1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 · Validieren</w:t>
            </w:r>
          </w:p>
        </w:tc>
        <w:tc>
          <w:tcPr>
            <w:tcW w:type="dxa" w:w="1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Okt. 2026–Jan. 2027</w:t>
            </w:r>
          </w:p>
        </w:tc>
        <w:tc>
          <w:tcPr>
            <w:tcW w:type="dxa" w:w="3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Zielkundenansprache in NRW und erstes bezahltes Blueprint- oder Pilotmandat</w:t>
            </w:r>
          </w:p>
        </w:tc>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qualifizierte Pipeline, dokumentierte Bedarfsgespräche, unterschriebener Auftrag mit Vorauszahlung</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2 · Referenz schaffen</w:t>
            </w:r>
          </w:p>
        </w:tc>
        <w:tc>
          <w:tcPr>
            <w:tcW w:type="dxa" w:w="1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Feb.–Jul. 2027</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Launch-/Setup-Leistung liefern, Ergebnis messen und Folgegeschäft entwickeln</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Abnahme, Nachkalkulation, verwertbare Referenz sowie Planjahr-1-Umsatzpfad bis 93.500 EUR</w:t>
            </w:r>
          </w:p>
        </w:tc>
      </w:tr>
      <w:tr>
        <w:trPr>
          <w:cantSplit/>
        </w:trPr>
        <w:tc>
          <w:tcPr>
            <w:tcW w:type="dxa" w:w="1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3 · Wiederholen</w:t>
            </w:r>
          </w:p>
        </w:tc>
        <w:tc>
          <w:tcPr>
            <w:tcW w:type="dxa" w:w="17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Aug. 2027–Jul. 2028</w:t>
            </w:r>
          </w:p>
        </w:tc>
        <w:tc>
          <w:tcPr>
            <w:tcW w:type="dxa" w:w="3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mehrere Kunden, wiederkehrendes Office-Geschäft und delegierbare Delivery etablieren</w:t>
            </w:r>
          </w:p>
        </w:tc>
        <w:tc>
          <w:tcPr>
            <w:tcW w:type="dxa" w:w="27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269.000 EUR Basiscase-Umsatz nur mit gesicherter Kapazität; keine Kundenkonzentration über 40 % ohne Gegenplan</w:t>
            </w:r>
          </w:p>
        </w:tc>
      </w:tr>
      <w:tr>
        <w:trPr>
          <w:cantSplit/>
        </w:trPr>
        <w:tc>
          <w:tcPr>
            <w:tcW w:type="dxa" w:w="1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 · Skalieren</w:t>
            </w:r>
          </w:p>
        </w:tc>
        <w:tc>
          <w:tcPr>
            <w:tcW w:type="dxa" w:w="17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Aug. 2028–Jul. 2029</w:t>
            </w:r>
          </w:p>
        </w:tc>
        <w:tc>
          <w:tcPr>
            <w:tcW w:type="dxa" w:w="3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standardisierte Mehrkunden-Delivery und kontrollierte regionale Ausweitung</w:t>
            </w:r>
          </w:p>
        </w:tc>
        <w:tc>
          <w:tcPr>
            <w:tcW w:type="dxa" w:w="27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442.000 EUR Basiscase-Umsatz; belastbare Managementstruktur; Produkt-/Objektentscheidungen nur nach Sonder-Gate</w:t>
            </w:r>
          </w:p>
        </w:tc>
      </w:tr>
    </w:tbl>
    <w:p>
      <w:pPr>
        <w:pStyle w:val="Heading3"/>
        <w:keepNext/>
        <w:spacing w:after="30" w:before="70" w:line="240" w:lineRule="auto"/>
      </w:pPr>
      <w:r>
        <w:rPr>
          <w:rFonts w:ascii="Arial" w:hAnsi="Arial" w:eastAsia="Arial" w:cs="Arial"/>
          <w:b/>
          <w:color w:val="102A43"/>
          <w:sz w:val="20"/>
        </w:rPr>
        <w:t>Phase 0: operative Gründungsreife</w:t>
      </w:r>
    </w:p>
    <w:p>
      <w:pPr>
        <w:pStyle w:val="BodyText"/>
        <w:spacing w:after="44" w:before="0" w:line="245" w:lineRule="auto"/>
        <w:jc w:val="left"/>
      </w:pPr>
      <w:r>
        <w:rPr>
          <w:rFonts w:ascii="Arial" w:hAnsi="Arial" w:eastAsia="Arial"/>
          <w:i w:val="0"/>
          <w:color w:val="243447"/>
          <w:sz w:val="19"/>
        </w:rPr>
        <w:t>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650"/>
        <w:gridCol w:w="2450"/>
      </w:tblGrid>
      <w:tr>
        <w:trPr>
          <w:tblHeader/>
          <w:tblHeader w:val="true"/>
        </w:trPr>
        <w:tc>
          <w:tcPr>
            <w:tcW w:type="dxa" w:w="2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Arbeitsstrom</w:t>
            </w:r>
          </w:p>
        </w:tc>
        <w:tc>
          <w:tcPr>
            <w:tcW w:type="dxa" w:w="46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Abschlusskriterium</w:t>
            </w:r>
          </w:p>
        </w:tc>
        <w:tc>
          <w:tcPr>
            <w:tcW w:type="dxa" w:w="24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Folge bei offenem Punkt</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Gesellschaft und Finanzierung</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Rechtsträger, Tätigkeit, Konto und 25.000-EUR-Finanzierung nachvollziehbar dokumentiert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keine langfristige Verpflichtung</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Verträge und Risiko</w:t>
            </w:r>
          </w:p>
        </w:tc>
        <w:tc>
          <w:tcPr>
            <w:tcW w:type="dxa" w:w="4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Kundenvertrag, Leistungsbeschreibung, Datenschutz und Versicherungsbedarf fachlich geprüft</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nur unverbindliche Gespräche</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Vertrieb</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Zielkundenliste, Entscheider, CRM, Erstansprache, One-Pager und Angebotslogik einsatzbereit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 ungezieltes Marketingbudget</w:t>
            </w:r>
          </w:p>
        </w:tc>
      </w:tr>
      <w:tr>
        <w:trPr>
          <w:cantSplit/>
        </w:trPr>
        <w:tc>
          <w:tcPr>
            <w:tcW w:type="dxa" w:w="2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Delivery</w:t>
            </w:r>
          </w:p>
        </w:tc>
        <w:tc>
          <w:tcPr>
            <w:tcW w:type="dxa" w:w="46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Projektphasen, Gates, Vorlagen, Reporting, Partnerakte und Eskalation definiert</w:t>
            </w:r>
          </w:p>
        </w:tc>
        <w:tc>
          <w:tcPr>
            <w:tcW w:type="dxa" w:w="24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kein Launch-Auftrag</w:t>
            </w:r>
          </w:p>
        </w:tc>
      </w:tr>
      <w:tr>
        <w:trPr>
          <w:cantSplit/>
        </w:trPr>
        <w:tc>
          <w:tcPr>
            <w:tcW w:type="dxa" w:w="2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Finanzen</w:t>
            </w:r>
          </w:p>
        </w:tc>
        <w:tc>
          <w:tcPr>
            <w:tcW w:type="dxa" w:w="46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Rechnungsprozess, Steuerreserve und rollierender 13-Wochen-Cash-Forecast eingerichtet</w:t>
            </w:r>
          </w:p>
        </w:tc>
        <w:tc>
          <w:tcPr>
            <w:tcW w:type="dxa" w:w="24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keine ungedeckte Vorleistung</w:t>
            </w:r>
          </w:p>
        </w:tc>
      </w:tr>
    </w:tbl>
    <w:p>
      <w:pPr>
        <w:pStyle w:val="Heading3"/>
        <w:keepNext/>
        <w:spacing w:after="30" w:before="70" w:line="240" w:lineRule="auto"/>
      </w:pPr>
      <w:r>
        <w:rPr>
          <w:rFonts w:ascii="Arial" w:hAnsi="Arial" w:eastAsia="Arial" w:cs="Arial"/>
          <w:b/>
          <w:color w:val="102A43"/>
          <w:sz w:val="20"/>
        </w:rPr>
        <w:t>Phase 1 und 2: Marktbeweis und Referenz</w:t>
      </w:r>
    </w:p>
    <w:p>
      <w:pPr>
        <w:pStyle w:val="BodyText"/>
        <w:spacing w:after="44" w:before="0" w:line="245" w:lineRule="auto"/>
        <w:jc w:val="left"/>
      </w:pPr>
      <w:r>
        <w:rPr>
          <w:rFonts w:ascii="Arial" w:hAnsi="Arial" w:eastAsia="Arial"/>
          <w:i w:val="0"/>
          <w:color w:val="243447"/>
          <w:sz w:val="19"/>
        </w:rPr>
        <w:t>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pPr>
        <w:pStyle w:val="BodyText"/>
        <w:spacing w:after="44" w:before="0" w:line="245" w:lineRule="auto"/>
        <w:jc w:val="left"/>
      </w:pPr>
      <w:r>
        <w:rPr>
          <w:rFonts w:ascii="Arial" w:hAnsi="Arial" w:eastAsia="Arial"/>
          <w:i w:val="0"/>
          <w:color w:val="243447"/>
          <w:sz w:val="19"/>
        </w:rPr>
        <w:t>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950"/>
        <w:gridCol w:w="3850"/>
        <w:gridCol w:w="2950"/>
      </w:tblGrid>
      <w:tr>
        <w:trPr>
          <w:tblHeader/>
          <w:tblHeader w:val="true"/>
        </w:trPr>
        <w:tc>
          <w:tcPr>
            <w:tcW w:type="dxa" w:w="2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Marktnachweis</w:t>
            </w:r>
          </w:p>
        </w:tc>
        <w:tc>
          <w:tcPr>
            <w:tcW w:type="dxa" w:w="3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Ziel bis Juli 2027</w:t>
            </w:r>
          </w:p>
        </w:tc>
        <w:tc>
          <w:tcPr>
            <w:tcW w:type="dxa" w:w="29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Managementbedeutung</w:t>
            </w:r>
          </w:p>
        </w:tc>
      </w:tr>
      <w:tr>
        <w:trPr>
          <w:cantSplit/>
        </w:trPr>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Qualifizierte Bedarfsgespräche</w:t>
            </w:r>
          </w:p>
        </w:tc>
        <w:tc>
          <w:tcPr>
            <w:tcW w:type="dxa" w:w="3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kontinuierlicher, dokumentierter Gesprächsfluss statt reiner Kontaktzahl</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Problem, Entscheider und Angebotsform schärfen</w:t>
            </w:r>
          </w:p>
        </w:tc>
      </w:tr>
      <w:tr>
        <w:trPr>
          <w:cantSplit/>
        </w:trPr>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Bezahlte Mandate</w:t>
            </w:r>
          </w:p>
        </w:tc>
        <w:tc>
          <w:tcPr>
            <w:tcW w:type="dxa" w:w="3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zwei Blueprints, ein fokussierter Launch, reduziertes Office-Setup und erster Betreuungsmonat im Basiscase</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Zahlungsbereitschaft und Delivery belegen</w:t>
            </w:r>
          </w:p>
        </w:tc>
      </w:tr>
      <w:tr>
        <w:trPr>
          <w:cantSplit/>
        </w:trPr>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Umsatz</w:t>
            </w:r>
          </w:p>
        </w:tc>
        <w:tc>
          <w:tcPr>
            <w:tcW w:type="dxa" w:w="3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93.500 EUR im Planjahr 1</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Basiscase bestätigen oder Forecast korrigieren</w:t>
            </w:r>
          </w:p>
        </w:tc>
      </w:tr>
      <w:tr>
        <w:trPr>
          <w:cantSplit/>
        </w:trPr>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Referenzfähigkeit</w:t>
            </w:r>
          </w:p>
        </w:tc>
        <w:tc>
          <w:tcPr>
            <w:tcW w:type="dxa" w:w="3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mindestens ein abgenommenes Projekt mit messbarem Ergebnis</w:t>
            </w:r>
          </w:p>
        </w:tc>
        <w:tc>
          <w:tcPr>
            <w:tcW w:type="dxa" w:w="29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Vertrauen und Folgeakquise stärken</w:t>
            </w:r>
          </w:p>
        </w:tc>
      </w:tr>
      <w:tr>
        <w:trPr>
          <w:cantSplit/>
        </w:trPr>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Liquidität</w:t>
            </w:r>
          </w:p>
        </w:tc>
        <w:tc>
          <w:tcPr>
            <w:tcW w:type="dxa" w:w="3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mindestens 10.000 EUR Management-Mindestliquidität</w:t>
            </w:r>
          </w:p>
        </w:tc>
        <w:tc>
          <w:tcPr>
            <w:tcW w:type="dxa" w:w="29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keine neue Fixkostenbindung unter Schwelle</w:t>
            </w:r>
          </w:p>
        </w:tc>
      </w:tr>
    </w:tbl>
    <w:p>
      <w:pPr>
        <w:pStyle w:val="Heading3"/>
        <w:keepNext/>
        <w:spacing w:after="30" w:before="70" w:line="240" w:lineRule="auto"/>
      </w:pPr>
      <w:r>
        <w:rPr>
          <w:rFonts w:ascii="Arial" w:hAnsi="Arial" w:eastAsia="Arial" w:cs="Arial"/>
          <w:b/>
          <w:color w:val="102A43"/>
          <w:sz w:val="20"/>
        </w:rPr>
        <w:t>Phase 3: Wiederholung und erste Teamkapazität</w:t>
      </w:r>
    </w:p>
    <w:p>
      <w:pPr>
        <w:pStyle w:val="BodyText"/>
        <w:spacing w:after="44" w:before="0" w:line="245" w:lineRule="auto"/>
        <w:jc w:val="left"/>
      </w:pPr>
      <w:r>
        <w:rPr>
          <w:rFonts w:ascii="Arial" w:hAnsi="Arial" w:eastAsia="Arial"/>
          <w:i w:val="0"/>
          <w:color w:val="243447"/>
          <w:sz w:val="19"/>
        </w:rPr>
        <w:t>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5000"/>
        <w:gridCol w:w="2850"/>
      </w:tblGrid>
      <w:tr>
        <w:trPr>
          <w:tblHeader/>
          <w:tblHeader w:val="true"/>
        </w:trPr>
        <w:tc>
          <w:tcPr>
            <w:tcW w:type="dxa" w:w="19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Gate</w:t>
            </w:r>
          </w:p>
        </w:tc>
        <w:tc>
          <w:tcPr>
            <w:tcW w:type="dxa" w:w="5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Mindestnachweis</w:t>
            </w:r>
          </w:p>
        </w:tc>
        <w:tc>
          <w:tcPr>
            <w:tcW w:type="dxa" w:w="2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Entscheidung</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Nachfrage</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unterschriebener Auftragsbestand und belastbare Folgepipeline</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Kapazität planen, nicht auf Hoffnung einstellen</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Delegierbarkeit</w:t>
            </w:r>
          </w:p>
        </w:tc>
        <w:tc>
          <w:tcPr>
            <w:tcW w:type="dxa" w:w="5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wiederkehrende Aufgaben, SOP, Qualitätskriterium und klarer Owner</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Rolle und Einarbeitung definieren</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Finanzierung</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sechs Monate Vollkosten plus mindestens 15.000 EUR Management-Mindestliquidität</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Einstellung oder variable Alternative</w:t>
            </w:r>
          </w:p>
        </w:tc>
      </w:tr>
      <w:tr>
        <w:trPr>
          <w:cantSplit/>
        </w:trPr>
        <w:tc>
          <w:tcPr>
            <w:tcW w:type="dxa" w:w="19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Führung</w:t>
            </w:r>
          </w:p>
        </w:tc>
        <w:tc>
          <w:tcPr>
            <w:tcW w:type="dxa" w:w="5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Zeit für Einarbeitung, Kontrolle und Eskalation im Gründerplan</w:t>
            </w:r>
          </w:p>
        </w:tc>
        <w:tc>
          <w:tcPr>
            <w:tcW w:type="dxa" w:w="2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Starttermin realistisch setzen</w:t>
            </w:r>
          </w:p>
        </w:tc>
      </w:tr>
      <w:tr>
        <w:trPr>
          <w:cantSplit/>
        </w:trPr>
        <w:tc>
          <w:tcPr>
            <w:tcW w:type="dxa" w:w="19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Downside</w:t>
            </w:r>
          </w:p>
        </w:tc>
        <w:tc>
          <w:tcPr>
            <w:tcW w:type="dxa" w:w="5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Personalkosten auch bei verzögertem Folgeauftrag tragbar</w:t>
            </w:r>
          </w:p>
        </w:tc>
        <w:tc>
          <w:tcPr>
            <w:tcW w:type="dxa" w:w="2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Go/No-Go anhand aktualisiertem Szenario</w:t>
            </w:r>
          </w:p>
        </w:tc>
      </w:tr>
    </w:tbl>
    <w:p>
      <w:pPr>
        <w:pStyle w:val="Heading3"/>
        <w:keepNext/>
        <w:spacing w:after="30" w:before="70" w:line="240" w:lineRule="auto"/>
      </w:pPr>
      <w:r>
        <w:rPr>
          <w:rFonts w:ascii="Arial" w:hAnsi="Arial" w:eastAsia="Arial" w:cs="Arial"/>
          <w:b/>
          <w:color w:val="102A43"/>
          <w:sz w:val="20"/>
        </w:rPr>
        <w:t>Phase 4: standardisierte Skalierung</w:t>
      </w:r>
    </w:p>
    <w:p>
      <w:pPr>
        <w:pStyle w:val="BodyText"/>
        <w:spacing w:after="44" w:before="0" w:line="245" w:lineRule="auto"/>
        <w:jc w:val="left"/>
      </w:pPr>
      <w:r>
        <w:rPr>
          <w:rFonts w:ascii="Arial" w:hAnsi="Arial" w:eastAsia="Arial"/>
          <w:i w:val="0"/>
          <w:color w:val="243447"/>
          <w:sz w:val="19"/>
        </w:rPr>
        <w:t>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pPr>
        <w:pStyle w:val="BodyText"/>
        <w:spacing w:after="44" w:before="0" w:line="245" w:lineRule="auto"/>
        <w:jc w:val="left"/>
      </w:pPr>
      <w:r>
        <w:rPr>
          <w:rFonts w:ascii="Arial" w:hAnsi="Arial" w:eastAsia="Arial"/>
          <w:i w:val="0"/>
          <w:color w:val="243447"/>
          <w:sz w:val="19"/>
        </w:rPr>
        <w:t>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pPr>
        <w:pStyle w:val="Heading2"/>
        <w:keepNext/>
        <w:pBdr>
          <w:bottom w:val="single" w:sz="8" w:space="6" w:color="B08D57"/>
        </w:pBdr>
        <w:spacing w:after="50" w:before="100" w:line="240" w:lineRule="auto"/>
      </w:pPr>
      <w:r>
        <w:rPr>
          <w:rFonts w:ascii="Arial" w:hAnsi="Arial" w:eastAsia="Arial" w:cs="Arial"/>
          <w:b/>
          <w:color w:val="1E3A5F"/>
          <w:sz w:val="24"/>
        </w:rPr>
        <w:t>Steuerungs-Cockpit und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00"/>
        <w:gridCol w:w="3000"/>
        <w:gridCol w:w="2550"/>
        <w:gridCol w:w="2600"/>
      </w:tblGrid>
      <w:tr>
        <w:trPr>
          <w:tblHeader/>
          <w:tblHeader w:val="true"/>
        </w:trPr>
        <w:tc>
          <w:tcPr>
            <w:tcW w:type="dxa" w:w="1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Dimension</w:t>
            </w:r>
          </w:p>
        </w:tc>
        <w:tc>
          <w:tcPr>
            <w:tcW w:type="dxa" w:w="30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Frühindikator</w:t>
            </w:r>
          </w:p>
        </w:tc>
        <w:tc>
          <w:tcPr>
            <w:tcW w:type="dxa" w:w="25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Ziel / Grenze</w:t>
            </w:r>
          </w:p>
        </w:tc>
        <w:tc>
          <w:tcPr>
            <w:tcW w:type="dxa" w:w="26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Reaktion</w:t>
            </w:r>
          </w:p>
        </w:tc>
      </w:tr>
      <w:tr>
        <w:trPr>
          <w:cantSplit/>
        </w:trPr>
        <w:tc>
          <w:tcPr>
            <w:tcW w:type="dxa" w:w="1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Vertrieb</w:t>
            </w:r>
          </w:p>
        </w:tc>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qualifizierte Pipeline, Angebote, Abschlussweg</w:t>
            </w:r>
          </w:p>
        </w:tc>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ausreichende Abdeckung des rollierenden Umsatzplans</w:t>
            </w:r>
          </w:p>
        </w:tc>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Segment, Botschaft oder Angebot nachschärfen</w:t>
            </w:r>
          </w:p>
        </w:tc>
      </w:tr>
      <w:tr>
        <w:trPr>
          <w:cantSplit/>
        </w:trPr>
        <w:tc>
          <w:tcPr>
            <w:tcW w:type="dxa" w:w="1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Delivery</w:t>
            </w:r>
          </w:p>
        </w:tc>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Stunden, Termin, offene Freigaben, Abnahme</w:t>
            </w:r>
          </w:p>
        </w:tc>
        <w:tc>
          <w:tcPr>
            <w:tcW w:type="dxa" w:w="2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max. 70 % fest verplante Gründerkapazität</w:t>
            </w:r>
          </w:p>
        </w:tc>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Scope ändern, delegieren oder verschieben</w:t>
            </w:r>
          </w:p>
        </w:tc>
      </w:tr>
      <w:tr>
        <w:trPr>
          <w:cantSplit/>
        </w:trPr>
        <w:tc>
          <w:tcPr>
            <w:tcW w:type="dxa" w:w="1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Wirtschaftlichkeit</w:t>
            </w:r>
          </w:p>
        </w:tc>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Cash-Deckungsbeitrag und Nachkalkulation</w:t>
            </w:r>
          </w:p>
        </w:tc>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jedes Mandat trägt Unternehmensbeitrag</w:t>
            </w:r>
          </w:p>
        </w:tc>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Preis, Scope oder Fremdkosten korrigieren</w:t>
            </w:r>
          </w:p>
        </w:tc>
      </w:tr>
      <w:tr>
        <w:trPr>
          <w:cantSplit/>
        </w:trPr>
        <w:tc>
          <w:tcPr>
            <w:tcW w:type="dxa" w:w="1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Liquidität</w:t>
            </w:r>
          </w:p>
        </w:tc>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13-Wochen-Cash und freie Reserve</w:t>
            </w:r>
          </w:p>
        </w:tc>
        <w:tc>
          <w:tcPr>
            <w:tcW w:type="dxa" w:w="2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10.000 / 15.000 / 25.000 EUR je Planjahr</w:t>
            </w:r>
          </w:p>
        </w:tc>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Fixkosten-, Personal- und Investitionsstopp</w:t>
            </w:r>
          </w:p>
        </w:tc>
      </w:tr>
      <w:tr>
        <w:trPr>
          <w:cantSplit/>
        </w:trPr>
        <w:tc>
          <w:tcPr>
            <w:tcW w:type="dxa" w:w="1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Kundenmix</w:t>
            </w:r>
          </w:p>
        </w:tc>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Anteil größter Kunde</w:t>
            </w:r>
          </w:p>
        </w:tc>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möglichst unter 40 % des Jahresumsatzes</w:t>
            </w:r>
          </w:p>
        </w:tc>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zweiten Ankerkunden priorisieren</w:t>
            </w:r>
          </w:p>
        </w:tc>
      </w:tr>
      <w:tr>
        <w:trPr>
          <w:cantSplit/>
        </w:trPr>
        <w:tc>
          <w:tcPr>
            <w:tcW w:type="dxa" w:w="1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Qualität</w:t>
            </w:r>
          </w:p>
        </w:tc>
        <w:tc>
          <w:tcPr>
            <w:tcW w:type="dxa" w:w="30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Beschwerden, Eskalationen, Rework</w:t>
            </w:r>
          </w:p>
        </w:tc>
        <w:tc>
          <w:tcPr>
            <w:tcW w:type="dxa" w:w="25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Ursache und Maßnahme je kritischem Fall</w:t>
            </w:r>
          </w:p>
        </w:tc>
        <w:tc>
          <w:tcPr>
            <w:tcW w:type="dxa" w:w="26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Root-Cause-Review und Standard anpassen</w:t>
            </w:r>
          </w:p>
        </w:tc>
      </w:tr>
      <w:tr>
        <w:trPr>
          <w:cantSplit/>
        </w:trPr>
        <w:tc>
          <w:tcPr>
            <w:tcW w:type="dxa" w:w="1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Wachstum</w:t>
            </w:r>
          </w:p>
        </w:tc>
        <w:tc>
          <w:tcPr>
            <w:tcW w:type="dxa" w:w="30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neue Personal-, IT- oder Objektbindung</w:t>
            </w:r>
          </w:p>
        </w:tc>
        <w:tc>
          <w:tcPr>
            <w:tcW w:type="dxa" w:w="25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separates Investitionspapier mit Downside und Exit</w:t>
            </w:r>
          </w:p>
        </w:tc>
        <w:tc>
          <w:tcPr>
            <w:tcW w:type="dxa" w:w="26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nur dokumentiertes Go/No-Go</w:t>
            </w:r>
          </w:p>
        </w:tc>
      </w:tr>
    </w:tbl>
    <w:p>
      <w:pPr>
        <w:spacing w:before="0" w:after="44" w:line="245" w:lineRule="auto"/>
        <w:shd w:fill="EEF3F7"/>
        <w:pBdr>
          <w:left w:val="single" w:sz="18" w:space="10" w:color="1E3A5F"/>
        </w:pBdr>
        <w:ind w:left="180" w:right="120"/>
        <w:jc w:val="left"/>
      </w:pPr>
      <w:r>
        <w:rPr>
          <w:rFonts w:ascii="Arial" w:hAnsi="Arial" w:eastAsia="Arial"/>
          <w:b/>
          <w:color w:val="1E3A5F"/>
          <w:sz w:val="19"/>
        </w:rPr>
        <w:t xml:space="preserve">DOWNSIDE-AUTOMATIK  </w:t>
      </w:r>
      <w:r>
        <w:rPr>
          <w:rFonts w:ascii="Arial" w:hAnsi="Arial" w:eastAsia="Arial"/>
          <w:color w:val="243447"/>
          <w:sz w:val="19"/>
        </w:rPr>
        <w:t>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pStyle w:val="Heading2"/>
        <w:keepNext/>
        <w:pBdr>
          <w:bottom w:val="single" w:sz="8" w:space="6" w:color="B08D57"/>
        </w:pBdr>
        <w:spacing w:after="50" w:before="100" w:line="240" w:lineRule="auto"/>
      </w:pPr>
      <w:r>
        <w:rPr>
          <w:rFonts w:ascii="Arial" w:hAnsi="Arial" w:eastAsia="Arial" w:cs="Arial"/>
          <w:b/>
          <w:color w:val="1E3A5F"/>
          <w:sz w:val="24"/>
        </w:rPr>
        <w:t>Meilenstein-Governance</w:t>
      </w:r>
    </w:p>
    <w:p>
      <w:pPr>
        <w:pStyle w:val="BodyText"/>
        <w:spacing w:after="44" w:before="0" w:line="245" w:lineRule="auto"/>
        <w:jc w:val="left"/>
      </w:pPr>
      <w:r>
        <w:rPr>
          <w:rFonts w:ascii="Arial" w:hAnsi="Arial" w:eastAsia="Arial"/>
          <w:i w:val="0"/>
          <w:color w:val="243447"/>
          <w:sz w:val="19"/>
        </w:rPr>
        <w:t>Die Roadmap wird monatlich im Management-Review aktualisiert. Dabei werden Ist-Zahlen nicht nachträglich an den Plan angepasst; vielmehr werden Abweichung, Ursache, finanzielle Wirkung und Entscheidung dokumentiert. Quartalsweise wird geprüft, ob Zielkundensegment, Leistungsumfang, Preise, Partnerstruktur und Risikoschwellen weiterhin tragfähig sind. Der Jahreswechsel allein rechtfertigt keine neue Entwicklungsstufe.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blHeader w:val="true"/>
        </w:trPr>
        <w:tc>
          <w:tcPr>
            <w:tcW w:type="dxa" w:w="18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Rhythmus</w:t>
            </w:r>
          </w:p>
        </w:tc>
        <w:tc>
          <w:tcPr>
            <w:tcW w:type="dxa" w:w="485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Entscheidungsgrundlage</w:t>
            </w:r>
          </w:p>
        </w:tc>
        <w:tc>
          <w:tcPr>
            <w:tcW w:type="dxa" w:w="3100"/>
            <w:vAlign w:val="center"/>
            <w:tcMar>
              <w:top w:w="78" w:type="dxa"/>
              <w:start w:w="105" w:type="dxa"/>
              <w:bottom w:w="78"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eastAsia="Arial"/>
                <w:b/>
                <w:color w:val="FFFFFF"/>
                <w:sz w:val="17"/>
              </w:rPr>
              <w:t>Verbindliches Ergebnis</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Wöchentlich</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Pipeline-Aktivitäten, Bank, Forderungen, Stunden und kritische Fälle</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Prioritäten und Eskalationen</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Monatlich</w:t>
            </w:r>
          </w:p>
        </w:tc>
        <w:tc>
          <w:tcPr>
            <w:tcW w:type="dxa" w:w="4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BWA, Cash-Forecast, Auftragsbestand, Kapazität, Marge und Kundenmix</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aktualisierter 12-Monats-Forecast</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Quartalsweise</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Strategie-KPIs, Qualität, Partner, Datenschutz und Szenario</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Continue, Correct, Pause oder Stop je Initiative</w:t>
            </w:r>
          </w:p>
        </w:tc>
      </w:tr>
      <w:tr>
        <w:trPr>
          <w:cantSplit/>
        </w:trPr>
        <w:tc>
          <w:tcPr>
            <w:tcW w:type="dxa" w:w="18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Je Projektgate</w:t>
            </w:r>
          </w:p>
        </w:tc>
        <w:tc>
          <w:tcPr>
            <w:tcW w:type="dxa" w:w="485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Abnahme, Zahlung, Scope, Budget und Kundenzuarbeit</w:t>
            </w:r>
          </w:p>
        </w:tc>
        <w:tc>
          <w:tcPr>
            <w:tcW w:type="dxa" w:w="3100"/>
            <w:shd w:fill="F8FAFC"/>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tcPr>
          <w:p>
            <w:pPr>
              <w:spacing w:after="0" w:line="250" w:lineRule="auto" w:before="0"/>
              <w:jc w:val="left"/>
            </w:pPr>
            <w:r>
              <w:rPr>
                <w:rFonts w:ascii="Arial" w:hAnsi="Arial" w:eastAsia="Arial"/>
                <w:b w:val="0"/>
                <w:color w:val="1F2933"/>
                <w:sz w:val="17"/>
              </w:rPr>
              <w:t>Freigabe der nächsten Leistungsphase</w:t>
            </w:r>
          </w:p>
        </w:tc>
      </w:tr>
      <w:tr>
        <w:trPr>
          <w:cantSplit/>
        </w:trPr>
        <w:tc>
          <w:tcPr>
            <w:tcW w:type="dxa" w:w="18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Vor Personal / IT / Objekt</w:t>
            </w:r>
          </w:p>
        </w:tc>
        <w:tc>
          <w:tcPr>
            <w:tcW w:type="dxa" w:w="485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Business Case, Downside, Finanzierung, Verantwortlichkeit und Exit</w:t>
            </w:r>
          </w:p>
        </w:tc>
        <w:tc>
          <w:tcPr>
            <w:tcW w:type="dxa" w:w="3100"/>
            <w:tcMar>
              <w:top w:w="78" w:type="dxa"/>
              <w:start w:w="105" w:type="dxa"/>
              <w:bottom w:w="78" w:type="dxa"/>
              <w:end w:w="105" w:type="dxa"/>
            </w:tcMar>
            <w:vAlign w:val="center"/>
            <w:tcBorders>
              <w:bottom w:val="single" w:sz="4" w:color="D7DEE2"/>
              <w:start w:val="single" w:sz="3" w:color="E6EAEC"/>
              <w:end w:val="single" w:sz="3" w:color="E6EAEC"/>
              <w:top w:val="single" w:sz="3" w:color="E6EAEC"/>
            </w:tcBorders>
            <w:shd w:fill="F3F6F7" w:val="clear"/>
          </w:tcPr>
          <w:p>
            <w:pPr>
              <w:spacing w:after="0" w:line="250" w:lineRule="auto" w:before="0"/>
              <w:jc w:val="left"/>
            </w:pPr>
            <w:r>
              <w:rPr>
                <w:rFonts w:ascii="Arial" w:hAnsi="Arial" w:eastAsia="Arial"/>
                <w:b w:val="0"/>
                <w:color w:val="1F2933"/>
                <w:sz w:val="17"/>
              </w:rPr>
              <w:t>schriftliches Go/No-Go der Geschäftsführung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Zielbild nach 36 Monaten</w:t>
      </w:r>
    </w:p>
    <w:p>
      <w:pPr>
        <w:pStyle w:val="BodyText"/>
        <w:spacing w:after="44" w:before="0" w:line="245" w:lineRule="auto"/>
        <w:jc w:val="left"/>
      </w:pPr>
      <w:r>
        <w:rPr>
          <w:rFonts w:ascii="Arial" w:hAnsi="Arial" w:eastAsia="Arial"/>
          <w:i w:val="0"/>
          <w:color w:val="243447"/>
          <w:sz w:val="19"/>
        </w:rPr>
        <w:t>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p>
      <w:pPr>
        <w:spacing w:before="0" w:after="44" w:line="245" w:lineRule="auto"/>
        <w:shd w:fill="F7F3EA"/>
        <w:pBdr>
          <w:left w:val="single" w:sz="18" w:space="10" w:color="B08D57"/>
        </w:pBdr>
        <w:ind w:left="180" w:right="120"/>
        <w:jc w:val="left"/>
      </w:pPr>
      <w:r>
        <w:rPr>
          <w:rFonts w:ascii="Arial" w:hAnsi="Arial" w:eastAsia="Arial"/>
          <w:b/>
          <w:color w:val="B08D57"/>
          <w:sz w:val="19"/>
        </w:rPr>
        <w:t xml:space="preserve">ZIELBILD  </w:t>
      </w:r>
      <w:r>
        <w:rPr>
          <w:rFonts w:ascii="Arial" w:hAnsi="Arial" w:eastAsia="Arial"/>
          <w:color w:val="243447"/>
          <w:sz w:val="19"/>
        </w:rPr>
        <w:t>AMAVIO wird zuerst zum verlässlichen Systempartner für Workforce Housing und Arrival Management. Kapitalintensive Expansion ist eine Option aus Stärke – kein Ersatz für ein noch nicht bewiesenes Kerngeschäft.</w:t>
      </w:r>
    </w:p>
    <w:p>
      <w:pPr>
        <w:pStyle w:val="Heading2"/>
        <w:spacing w:after="50" w:before="100" w:line="240" w:lineRule="auto"/>
      </w:pPr>
      <w:r>
        <w:rPr>
          <w:sz w:val="24"/>
        </w:rPr>
        <w:t>Schlussfolgerung und Dokumentenarchitektur</w:t>
      </w:r>
    </w:p>
    <w:p>
      <w:pPr>
        <w:pStyle w:val="BodyText"/>
        <w:spacing w:after="44" w:before="0" w:line="245" w:lineRule="auto"/>
        <w:jc w:val="left"/>
      </w:pPr>
      <w:r>
        <w:rPr>
          <w:sz w:val="19"/>
        </w:rPr>
        <w:t>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pPr>
        <w:spacing w:after="40" w:before="0" w:line="240" w:lineRule="auto"/>
        <w:jc w:val="left"/>
      </w:pPr>
      <w:r>
        <w:rPr>
          <w:b/>
          <w:sz w:val="18"/>
        </w:rPr>
        <w:t>DOKUMENTENARCHITEKTUR  Diese Kernfassung enthält die entscheidungsrelevanten Geschäfts-, Markt-, Betriebs- und Finanzlogiken sowie das Quellenregister Q1-Q46. Detailanlagen, Einreichungsregister, Nachweise, Gründer-CV, private Bedarfsrechnung und das 36-Monats-Finanzmodell werden als separate Anlagen beziehungsweise Detailband geführt.</w:t>
      </w:r>
      <w:r>
        <w:rPr>
          <w:sz w:val="18"/>
        </w:rPr>
      </w:r>
    </w:p>
    <w:p>
      <w:pPr>
        <w:jc w:val="left"/>
      </w:pPr>
      <w:r>
        <w:br w:type="page"/>
      </w:r>
    </w:p>
    <w:p>
      <w:pPr>
        <w:pStyle w:val="Heading1"/>
      </w:pPr>
      <w:r>
        <w:rPr>
          <w:rFonts w:ascii="Arial" w:hAnsi="Arial"/>
          <w:b/>
          <w:color w:val="102A43"/>
          <w:sz w:val="32"/>
        </w:rPr>
        <w:t>Anhang A · Quellenregister Q1-Q46</w:t>
      </w:r>
    </w:p>
    <w:p>
      <w:pPr>
        <w:spacing w:after="120"/>
        <w:jc w:val="left"/>
      </w:pPr>
      <w:r>
        <w:rPr>
          <w:rFonts w:ascii="Arial" w:hAnsi="Arial"/>
          <w:color w:val="475569"/>
          <w:sz w:val="16"/>
        </w:rPr>
        <w:t>Die Kürzel entsprechen den Verweisen im Haupttext. Abruf und Plausibilitätsprüfung: 28. Juli 2026. Rechts- und Förderquellen ersetzen keine Einzelfallprüfung durch Behörde, Rechts- oder Steuerberatung.</w:t>
      </w:r>
    </w:p>
    <w:tbl>
      <w:tblPr>
        <w:tblW w:type="auto" w:w="0"/>
        <w:tblLayout w:type="fixed"/>
        <w:tblLook w:firstColumn="1" w:firstRow="1" w:lastColumn="0" w:lastRow="0" w:noHBand="0" w:noVBand="1" w:val="04A0"/>
        <w:tblBorders>
          <w:top w:val="single" w:sz="3" w:space="0" w:color="D4DCE4"/>
          <w:left w:val="single" w:sz="3" w:space="0" w:color="D4DCE4"/>
          <w:bottom w:val="single" w:sz="3" w:space="0" w:color="D4DCE4"/>
          <w:right w:val="single" w:sz="3" w:space="0" w:color="D4DCE4"/>
          <w:insideH w:val="single" w:sz="3" w:space="0" w:color="D4DCE4"/>
          <w:insideV w:val="single" w:sz="3" w:space="0" w:color="D4DCE4"/>
        </w:tblBorders>
      </w:tblPr>
      <w:tblGrid>
        <w:gridCol w:w="5103"/>
        <w:gridCol w:w="5103"/>
      </w:tblGrid>
      <w:tr>
        <w:trPr>
          <w:cantSplit/>
          <w:tblHeader w:val="true"/>
          <w:tblHeader w:val="true"/>
        </w:trPr>
        <w:tc>
          <w:tcPr>
            <w:tcW w:type="dxa" w:w="5103"/>
            <w:vAlign w:val="center"/>
            <w:tcMar>
              <w:top w:w="42" w:type="dxa"/>
              <w:start w:w="105" w:type="dxa"/>
              <w:bottom w:w="42"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color w:val="FFFFFF"/>
                <w:sz w:val="14"/>
              </w:rPr>
              <w:t>Q1-Q23</w:t>
            </w:r>
          </w:p>
        </w:tc>
        <w:tc>
          <w:tcPr>
            <w:tcW w:type="dxa" w:w="5103"/>
            <w:vAlign w:val="center"/>
            <w:tcMar>
              <w:top w:w="42" w:type="dxa"/>
              <w:start w:w="105" w:type="dxa"/>
              <w:bottom w:w="42" w:type="dxa"/>
              <w:end w:w="105" w:type="dxa"/>
            </w:tcMar>
            <w:shd w:fill="102D3F" w:val="clear"/>
            <w:tcBorders>
              <w:bottom w:val="single" w:sz="4" w:color="D7DEE2"/>
              <w:start w:val="single" w:sz="3" w:color="E6EAEC"/>
              <w:end w:val="single" w:sz="3" w:color="E6EAEC"/>
              <w:top w:val="single" w:sz="3" w:color="E6EAEC"/>
            </w:tcBorders>
          </w:tcPr>
          <w:p>
            <w:pPr>
              <w:spacing w:after="0" w:before="0" w:line="250" w:lineRule="auto"/>
              <w:jc w:val="left"/>
            </w:pPr>
            <w:r>
              <w:rPr>
                <w:rFonts w:ascii="Arial" w:hAnsi="Arial"/>
                <w:b/>
                <w:color w:val="FFFFFF"/>
                <w:sz w:val="14"/>
              </w:rPr>
              <w:t>Q24-Q46</w:t>
            </w:r>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Q1  </w:t>
            </w:r>
            <w:r>
              <w:rPr>
                <w:rFonts w:ascii="Arial" w:hAnsi="Arial"/>
                <w:b w:val="0"/>
                <w:color w:val="1F2933"/>
                <w:sz w:val="14"/>
              </w:rPr>
              <w:t>BBSR: Wohnungsbedarfsprognose 2023-2030, zentrale Ergebnisse (2025)</w:t>
            </w:r>
          </w:p>
          <w:p>
            <w:pPr>
              <w:spacing w:before="0" w:after="0" w:line="250" w:lineRule="auto"/>
              <w:jc w:val="left"/>
            </w:pPr>
            <w:hyperlink r:id="rId11">
              <w:r>
                <w:rPr>
                  <w:rFonts w:ascii="Arial" w:hAnsi="Arial"/>
                  <w:color w:val="1F4E79"/>
                  <w:u w:val="single"/>
                  <w:sz w:val="11"/>
                </w:rPr>
                <w:t>https://www.bbsr.bund.de/BBSR/DE/veroeffentlichungen/analysen-kompakt/2025/ak-05-2025.html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Q24  </w:t>
            </w:r>
            <w:r>
              <w:rPr>
                <w:rFonts w:ascii="Arial" w:hAnsi="Arial"/>
                <w:b w:val="0"/>
                <w:color w:val="1F2933"/>
                <w:sz w:val="14"/>
              </w:rPr>
              <w:t>IT.NRW: Kosten der 316 NRW-Krankenhäuser im Jahr 2024</w:t>
            </w:r>
          </w:p>
          <w:p>
            <w:pPr>
              <w:spacing w:before="0" w:after="0" w:line="250" w:lineRule="auto"/>
              <w:jc w:val="left"/>
            </w:pPr>
            <w:hyperlink r:id="rId12">
              <w:r>
                <w:rPr>
                  <w:rFonts w:ascii="Arial" w:hAnsi="Arial"/>
                  <w:color w:val="1F4E79"/>
                  <w:u w:val="single"/>
                  <w:sz w:val="11"/>
                </w:rPr>
                <w:t>https://www.it.nrw/thema/krankenhaeuser-vorsorge-und-rehabilitationseinrichtungen?page=1</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Q2  </w:t>
            </w:r>
            <w:r>
              <w:rPr>
                <w:rFonts w:ascii="Arial" w:hAnsi="Arial"/>
                <w:b w:val="0"/>
                <w:color w:val="1F2933"/>
                <w:sz w:val="14"/>
              </w:rPr>
              <w:t>Statistisches Bundesamt: Pflegekräftevorausberechnung bis 2049 (24.01.2024)</w:t>
            </w:r>
          </w:p>
          <w:p>
            <w:pPr>
              <w:spacing w:before="0" w:after="0" w:line="250" w:lineRule="auto"/>
              <w:jc w:val="left"/>
            </w:pPr>
            <w:hyperlink r:id="rId13">
              <w:r>
                <w:rPr>
                  <w:rFonts w:ascii="Arial" w:hAnsi="Arial"/>
                  <w:color w:val="1F4E79"/>
                  <w:u w:val="single"/>
                  <w:sz w:val="11"/>
                </w:rPr>
                <w:t>https://www.destatis.de/DE/Presse/Pressemitteilungen/2024/01/PD24_033_23_12.html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Q25  </w:t>
            </w:r>
            <w:r>
              <w:rPr>
                <w:rFonts w:ascii="Arial" w:hAnsi="Arial"/>
                <w:b w:val="0"/>
                <w:color w:val="1F2933"/>
                <w:sz w:val="14"/>
              </w:rPr>
              <w:t>IT.NRW: NRW-Krankenhäuser - mehr Patienten und mehr Personal im Jahr 2024</w:t>
            </w:r>
          </w:p>
          <w:p>
            <w:pPr>
              <w:spacing w:before="0" w:after="0" w:line="250" w:lineRule="auto"/>
              <w:jc w:val="left"/>
            </w:pPr>
            <w:hyperlink r:id="rId14">
              <w:r>
                <w:rPr>
                  <w:rFonts w:ascii="Arial" w:hAnsi="Arial"/>
                  <w:color w:val="1F4E79"/>
                  <w:u w:val="single"/>
                  <w:sz w:val="11"/>
                </w:rPr>
                <w:t>https://www.it.nrw/nrw-krankenhaeuser-mehr-patienten-und-mehr-personal-im-jahr-2024-127743</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Q3  </w:t>
            </w:r>
            <w:r>
              <w:rPr>
                <w:rFonts w:ascii="Arial" w:hAnsi="Arial"/>
                <w:b w:val="0"/>
                <w:color w:val="1F2933"/>
                <w:sz w:val="14"/>
              </w:rPr>
              <w:t>Make it in Germany: Im Alltag unterstützen - Wohnung, Behörden, Sozialversicherung, Kinderbetreuung</w:t>
            </w:r>
          </w:p>
          <w:p>
            <w:pPr>
              <w:spacing w:before="0" w:after="0" w:line="250" w:lineRule="auto"/>
              <w:jc w:val="left"/>
            </w:pPr>
            <w:hyperlink r:id="rId15">
              <w:r>
                <w:rPr>
                  <w:rFonts w:ascii="Arial" w:hAnsi="Arial"/>
                  <w:color w:val="1F4E79"/>
                  <w:u w:val="single"/>
                  <w:sz w:val="11"/>
                </w:rPr>
                <w:t>https://www.make-it-in-germany.com/de/unternehmen/integrieren/unterstuetzen</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Q26  </w:t>
            </w:r>
            <w:r>
              <w:rPr>
                <w:rFonts w:ascii="Arial" w:hAnsi="Arial"/>
                <w:b w:val="0"/>
                <w:color w:val="1F2933"/>
                <w:sz w:val="14"/>
              </w:rPr>
              <w:t>NRW.BANK: Wohnungsmarktbericht Nordrhein-Westfalen 2025</w:t>
            </w:r>
          </w:p>
          <w:p>
            <w:pPr>
              <w:spacing w:before="0" w:after="0" w:line="250" w:lineRule="auto"/>
              <w:jc w:val="left"/>
            </w:pPr>
            <w:hyperlink r:id="rId16">
              <w:r>
                <w:rPr>
                  <w:rFonts w:ascii="Arial" w:hAnsi="Arial"/>
                  <w:color w:val="1F4E79"/>
                  <w:u w:val="single"/>
                  <w:sz w:val="11"/>
                </w:rPr>
                <w:t>https://www.nrwbank.de/.galleries/downloads/wohnraumfoerderung/wohnungsmarktbeobachtung/Wohnungsmarktbericht_2025_barrierefrei.pdf</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Q4  </w:t>
            </w:r>
            <w:r>
              <w:rPr>
                <w:rFonts w:ascii="Arial" w:hAnsi="Arial"/>
                <w:b w:val="0"/>
                <w:color w:val="1F2933"/>
                <w:sz w:val="14"/>
              </w:rPr>
              <w:t>Bundesministerium für Gesundheit: Krankenhausreform, Pflegebudget, Vorhaltefinanzierung und Transformationsfonds</w:t>
            </w:r>
          </w:p>
          <w:p>
            <w:pPr>
              <w:spacing w:before="0" w:after="0" w:line="250" w:lineRule="auto"/>
              <w:jc w:val="left"/>
            </w:pPr>
            <w:hyperlink r:id="rId17">
              <w:r>
                <w:rPr>
                  <w:rFonts w:ascii="Arial" w:hAnsi="Arial"/>
                  <w:color w:val="1F4E79"/>
                  <w:u w:val="single"/>
                  <w:sz w:val="11"/>
                </w:rPr>
                <w:t>https://www.bundesgesundheitsministerium.de/themen/krankenhaus/krankenhausreform</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Q27  </w:t>
            </w:r>
            <w:r>
              <w:rPr>
                <w:rFonts w:ascii="Arial" w:hAnsi="Arial"/>
                <w:b w:val="0"/>
                <w:color w:val="1F2933"/>
                <w:sz w:val="14"/>
              </w:rPr>
              <w:t>Statistisches Bundesamt: 1.841 Krankenhäuser im Jahr 2024</w:t>
            </w:r>
          </w:p>
          <w:p>
            <w:pPr>
              <w:spacing w:before="0" w:after="0" w:line="250" w:lineRule="auto"/>
              <w:jc w:val="left"/>
            </w:pPr>
            <w:hyperlink r:id="rId18">
              <w:r>
                <w:rPr>
                  <w:rFonts w:ascii="Arial" w:hAnsi="Arial"/>
                  <w:color w:val="1F4E79"/>
                  <w:u w:val="single"/>
                  <w:sz w:val="11"/>
                </w:rPr>
                <w:t>https://www.destatis.de/DE/Presse/Pressemitteilungen/2025/11/PD25_398_231.html</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Q5  </w:t>
            </w:r>
            <w:r>
              <w:rPr>
                <w:rFonts w:ascii="Arial" w:hAnsi="Arial"/>
                <w:b w:val="0"/>
                <w:color w:val="1F2933"/>
                <w:sz w:val="14"/>
              </w:rPr>
              <w:t>Bundesagentur für Arbeit: Fachkräfteengpassanalyse und Indikatorenset 2025</w:t>
            </w:r>
          </w:p>
          <w:p>
            <w:pPr>
              <w:spacing w:before="0" w:after="0" w:line="250" w:lineRule="auto"/>
              <w:jc w:val="left"/>
            </w:pPr>
            <w:hyperlink r:id="rId19">
              <w:r>
                <w:rPr>
                  <w:rFonts w:ascii="Arial" w:hAnsi="Arial"/>
                  <w:color w:val="1F4E79"/>
                  <w:u w:val="single"/>
                  <w:sz w:val="11"/>
                </w:rPr>
                <w:t>https://statistik.arbeitsagentur.de/DE/Navigation/Statistiken/Interaktive-Statistiken/Fachkraeftebedarf/Engpassanalyse-Nav.html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Q28  </w:t>
            </w:r>
            <w:r>
              <w:rPr>
                <w:rFonts w:ascii="Arial" w:hAnsi="Arial"/>
                <w:b w:val="0"/>
                <w:color w:val="1F2933"/>
                <w:sz w:val="14"/>
              </w:rPr>
              <w:t>IT.NRW: Pflegestatistik 2023 - ambulante Dienste und Pflegeheime</w:t>
            </w:r>
          </w:p>
          <w:p>
            <w:pPr>
              <w:spacing w:before="0" w:after="0" w:line="250" w:lineRule="auto"/>
              <w:jc w:val="left"/>
            </w:pPr>
            <w:hyperlink r:id="rId20">
              <w:r>
                <w:rPr>
                  <w:rFonts w:ascii="Arial" w:hAnsi="Arial"/>
                  <w:color w:val="1F4E79"/>
                  <w:u w:val="single"/>
                  <w:sz w:val="11"/>
                </w:rPr>
                <w:t>https://www.it.nrw/copyright/pflegedienst</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Q6  </w:t>
            </w:r>
            <w:r>
              <w:rPr>
                <w:rFonts w:ascii="Arial" w:hAnsi="Arial"/>
                <w:b w:val="0"/>
                <w:color w:val="1F2933"/>
                <w:sz w:val="14"/>
              </w:rPr>
              <w:t>IHK Region Stuttgart: Leitfaden für zeitgemäßes Mitarbeiter-Wohnen</w:t>
            </w:r>
          </w:p>
          <w:p>
            <w:pPr>
              <w:spacing w:before="0" w:after="0" w:line="250" w:lineRule="auto"/>
              <w:jc w:val="left"/>
            </w:pPr>
            <w:hyperlink r:id="rId21">
              <w:r>
                <w:rPr>
                  <w:rFonts w:ascii="Arial" w:hAnsi="Arial"/>
                  <w:color w:val="1F4E79"/>
                  <w:u w:val="single"/>
                  <w:sz w:val="11"/>
                </w:rPr>
                <w:t>https://www.ihk.de/stuttgart/branchen/dienstleistung/aktuelles/leitfaden-mitarbeiter-wohnen-6075856</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Q29  </w:t>
            </w:r>
            <w:r>
              <w:rPr>
                <w:rFonts w:ascii="Arial" w:hAnsi="Arial"/>
                <w:b w:val="0"/>
                <w:color w:val="1F2933"/>
                <w:sz w:val="14"/>
              </w:rPr>
              <w:t>Anders Consulting: Full-Service Relocation für Arbeitgeber und internationale Fachkräfte</w:t>
            </w:r>
          </w:p>
          <w:p>
            <w:pPr>
              <w:spacing w:before="0" w:after="0" w:line="250" w:lineRule="auto"/>
              <w:jc w:val="left"/>
            </w:pPr>
            <w:hyperlink r:id="rId22">
              <w:r>
                <w:rPr>
                  <w:rFonts w:ascii="Arial" w:hAnsi="Arial"/>
                  <w:color w:val="1F4E79"/>
                  <w:u w:val="single"/>
                  <w:sz w:val="11"/>
                </w:rPr>
                <w:t>https://www.anders-relocation.de/</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Q7  </w:t>
            </w:r>
            <w:r>
              <w:rPr>
                <w:rFonts w:ascii="Arial" w:hAnsi="Arial"/>
                <w:b w:val="0"/>
                <w:color w:val="1F2933"/>
                <w:sz w:val="14"/>
              </w:rPr>
              <w:t>§ 34c Gewerbeordnung</w:t>
            </w:r>
          </w:p>
          <w:p>
            <w:pPr>
              <w:spacing w:before="0" w:after="0" w:line="250" w:lineRule="auto"/>
              <w:jc w:val="left"/>
            </w:pPr>
            <w:hyperlink r:id="rId23">
              <w:r>
                <w:rPr>
                  <w:rFonts w:ascii="Arial" w:hAnsi="Arial"/>
                  <w:color w:val="1F4E79"/>
                  <w:u w:val="single"/>
                  <w:sz w:val="11"/>
                </w:rPr>
                <w:t>https://www.gesetze-im-internet.de/gewo/__34c.html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Q30  </w:t>
            </w:r>
            <w:r>
              <w:rPr>
                <w:rFonts w:ascii="Arial" w:hAnsi="Arial"/>
                <w:b w:val="0"/>
                <w:color w:val="1F2933"/>
                <w:sz w:val="14"/>
              </w:rPr>
              <w:t>Urbanbnb: Möbliertes Wohnen auf Zeit für Klinikpersonal</w:t>
            </w:r>
          </w:p>
          <w:p>
            <w:pPr>
              <w:spacing w:before="0" w:after="0" w:line="250" w:lineRule="auto"/>
              <w:jc w:val="left"/>
            </w:pPr>
            <w:hyperlink r:id="rId24">
              <w:r>
                <w:rPr>
                  <w:rFonts w:ascii="Arial" w:hAnsi="Arial"/>
                  <w:color w:val="1F4E79"/>
                  <w:u w:val="single"/>
                  <w:sz w:val="11"/>
                </w:rPr>
                <w:t>https://www.urbanbnb.de/de/page/wohnen-auf-zeit-aerzte-pflegekraefte</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Q8  </w:t>
            </w:r>
            <w:r>
              <w:rPr>
                <w:rFonts w:ascii="Arial" w:hAnsi="Arial"/>
                <w:b w:val="0"/>
                <w:color w:val="1F2933"/>
                <w:sz w:val="14"/>
              </w:rPr>
              <w:t>§ 5 Rechtsdienstleistungsgesetz</w:t>
            </w:r>
          </w:p>
          <w:p>
            <w:pPr>
              <w:spacing w:before="0" w:after="0" w:line="250" w:lineRule="auto"/>
              <w:jc w:val="left"/>
            </w:pPr>
            <w:hyperlink r:id="rId25">
              <w:r>
                <w:rPr>
                  <w:rFonts w:ascii="Arial" w:hAnsi="Arial"/>
                  <w:color w:val="1F4E79"/>
                  <w:u w:val="single"/>
                  <w:sz w:val="11"/>
                </w:rPr>
                <w:t>https://www.gesetze-im-internet.de/rdg/__5.html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Q31  </w:t>
            </w:r>
            <w:r>
              <w:rPr>
                <w:rFonts w:ascii="Arial" w:hAnsi="Arial"/>
                <w:b w:val="0"/>
                <w:color w:val="1F2933"/>
                <w:sz w:val="14"/>
              </w:rPr>
              <w:t>RegioKontext: Beratung zu Mitarbeiterwohnen</w:t>
            </w:r>
          </w:p>
          <w:p>
            <w:pPr>
              <w:spacing w:before="0" w:after="0" w:line="250" w:lineRule="auto"/>
              <w:jc w:val="left"/>
            </w:pPr>
            <w:hyperlink r:id="rId26">
              <w:r>
                <w:rPr>
                  <w:rFonts w:ascii="Arial" w:hAnsi="Arial"/>
                  <w:color w:val="1F4E79"/>
                  <w:u w:val="single"/>
                  <w:sz w:val="11"/>
                </w:rPr>
                <w:t>https://www.mitarbeiterwohnen.de/</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Q9  </w:t>
            </w:r>
            <w:r>
              <w:rPr>
                <w:rFonts w:ascii="Arial" w:hAnsi="Arial"/>
                <w:b w:val="0"/>
                <w:color w:val="1F2933"/>
                <w:sz w:val="14"/>
              </w:rPr>
              <w:t>Datenschutz-Grundverordnung: Grundsätze, Rollen und besondere Datenkategorien</w:t>
            </w:r>
          </w:p>
          <w:p>
            <w:pPr>
              <w:spacing w:before="0" w:after="0" w:line="250" w:lineRule="auto"/>
              <w:jc w:val="left"/>
            </w:pPr>
            <w:hyperlink r:id="rId27">
              <w:r>
                <w:rPr>
                  <w:rFonts w:ascii="Arial" w:hAnsi="Arial"/>
                  <w:color w:val="1F4E79"/>
                  <w:u w:val="single"/>
                  <w:sz w:val="11"/>
                </w:rPr>
                <w:t>https://eur-lex.europa.eu/eli/reg/2016/679/oj/deu</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Q32  </w:t>
            </w:r>
            <w:r>
              <w:rPr>
                <w:rFonts w:ascii="Arial" w:hAnsi="Arial"/>
                <w:b w:val="0"/>
                <w:color w:val="1F2933"/>
                <w:sz w:val="14"/>
              </w:rPr>
              <w:t>MAGS NRW: Fachkräfteagentur International</w:t>
            </w:r>
          </w:p>
          <w:p>
            <w:pPr>
              <w:spacing w:before="0" w:after="0" w:line="250" w:lineRule="auto"/>
              <w:jc w:val="left"/>
            </w:pPr>
            <w:hyperlink r:id="rId28">
              <w:r>
                <w:rPr>
                  <w:rFonts w:ascii="Arial" w:hAnsi="Arial"/>
                  <w:color w:val="1F4E79"/>
                  <w:u w:val="single"/>
                  <w:sz w:val="11"/>
                </w:rPr>
                <w:t>https://www.mags.nrw/Fachkraefteagentur_International</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Q10  </w:t>
            </w:r>
            <w:r>
              <w:rPr>
                <w:rFonts w:ascii="Arial" w:hAnsi="Arial"/>
                <w:b w:val="0"/>
                <w:color w:val="1F2933"/>
                <w:sz w:val="14"/>
              </w:rPr>
              <w:t>Familienportal des Bundes: Arbeitgeberunterstützung bei der Kinderbetreuung</w:t>
            </w:r>
          </w:p>
          <w:p>
            <w:pPr>
              <w:spacing w:before="0" w:after="0" w:line="250" w:lineRule="auto"/>
              <w:jc w:val="left"/>
            </w:pPr>
            <w:hyperlink r:id="rId29">
              <w:r>
                <w:rPr>
                  <w:rFonts w:ascii="Arial" w:hAnsi="Arial"/>
                  <w:color w:val="1F4E79"/>
                  <w:u w:val="single"/>
                  <w:sz w:val="11"/>
                </w:rPr>
                <w:t>https://familienportal.de/familienportal/lebenslagen/ausbildung-beruf/kinderbetreuung/wie-koennen-arbeitgeber-bei-der-kinderbetreuung-unterstuetzen--125548</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Q33  </w:t>
            </w:r>
            <w:r>
              <w:rPr>
                <w:rFonts w:ascii="Arial" w:hAnsi="Arial"/>
                <w:b w:val="0"/>
                <w:color w:val="1F2933"/>
                <w:sz w:val="14"/>
              </w:rPr>
              <w:t>Make it in Germany: Ankommen und die ersten 100 Tage</w:t>
            </w:r>
          </w:p>
          <w:p>
            <w:pPr>
              <w:spacing w:before="0" w:after="0" w:line="250" w:lineRule="auto"/>
              <w:jc w:val="left"/>
            </w:pPr>
            <w:hyperlink r:id="rId30">
              <w:r>
                <w:rPr>
                  <w:rFonts w:ascii="Arial" w:hAnsi="Arial"/>
                  <w:color w:val="1F4E79"/>
                  <w:u w:val="single"/>
                  <w:sz w:val="11"/>
                </w:rPr>
                <w:t>https://www.make-it-in-germany.com/de/unternehmen/integrieren/neue-mitarbeiter/vorbereitungen</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Q11  </w:t>
            </w:r>
            <w:r>
              <w:rPr>
                <w:rFonts w:ascii="Arial" w:hAnsi="Arial"/>
                <w:b w:val="0"/>
                <w:color w:val="1F2933"/>
                <w:sz w:val="14"/>
              </w:rPr>
              <w:t>Bundesagentur für Arbeit: Gründungszuschuss beantragen</w:t>
            </w:r>
          </w:p>
          <w:p>
            <w:pPr>
              <w:spacing w:before="0" w:after="0" w:line="250" w:lineRule="auto"/>
              <w:jc w:val="left"/>
            </w:pPr>
            <w:hyperlink r:id="rId31">
              <w:r>
                <w:rPr>
                  <w:rFonts w:ascii="Arial" w:hAnsi="Arial"/>
                  <w:color w:val="1F4E79"/>
                  <w:u w:val="single"/>
                  <w:sz w:val="11"/>
                </w:rPr>
                <w:t>https://www.arbeitsagentur.de/arbeitslos-arbeit-finden/arbeitslosengeld/gruendungszuschuss-beantragen</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Q34  </w:t>
            </w:r>
            <w:r>
              <w:rPr>
                <w:rFonts w:ascii="Arial" w:hAnsi="Arial"/>
                <w:b w:val="0"/>
                <w:color w:val="1F2933"/>
                <w:sz w:val="14"/>
              </w:rPr>
              <w:t>Datenschutzkonferenz: Standard-Datenschutzmodell, Version 3.1 (2024)</w:t>
            </w:r>
          </w:p>
          <w:p>
            <w:pPr>
              <w:spacing w:before="0" w:after="0" w:line="250" w:lineRule="auto"/>
              <w:jc w:val="left"/>
            </w:pPr>
            <w:hyperlink r:id="rId32">
              <w:r>
                <w:rPr>
                  <w:rFonts w:ascii="Arial" w:hAnsi="Arial"/>
                  <w:color w:val="1F4E79"/>
                  <w:u w:val="single"/>
                  <w:sz w:val="11"/>
                </w:rPr>
                <w:t>https://www.datenschutzkonferenz-online.de/media/ah/SDM-Methode-V31.pdf</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Q12  </w:t>
            </w:r>
            <w:r>
              <w:rPr>
                <w:rFonts w:ascii="Arial" w:hAnsi="Arial"/>
                <w:b w:val="0"/>
                <w:color w:val="1F2933"/>
                <w:sz w:val="14"/>
              </w:rPr>
              <w:t>Bundesagentur für Arbeit: GZ 04 - Stellungnahme der fachkundigen Stelle, Stand 01/2025</w:t>
            </w:r>
          </w:p>
          <w:p>
            <w:pPr>
              <w:spacing w:before="0" w:after="0" w:line="250" w:lineRule="auto"/>
              <w:jc w:val="left"/>
            </w:pPr>
            <w:hyperlink r:id="rId33">
              <w:r>
                <w:rPr>
                  <w:rFonts w:ascii="Arial" w:hAnsi="Arial"/>
                  <w:color w:val="1F4E79"/>
                  <w:u w:val="single"/>
                  <w:sz w:val="11"/>
                </w:rPr>
                <w:t>https://www.arbeitsagentur.de/datei/gruendungszuschuss-gz-stellungnahme-fachkundige-stelle_ba053733.pdf</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Q35  </w:t>
            </w:r>
            <w:r>
              <w:rPr>
                <w:rFonts w:ascii="Arial" w:hAnsi="Arial"/>
                <w:b w:val="0"/>
                <w:color w:val="1F2933"/>
                <w:sz w:val="14"/>
              </w:rPr>
              <w:t>Deutsche Krankenhausgesellschaft: Fachkräfte im Fokus - Positionspapier (2025)</w:t>
            </w:r>
          </w:p>
          <w:p>
            <w:pPr>
              <w:spacing w:before="0" w:after="0" w:line="250" w:lineRule="auto"/>
              <w:jc w:val="left"/>
            </w:pPr>
            <w:hyperlink r:id="rId34">
              <w:r>
                <w:rPr>
                  <w:rFonts w:ascii="Arial" w:hAnsi="Arial"/>
                  <w:color w:val="1F4E79"/>
                  <w:u w:val="single"/>
                  <w:sz w:val="11"/>
                </w:rPr>
                <w:t>https://www.dkgev.de/fileadmin/Mediapool/1_DKG/1.3_Politik/Positionen/2025-10-01_Fachkraefte_im_Fokus_DKG_Positionspapier.pdf</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Q13  </w:t>
            </w:r>
            <w:r>
              <w:rPr>
                <w:rFonts w:ascii="Arial" w:hAnsi="Arial"/>
                <w:b w:val="0"/>
                <w:color w:val="1F2933"/>
                <w:sz w:val="14"/>
              </w:rPr>
              <w:t>Bundesgesundheitsministerium: Gütesiegel Faire Anwerbung Pflege Deutschland</w:t>
            </w:r>
          </w:p>
          <w:p>
            <w:pPr>
              <w:spacing w:before="0" w:after="0" w:line="250" w:lineRule="auto"/>
              <w:jc w:val="left"/>
            </w:pPr>
            <w:hyperlink r:id="rId35">
              <w:r>
                <w:rPr>
                  <w:rFonts w:ascii="Arial" w:hAnsi="Arial"/>
                  <w:color w:val="1F4E79"/>
                  <w:u w:val="single"/>
                  <w:sz w:val="11"/>
                </w:rPr>
                <w:t>https://www.bundesgesundheitsministerium.de/service/begriffe-von-a-z/f/faire-anwerbung-pflege-deutschland-guetesiegel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Q36  </w:t>
            </w:r>
            <w:r>
              <w:rPr>
                <w:rFonts w:ascii="Arial" w:hAnsi="Arial"/>
                <w:b w:val="0"/>
                <w:color w:val="1F2933"/>
                <w:sz w:val="14"/>
              </w:rPr>
              <w:t>Make it in Germany / DIHK: Praxisratgeber zur Einwanderung von Fachkräften (2025)</w:t>
            </w:r>
          </w:p>
          <w:p>
            <w:pPr>
              <w:spacing w:before="0" w:after="0" w:line="250" w:lineRule="auto"/>
              <w:jc w:val="left"/>
            </w:pPr>
            <w:hyperlink r:id="rId36">
              <w:r>
                <w:rPr>
                  <w:rFonts w:ascii="Arial" w:hAnsi="Arial"/>
                  <w:color w:val="1F4E79"/>
                  <w:u w:val="single"/>
                  <w:sz w:val="11"/>
                </w:rPr>
                <w:t>https://www.make-it-in-germany.com/fileadmin/1_Rebrush_2022/b_Arbeitgeber/PDF-Dateien/HiH_Praxisratgeber_2025_01.pdf</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Q14  </w:t>
            </w:r>
            <w:r>
              <w:rPr>
                <w:rFonts w:ascii="Arial" w:hAnsi="Arial"/>
                <w:b w:val="0"/>
                <w:color w:val="1F2933"/>
                <w:sz w:val="14"/>
              </w:rPr>
              <w:t>Bundesagentur für Arbeit: Beschäftigung internationaler Pflegefachkräfte</w:t>
            </w:r>
          </w:p>
          <w:p>
            <w:pPr>
              <w:spacing w:before="0" w:after="0" w:line="250" w:lineRule="auto"/>
              <w:jc w:val="left"/>
            </w:pPr>
            <w:hyperlink r:id="rId37">
              <w:r>
                <w:rPr>
                  <w:rFonts w:ascii="Arial" w:hAnsi="Arial"/>
                  <w:color w:val="1F4E79"/>
                  <w:u w:val="single"/>
                  <w:sz w:val="11"/>
                </w:rPr>
                <w:t>https://www.arbeitsagentur.de/unternehmen/fachkraefte-ausland/pflegefachkraefte</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Q37  </w:t>
            </w:r>
            <w:r>
              <w:rPr>
                <w:rFonts w:ascii="Arial" w:hAnsi="Arial"/>
                <w:b w:val="0"/>
                <w:color w:val="1F2933"/>
                <w:sz w:val="14"/>
              </w:rPr>
              <w:t>§ 5a GmbHG - Unternehmergesellschaft und gesetzliche Rücklage</w:t>
            </w:r>
          </w:p>
          <w:p>
            <w:pPr>
              <w:spacing w:before="0" w:after="0" w:line="250" w:lineRule="auto"/>
              <w:jc w:val="left"/>
            </w:pPr>
            <w:hyperlink r:id="rId38">
              <w:r>
                <w:rPr>
                  <w:rFonts w:ascii="Arial" w:hAnsi="Arial"/>
                  <w:color w:val="1F4E79"/>
                  <w:u w:val="single"/>
                  <w:sz w:val="11"/>
                </w:rPr>
                <w:t>https://www.gesetze-im-internet.de/gmbhg/__5a.html</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Q15  </w:t>
            </w:r>
            <w:r>
              <w:rPr>
                <w:rFonts w:ascii="Arial" w:hAnsi="Arial"/>
                <w:b w:val="0"/>
                <w:color w:val="1F2933"/>
                <w:sz w:val="14"/>
              </w:rPr>
              <w:t>Bundesamt für Soziale Sicherung: Krankenhaus-Transformationsfonds</w:t>
            </w:r>
          </w:p>
          <w:p>
            <w:pPr>
              <w:spacing w:before="0" w:after="0" w:line="250" w:lineRule="auto"/>
              <w:jc w:val="left"/>
            </w:pPr>
            <w:hyperlink r:id="rId39">
              <w:r>
                <w:rPr>
                  <w:rFonts w:ascii="Arial" w:hAnsi="Arial"/>
                  <w:color w:val="1F4E79"/>
                  <w:u w:val="single"/>
                  <w:sz w:val="11"/>
                </w:rPr>
                <w:t>https://www.bundesamtsozialesicherung.de/de/themen/transformationsfo/ueberblick/</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Q38  </w:t>
            </w:r>
            <w:r>
              <w:rPr>
                <w:rFonts w:ascii="Arial" w:hAnsi="Arial"/>
                <w:b w:val="0"/>
                <w:color w:val="1F2933"/>
                <w:sz w:val="14"/>
              </w:rPr>
              <w:t>IHK München: UG gründen - Rechtsform, Folgepflichten und Rücklagenbildung</w:t>
            </w:r>
          </w:p>
          <w:p>
            <w:pPr>
              <w:spacing w:before="0" w:after="0" w:line="250" w:lineRule="auto"/>
              <w:jc w:val="left"/>
            </w:pPr>
            <w:hyperlink r:id="rId40">
              <w:r>
                <w:rPr>
                  <w:rFonts w:ascii="Arial" w:hAnsi="Arial"/>
                  <w:color w:val="1F4E79"/>
                  <w:u w:val="single"/>
                  <w:sz w:val="11"/>
                </w:rPr>
                <w:t>https://www.ihk-muenchen.de/ratgeber/recht/gesellschaftsrecht/ug-gruenden/</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Q16  </w:t>
            </w:r>
            <w:r>
              <w:rPr>
                <w:rFonts w:ascii="Arial" w:hAnsi="Arial"/>
                <w:b w:val="0"/>
                <w:color w:val="1F2933"/>
                <w:sz w:val="14"/>
              </w:rPr>
              <w:t>§ 12b Krankenhausfinanzierungsgesetz - Transformationsfonds</w:t>
            </w:r>
          </w:p>
          <w:p>
            <w:pPr>
              <w:spacing w:before="0" w:after="0" w:line="250" w:lineRule="auto"/>
              <w:jc w:val="left"/>
            </w:pPr>
            <w:hyperlink r:id="rId41">
              <w:r>
                <w:rPr>
                  <w:rFonts w:ascii="Arial" w:hAnsi="Arial"/>
                  <w:color w:val="1F4E79"/>
                  <w:u w:val="single"/>
                  <w:sz w:val="11"/>
                </w:rPr>
                <w:t>https://www.gesetze-im-internet.de/khg/__12b.html</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Q39  </w:t>
            </w:r>
            <w:r>
              <w:rPr>
                <w:rFonts w:ascii="Arial" w:hAnsi="Arial"/>
                <w:b w:val="0"/>
                <w:color w:val="1F2933"/>
                <w:sz w:val="14"/>
              </w:rPr>
              <w:t>IHK Koblenz: Unternehmergesellschaft - Unternehmensgegenstand</w:t>
            </w:r>
          </w:p>
          <w:p>
            <w:pPr>
              <w:spacing w:before="0" w:after="0" w:line="250" w:lineRule="auto"/>
              <w:jc w:val="left"/>
            </w:pPr>
            <w:hyperlink r:id="rId42">
              <w:r>
                <w:rPr>
                  <w:rFonts w:ascii="Arial" w:hAnsi="Arial"/>
                  <w:color w:val="1F4E79"/>
                  <w:u w:val="single"/>
                  <w:sz w:val="11"/>
                </w:rPr>
                <w:t>https://www.ihk.de/koblenz/unternehmensservice/recht/gesellschaftsrecht-handelsvertretung/unternehmergesellschaft-haftungsbeschraenkt--3406728</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Q17  </w:t>
            </w:r>
            <w:r>
              <w:rPr>
                <w:rFonts w:ascii="Arial" w:hAnsi="Arial"/>
                <w:b w:val="0"/>
                <w:color w:val="1F2933"/>
                <w:sz w:val="14"/>
              </w:rPr>
              <w:t>Bundesagentur für Arbeit: Arbeitsmarktsituation in Pflegeberufen 2025</w:t>
            </w:r>
          </w:p>
          <w:p>
            <w:pPr>
              <w:spacing w:before="0" w:after="0" w:line="250" w:lineRule="auto"/>
              <w:jc w:val="left"/>
            </w:pPr>
            <w:hyperlink r:id="rId43">
              <w:r>
                <w:rPr>
                  <w:rFonts w:ascii="Arial" w:hAnsi="Arial"/>
                  <w:color w:val="1F4E79"/>
                  <w:u w:val="single"/>
                  <w:sz w:val="11"/>
                </w:rPr>
                <w:t>https://statistik.arbeitsagentur.de/DE/Statischer-Content/Statistiken/Themen-im-Fokus/Berufe/Generische-Publikationen/Arbeitsmarktsituation-in-Pflegeberufen.pdf?__blob=publicationFile&amp;v=23</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Q40  </w:t>
            </w:r>
            <w:r>
              <w:rPr>
                <w:rFonts w:ascii="Arial" w:hAnsi="Arial"/>
                <w:b w:val="0"/>
                <w:color w:val="1F2933"/>
                <w:sz w:val="14"/>
              </w:rPr>
              <w:t>§§ 35 und 35a GmbHG - Vertretung und Angaben auf Geschäftsbriefen</w:t>
            </w:r>
          </w:p>
          <w:p>
            <w:pPr>
              <w:spacing w:before="0" w:after="0" w:line="250" w:lineRule="auto"/>
              <w:jc w:val="left"/>
            </w:pPr>
            <w:hyperlink r:id="rId44">
              <w:r>
                <w:rPr>
                  <w:rFonts w:ascii="Arial" w:hAnsi="Arial"/>
                  <w:color w:val="1F4E79"/>
                  <w:u w:val="single"/>
                  <w:sz w:val="11"/>
                </w:rPr>
                <w:t>https://www.gesetze-im-internet.de/gmbhg/</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Q18  </w:t>
            </w:r>
            <w:r>
              <w:rPr>
                <w:rFonts w:ascii="Arial" w:hAnsi="Arial"/>
                <w:b w:val="0"/>
                <w:color w:val="1F2933"/>
                <w:sz w:val="14"/>
              </w:rPr>
              <w:t>IW-Trends 1/2026: Betriebliche Wohnungsangebote als Instrument der Fachkräftesicherung</w:t>
            </w:r>
          </w:p>
          <w:p>
            <w:pPr>
              <w:spacing w:before="0" w:after="0" w:line="250" w:lineRule="auto"/>
              <w:jc w:val="left"/>
            </w:pPr>
            <w:hyperlink r:id="rId45">
              <w:r>
                <w:rPr>
                  <w:rFonts w:ascii="Arial" w:hAnsi="Arial"/>
                  <w:color w:val="1F4E79"/>
                  <w:u w:val="single"/>
                  <w:sz w:val="11"/>
                </w:rPr>
                <w:t>https://www.iwkoeln.de/fileadmin/user_upload/Studien/IW-Trends/PDF/2026/IW-Trends_2026-01-03_Deschermeier_et_al.pdf</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Q41  </w:t>
            </w:r>
            <w:r>
              <w:rPr>
                <w:rFonts w:ascii="Arial" w:hAnsi="Arial"/>
                <w:b w:val="0"/>
                <w:color w:val="1F2933"/>
                <w:sz w:val="14"/>
              </w:rPr>
              <w:t>§§ 264, 325 und 326 HGB - Jahresabschluss und Offenlegung</w:t>
            </w:r>
          </w:p>
          <w:p>
            <w:pPr>
              <w:spacing w:before="0" w:after="0" w:line="250" w:lineRule="auto"/>
              <w:jc w:val="left"/>
            </w:pPr>
            <w:hyperlink r:id="rId46">
              <w:r>
                <w:rPr>
                  <w:rFonts w:ascii="Arial" w:hAnsi="Arial"/>
                  <w:color w:val="1F4E79"/>
                  <w:u w:val="single"/>
                  <w:sz w:val="11"/>
                </w:rPr>
                <w:t>https://www.gesetze-im-internet.de/hgb/</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Q19  </w:t>
            </w:r>
            <w:r>
              <w:rPr>
                <w:rFonts w:ascii="Arial" w:hAnsi="Arial"/>
                <w:b w:val="0"/>
                <w:color w:val="1F2933"/>
                <w:sz w:val="14"/>
              </w:rPr>
              <w:t>Bundesministerium für Gesundheit: PUEG und Personalgewinnungskosten</w:t>
            </w:r>
          </w:p>
          <w:p>
            <w:pPr>
              <w:spacing w:before="0" w:after="0" w:line="250" w:lineRule="auto"/>
              <w:jc w:val="left"/>
            </w:pPr>
            <w:hyperlink r:id="rId47">
              <w:r>
                <w:rPr>
                  <w:rFonts w:ascii="Arial" w:hAnsi="Arial"/>
                  <w:color w:val="1F4E79"/>
                  <w:u w:val="single"/>
                  <w:sz w:val="11"/>
                </w:rPr>
                <w:t>https://www.bundesgesundheitsministerium.de/ministerium/gesetze-und-verordnungen/guv-20-lp/pueg</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Q42  </w:t>
            </w:r>
            <w:r>
              <w:rPr>
                <w:rFonts w:ascii="Arial" w:hAnsi="Arial"/>
                <w:b w:val="0"/>
                <w:color w:val="1F2933"/>
                <w:sz w:val="14"/>
              </w:rPr>
              <w:t>§§ 15a und 15b InsO - Antragspflicht und Zahlungen bei Insolvenzreife</w:t>
            </w:r>
          </w:p>
          <w:p>
            <w:pPr>
              <w:spacing w:before="0" w:after="0" w:line="250" w:lineRule="auto"/>
              <w:jc w:val="left"/>
            </w:pPr>
            <w:hyperlink r:id="rId48">
              <w:r>
                <w:rPr>
                  <w:rFonts w:ascii="Arial" w:hAnsi="Arial"/>
                  <w:color w:val="1F4E79"/>
                  <w:u w:val="single"/>
                  <w:sz w:val="11"/>
                </w:rPr>
                <w:t>https://www.gesetze-im-internet.de/inso/</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Q20  </w:t>
            </w:r>
            <w:r>
              <w:rPr>
                <w:rFonts w:ascii="Arial" w:hAnsi="Arial"/>
                <w:b w:val="0"/>
                <w:color w:val="1F2933"/>
                <w:sz w:val="14"/>
              </w:rPr>
              <w:t>Deutsches Kompetenzzentrum für internationale Fachkräfte: Werkzeugkoffer Willkommenskultur und Integration</w:t>
            </w:r>
          </w:p>
          <w:p>
            <w:pPr>
              <w:spacing w:before="0" w:after="0" w:line="250" w:lineRule="auto"/>
              <w:jc w:val="left"/>
            </w:pPr>
            <w:hyperlink r:id="rId49">
              <w:r>
                <w:rPr>
                  <w:rFonts w:ascii="Arial" w:hAnsi="Arial"/>
                  <w:color w:val="1F4E79"/>
                  <w:u w:val="single"/>
                  <w:sz w:val="11"/>
                </w:rPr>
                <w:t>https://dkf-kda.de/werkzeugkoffer-wi/</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Q43  </w:t>
            </w:r>
            <w:r>
              <w:rPr>
                <w:rFonts w:ascii="Arial" w:hAnsi="Arial"/>
                <w:b w:val="0"/>
                <w:color w:val="1F2933"/>
                <w:sz w:val="14"/>
              </w:rPr>
              <w:t>§ 23 KStG - Körperschaftsteuersatz</w:t>
            </w:r>
          </w:p>
          <w:p>
            <w:pPr>
              <w:spacing w:before="0" w:after="0" w:line="250" w:lineRule="auto"/>
              <w:jc w:val="left"/>
            </w:pPr>
            <w:hyperlink r:id="rId50">
              <w:r>
                <w:rPr>
                  <w:rFonts w:ascii="Arial" w:hAnsi="Arial"/>
                  <w:color w:val="1F4E79"/>
                  <w:u w:val="single"/>
                  <w:sz w:val="11"/>
                </w:rPr>
                <w:t>https://www.gesetze-im-internet.de/kstg_1977/__23.html</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Q21  </w:t>
            </w:r>
            <w:r>
              <w:rPr>
                <w:rFonts w:ascii="Arial" w:hAnsi="Arial"/>
                <w:b w:val="0"/>
                <w:color w:val="1F2933"/>
                <w:sz w:val="14"/>
              </w:rPr>
              <w:t>Deutsches Krankenhausinstitut: Internationale Talente - Mehr Fachkräfte durch Diversität im Krankenhaus (2024)</w:t>
            </w:r>
          </w:p>
          <w:p>
            <w:pPr>
              <w:spacing w:before="0" w:after="0" w:line="250" w:lineRule="auto"/>
              <w:jc w:val="left"/>
            </w:pPr>
            <w:hyperlink r:id="rId51">
              <w:r>
                <w:rPr>
                  <w:rFonts w:ascii="Arial" w:hAnsi="Arial"/>
                  <w:color w:val="1F4E79"/>
                  <w:u w:val="single"/>
                  <w:sz w:val="11"/>
                </w:rPr>
                <w:t>https://www.dkgev.de/fileadmin/Mediapool/3_Service/3.1_DKI-Analysen_und_Gutachten/2024_12_13_Bericht_Internationale_Talente.pdf</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Q44  </w:t>
            </w:r>
            <w:r>
              <w:rPr>
                <w:rFonts w:ascii="Arial" w:hAnsi="Arial"/>
                <w:b w:val="0"/>
                <w:color w:val="1F2933"/>
                <w:sz w:val="14"/>
              </w:rPr>
              <w:t>IHK Köln: Gründungszuschuss - Bestandteile des Zahlenteils</w:t>
            </w:r>
          </w:p>
          <w:p>
            <w:pPr>
              <w:spacing w:before="0" w:after="0" w:line="250" w:lineRule="auto"/>
              <w:jc w:val="left"/>
            </w:pPr>
            <w:hyperlink r:id="rId52">
              <w:r>
                <w:rPr>
                  <w:rFonts w:ascii="Arial" w:hAnsi="Arial"/>
                  <w:color w:val="1F4E79"/>
                  <w:u w:val="single"/>
                  <w:sz w:val="11"/>
                </w:rPr>
                <w:t>https://www.ihk.de/koeln/hauptnavigation/gruendung-finanzierung-nachfolge/gruendungszuschuss2-5142612</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Q22  </w:t>
            </w:r>
            <w:r>
              <w:rPr>
                <w:rFonts w:ascii="Arial" w:hAnsi="Arial"/>
                <w:b w:val="0"/>
                <w:color w:val="1F2933"/>
                <w:sz w:val="14"/>
              </w:rPr>
              <w:t>Bundesagentur für Arbeit: Arbeitsmarktsituation in Pflegeberufen 2025</w:t>
            </w:r>
          </w:p>
          <w:p>
            <w:pPr>
              <w:spacing w:before="0" w:after="0" w:line="250" w:lineRule="auto"/>
              <w:jc w:val="left"/>
            </w:pPr>
            <w:hyperlink r:id="rId53">
              <w:r>
                <w:rPr>
                  <w:rFonts w:ascii="Arial" w:hAnsi="Arial"/>
                  <w:color w:val="1F4E79"/>
                  <w:u w:val="single"/>
                  <w:sz w:val="11"/>
                </w:rPr>
                <w:t>https://statistik.arbeitsagentur.de/DE/Statischer-Content/Statistiken/Themen-im-Fokus/Berufe/Generische-Publikationen/Arbeitsmarktsituation-in-Pflegeberufen.pdf</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tcPr>
          <w:p>
            <w:pPr>
              <w:spacing w:before="0" w:after="0" w:line="250" w:lineRule="auto"/>
              <w:jc w:val="left"/>
            </w:pPr>
            <w:r>
              <w:rPr>
                <w:rFonts w:ascii="Arial" w:hAnsi="Arial"/>
                <w:b w:val="0"/>
                <w:color w:val="1F2933"/>
                <w:sz w:val="14"/>
              </w:rPr>
              <w:t xml:space="preserve">Q45  </w:t>
            </w:r>
            <w:r>
              <w:rPr>
                <w:rFonts w:ascii="Arial" w:hAnsi="Arial"/>
                <w:b w:val="0"/>
                <w:color w:val="1F2933"/>
                <w:sz w:val="14"/>
              </w:rPr>
              <w:t>KfW: ERP-Gründerkredit - StartGeld (067)</w:t>
            </w:r>
          </w:p>
          <w:p>
            <w:pPr>
              <w:spacing w:before="0" w:after="0" w:line="250" w:lineRule="auto"/>
              <w:jc w:val="left"/>
            </w:pPr>
            <w:hyperlink r:id="rId54">
              <w:r>
                <w:rPr>
                  <w:rFonts w:ascii="Arial" w:hAnsi="Arial"/>
                  <w:color w:val="1F4E79"/>
                  <w:u w:val="single"/>
                  <w:sz w:val="11"/>
                </w:rPr>
                <w:t>https://www.kfw.de/inlandsfoerderung/Unternehmen/Gr%C3%BCnden-Nachfolgen/F%C3%B6rderprodukte/ERP-Gr%C3%BCnderkredit-Startgeld-%28067%29/</w:t>
              </w:r>
            </w:hyperlink>
          </w:p>
        </w:tc>
      </w:tr>
      <w:tr>
        <w:trPr>
          <w:cantSplit/>
        </w:trPr>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Q23  </w:t>
            </w:r>
            <w:r>
              <w:rPr>
                <w:rFonts w:ascii="Arial" w:hAnsi="Arial"/>
                <w:b w:val="0"/>
                <w:color w:val="1F2933"/>
                <w:sz w:val="14"/>
              </w:rPr>
              <w:t>Pflegenetzwerk Deutschland: Internationale Fachkräfte gut integrieren - Daten und Fakten</w:t>
            </w:r>
          </w:p>
          <w:p>
            <w:pPr>
              <w:spacing w:before="0" w:after="0" w:line="250" w:lineRule="auto"/>
              <w:jc w:val="left"/>
            </w:pPr>
            <w:hyperlink r:id="rId55">
              <w:r>
                <w:rPr>
                  <w:rFonts w:ascii="Arial" w:hAnsi="Arial"/>
                  <w:color w:val="1F4E79"/>
                  <w:u w:val="single"/>
                  <w:sz w:val="11"/>
                </w:rPr>
                <w:t>https://pflegenetzwerk-deutschland.de/thema-internationale-fachkraefte-gut-integrieren</w:t>
              </w:r>
            </w:hyperlink>
          </w:p>
        </w:tc>
        <w:tc>
          <w:tcPr>
            <w:tcW w:type="dxa" w:w="5103"/>
            <w:vAlign w:val="center"/>
            <w:tcMar>
              <w:top w:w="42" w:type="dxa"/>
              <w:start w:w="105" w:type="dxa"/>
              <w:bottom w:w="42" w:type="dxa"/>
              <w:end w:w="105" w:type="dxa"/>
            </w:tcMar>
            <w:tcBorders>
              <w:bottom w:val="single" w:sz="4" w:color="D7DEE2"/>
              <w:start w:val="single" w:sz="3" w:color="E6EAEC"/>
              <w:end w:val="single" w:sz="3" w:color="E6EAEC"/>
              <w:top w:val="single" w:sz="3" w:color="E6EAEC"/>
            </w:tcBorders>
            <w:shd w:fill="F3F6F7" w:val="clear"/>
          </w:tcPr>
          <w:p>
            <w:pPr>
              <w:spacing w:before="0" w:after="0" w:line="250" w:lineRule="auto"/>
              <w:jc w:val="left"/>
            </w:pPr>
            <w:r>
              <w:rPr>
                <w:rFonts w:ascii="Arial" w:hAnsi="Arial"/>
                <w:b w:val="0"/>
                <w:color w:val="1F2933"/>
                <w:sz w:val="14"/>
              </w:rPr>
              <w:t xml:space="preserve">Q46  </w:t>
            </w:r>
            <w:r>
              <w:rPr>
                <w:rFonts w:ascii="Arial" w:hAnsi="Arial"/>
                <w:b w:val="0"/>
                <w:color w:val="1F2933"/>
                <w:sz w:val="14"/>
              </w:rPr>
              <w:t>NRW.BANK: NRW.Mikrodarlehen</w:t>
            </w:r>
          </w:p>
          <w:p>
            <w:pPr>
              <w:spacing w:before="0" w:after="0" w:line="250" w:lineRule="auto"/>
              <w:jc w:val="left"/>
            </w:pPr>
            <w:hyperlink r:id="rId56">
              <w:r>
                <w:rPr>
                  <w:rFonts w:ascii="Arial" w:hAnsi="Arial"/>
                  <w:color w:val="1F4E79"/>
                  <w:u w:val="single"/>
                  <w:sz w:val="11"/>
                </w:rPr>
                <w:t>https://www.nrwbank.de/de/foerderung/foerderprodukte/15262/nrwmikrodarlehen.html</w:t>
              </w:r>
            </w:hyperlink>
          </w:p>
        </w:tc>
      </w:tr>
    </w:tbl>
    <w:p>
      <w:r>
        <w:br w:type="page"/>
      </w:r>
    </w:p>
    <w:p>
      <w:pPr>
        <w:pStyle w:val="Heading1"/>
      </w:pPr>
      <w:r>
        <w:t>Finalisierungsvermerk v2.1</w:t>
      </w:r>
    </w:p>
    <w:p>
      <w:r>
        <w:t>Dieser Vermerk konsolidiert die abgabekritischen Prüfpunkte der finalen Arbeitsfassung. Er ersetzt keine Rechts-, Steuer- oder Fördermittelprüfung, macht aber die aktuelle Entscheidungslogik transparent.</w:t>
      </w:r>
    </w:p>
    <w:p>
      <w:pPr>
        <w:pStyle w:val="Heading2"/>
      </w:pPr>
      <w:r>
        <w:t>Kanonische Zahlen und Begriffe</w:t>
      </w:r>
    </w:p>
    <w:tbl>
      <w:tblPr>
        <w:tblStyle w:val="TableGrid"/>
        <w:tblW w:type="auto" w:w="0"/>
        <w:tblLook w:firstColumn="1" w:firstRow="1" w:lastColumn="0" w:lastRow="0" w:noHBand="0" w:noVBand="1" w:val="04A0"/>
      </w:tblPr>
      <w:tblGrid>
        <w:gridCol w:w="3402"/>
        <w:gridCol w:w="3402"/>
        <w:gridCol w:w="3402"/>
      </w:tblGrid>
      <w:tr>
        <w:tc>
          <w:tcPr>
            <w:tcW w:type="dxa" w:w="3402"/>
          </w:tcPr>
          <w:p>
            <w:r>
              <w:t>Begriff</w:t>
            </w:r>
          </w:p>
        </w:tc>
        <w:tc>
          <w:tcPr>
            <w:tcW w:type="dxa" w:w="3402"/>
          </w:tcPr>
          <w:p>
            <w:r>
              <w:t>Kanonischer Wert</w:t>
            </w:r>
          </w:p>
        </w:tc>
        <w:tc>
          <w:tcPr>
            <w:tcW w:type="dxa" w:w="3402"/>
          </w:tcPr>
          <w:p>
            <w:r>
              <w:t>Abgrenzung</w:t>
            </w:r>
          </w:p>
        </w:tc>
      </w:tr>
      <w:tr>
        <w:tc>
          <w:tcPr>
            <w:tcW w:type="dxa" w:w="3402"/>
          </w:tcPr>
          <w:p>
            <w:r>
              <w:t>Startfinanzierung</w:t>
            </w:r>
          </w:p>
        </w:tc>
        <w:tc>
          <w:tcPr>
            <w:tcW w:type="dxa" w:w="3402"/>
          </w:tcPr>
          <w:p>
            <w:r>
              <w:t>25.000 EUR</w:t>
            </w:r>
          </w:p>
        </w:tc>
        <w:tc>
          <w:tcPr>
            <w:tcW w:type="dxa" w:w="3402"/>
          </w:tcPr>
          <w:p>
            <w:r>
              <w:t>500 EUR Stammkapital plus 24.500 EUR dokumentierte Zuführung oder Gesellschafterdarlehen.</w:t>
            </w:r>
          </w:p>
        </w:tc>
      </w:tr>
      <w:tr>
        <w:tc>
          <w:tcPr>
            <w:tcW w:type="dxa" w:w="3402"/>
          </w:tcPr>
          <w:p>
            <w:r>
              <w:t>Launch-Preis</w:t>
            </w:r>
          </w:p>
        </w:tc>
        <w:tc>
          <w:tcPr>
            <w:tcW w:type="dxa" w:w="3402"/>
          </w:tcPr>
          <w:p>
            <w:r>
              <w:t>29.500 EUR netto</w:t>
            </w:r>
          </w:p>
        </w:tc>
        <w:tc>
          <w:tcPr>
            <w:tcW w:type="dxa" w:w="3402"/>
          </w:tcPr>
          <w:p>
            <w:r>
              <w:t>Produkt-/Mandatspreis zzgl. Fremdkosten; nicht mit Startfinanzierung gleichsetzen.</w:t>
            </w:r>
          </w:p>
        </w:tc>
      </w:tr>
      <w:tr>
        <w:tc>
          <w:tcPr>
            <w:tcW w:type="dxa" w:w="3402"/>
          </w:tcPr>
          <w:p>
            <w:r>
              <w:t>Planumsatz</w:t>
            </w:r>
          </w:p>
        </w:tc>
        <w:tc>
          <w:tcPr>
            <w:tcW w:type="dxa" w:w="3402"/>
          </w:tcPr>
          <w:p>
            <w:r>
              <w:t>93.500 / 269.000 / 442.000 EUR</w:t>
            </w:r>
          </w:p>
        </w:tc>
        <w:tc>
          <w:tcPr>
            <w:tcW w:type="dxa" w:w="3402"/>
          </w:tcPr>
          <w:p>
            <w:r>
              <w:t>Basiscase Planjahr 1 bis 3; ohne Objektbetrieb und ohne sichere Förderzuflüsse.</w:t>
            </w:r>
          </w:p>
        </w:tc>
      </w:tr>
      <w:tr>
        <w:tc>
          <w:tcPr>
            <w:tcW w:type="dxa" w:w="3402"/>
          </w:tcPr>
          <w:p>
            <w:r>
              <w:t>Förderung</w:t>
            </w:r>
          </w:p>
        </w:tc>
        <w:tc>
          <w:tcPr>
            <w:tcW w:type="dxa" w:w="3402"/>
          </w:tcPr>
          <w:p>
            <w:r>
              <w:t>0 EUR im Basiscase</w:t>
            </w:r>
          </w:p>
        </w:tc>
        <w:tc>
          <w:tcPr>
            <w:tcW w:type="dxa" w:w="3402"/>
          </w:tcPr>
          <w:p>
            <w:r>
              <w:t>Nur als projektbezogene Szenario- oder Objektoption nach Antrag, Prüfung und Zusage.</w:t>
            </w:r>
          </w:p>
        </w:tc>
      </w:tr>
    </w:tbl>
    <w:p>
      <w:pPr>
        <w:pStyle w:val="Heading2"/>
      </w:pPr>
      <w:r>
        <w:t>Förder- und Finanzierungsstrategie</w:t>
      </w:r>
    </w:p>
    <w:p>
      <w:r>
        <w:t>AMAVIO prüft Förder- und Finanzierungsbausteine nur objekt- oder projektbezogen. Relevant sind insbesondere KfW 266 Gewerbe zu Wohnen, KfW KFN/KNN, BEG-Sanierung und Einzelmaßnahmen, Landeswohnraumförderung, steuerliche Wohnungsbauinstrumente sowie lohnsteuerlich strukturierbare Arbeitgeberwohnungen. Diese Bausteine werden nicht als sicherer Umsatz oder sicherer Mittelzufluss der UG geplant.</w:t>
      </w:r>
    </w:p>
    <w:p>
      <w:pPr>
        <w:pStyle w:val="Heading2"/>
      </w:pPr>
      <w:r>
        <w:t>Offene externe Gates vor verbindlichen Zusagen</w:t>
      </w:r>
    </w:p>
    <w:p>
      <w:pPr>
        <w:pStyle w:val="ListBullet"/>
      </w:pPr>
      <w:r>
        <w:t>Dokumentierter Mittelzufluss auf Geschäftskonto und rechtlich/steuerlich saubere Einbringung.</w:t>
      </w:r>
    </w:p>
    <w:p>
      <w:pPr>
        <w:pStyle w:val="ListBullet"/>
      </w:pPr>
      <w:r>
        <w:t>Rechts-/Leistungsabgrenzung einschließlich § 34c GewO, Vertragsrollen und Partnerlösung.</w:t>
      </w:r>
    </w:p>
    <w:p>
      <w:pPr>
        <w:pStyle w:val="ListBullet"/>
      </w:pPr>
      <w:r>
        <w:t>Unternehmensgegenstand und Satzungsabgleich für AMAVIO Living.</w:t>
      </w:r>
    </w:p>
    <w:p>
      <w:pPr>
        <w:pStyle w:val="ListBullet"/>
      </w:pPr>
      <w:r>
        <w:t>Nachfragebeweis über Pipeline, LOI, Angebot oder erstes bezahltes Pilotmandat.</w:t>
      </w:r>
    </w:p>
    <w:p>
      <w:pPr>
        <w:pStyle w:val="ListBullet"/>
      </w:pPr>
      <w:r>
        <w:t>13-Wochen-Cash-Forecast mit realen Zahlungszielen, Steuerterminen und Forderungen.</w:t>
      </w:r>
    </w:p>
    <w:sectPr w:rsidR="00FC693F" w:rsidRPr="0006063C" w:rsidSect="00034616">
      <w:headerReference w:type="default" r:id="rId9"/>
      <w:footerReference w:type="default" r:id="rId10"/>
      <w:headerReference w:type="first" r:id="rId57"/>
      <w:footerReference w:type="first" r:id="rId58"/>
      <w:pgSz w:w="11906" w:h="16838"/>
      <w:pgMar w:top="850" w:right="850" w:bottom="794"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53616B"/>
        <w:sz w:val="14"/>
      </w:rPr>
      <w:t xml:space="preserve">AMAVIO Holding UG (haftungsbeschränkt)  ·  Vertraulich  ·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jc w:val="left"/>
      <w:pBdr>
        <w:bottom w:val="single" w:sz="4" w:space="4" w:color="D8E1E8"/>
        <w:bottom w:val="single" w:sz="8" w:space="7" w:color="E7D9BE"/>
      </w:pBdr>
    </w:pPr>
    <w:r>
      <w:rPr>
        <w:rFonts w:ascii="Arial" w:hAnsi="Arial"/>
        <w:b/>
        <w:color w:val="102D3F"/>
        <w:sz w:val="15"/>
      </w:rPr>
      <w:t>AMAVIO LIVING  |  BUSINESSPLAN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64" w:lineRule="auto" w:before="0"/>
      <w:jc w:val="left"/>
    </w:pPr>
    <w:rPr>
      <w:rFonts w:ascii="Arial" w:hAnsi="Arial"/>
      <w:b w:val="0"/>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40" w:lineRule="auto"/>
      <w:outlineLvl w:val="0"/>
    </w:pPr>
    <w:rPr>
      <w:rFonts w:asciiTheme="majorHAnsi" w:eastAsiaTheme="majorEastAsia" w:hAnsiTheme="majorHAnsi" w:cstheme="majorBidi" w:ascii="Arial" w:hAnsi="Arial"/>
      <w:b/>
      <w:bCs/>
      <w:color w:val="102D3F"/>
      <w:sz w:val="37"/>
      <w:szCs w:val="28"/>
    </w:rPr>
  </w:style>
  <w:style w:type="paragraph" w:styleId="Heading2">
    <w:name w:val="heading 2"/>
    <w:basedOn w:val="Normal"/>
    <w:next w:val="Normal"/>
    <w:link w:val="Heading2Char"/>
    <w:uiPriority w:val="9"/>
    <w:unhideWhenUsed/>
    <w:qFormat/>
    <w:rsid w:val="00FC693F"/>
    <w:pPr>
      <w:keepNext/>
      <w:keepLines/>
      <w:spacing w:before="200" w:after="100" w:line="245" w:lineRule="auto"/>
      <w:outlineLvl w:val="1"/>
    </w:pPr>
    <w:rPr>
      <w:rFonts w:asciiTheme="majorHAnsi" w:eastAsiaTheme="majorEastAsia" w:hAnsiTheme="majorHAnsi" w:cstheme="majorBidi" w:ascii="Arial" w:hAnsi="Arial"/>
      <w:b/>
      <w:bCs/>
      <w:color w:val="226B5A"/>
      <w:sz w:val="26"/>
      <w:szCs w:val="26"/>
    </w:rPr>
  </w:style>
  <w:style w:type="paragraph" w:styleId="Heading3">
    <w:name w:val="heading 3"/>
    <w:basedOn w:val="Normal"/>
    <w:next w:val="Normal"/>
    <w:link w:val="Heading3Char"/>
    <w:uiPriority w:val="9"/>
    <w:unhideWhenUsed/>
    <w:qFormat/>
    <w:rsid w:val="00FC693F"/>
    <w:pPr>
      <w:keepNext/>
      <w:keepLines/>
      <w:spacing w:before="140" w:after="60" w:line="245" w:lineRule="auto"/>
      <w:outlineLvl w:val="2"/>
    </w:pPr>
    <w:rPr>
      <w:rFonts w:asciiTheme="majorHAnsi" w:eastAsiaTheme="majorEastAsia" w:hAnsiTheme="majorHAnsi" w:cstheme="majorBidi" w:ascii="Arial" w:hAnsi="Arial"/>
      <w:b/>
      <w:bCs/>
      <w:color w:val="102D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10" w:line="264" w:lineRule="auto" w:before="0"/>
      <w:jc w:val="left"/>
    </w:pPr>
    <w:rPr>
      <w:rFonts w:ascii="Arial" w:hAnsi="Arial"/>
      <w:b w:val="0"/>
      <w:color w:val="1F29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before="0"/>
      <w:contextualSpacing/>
    </w:pPr>
    <w:rPr>
      <w:rFonts w:ascii="Arial" w:hAnsi="Arial"/>
      <w:b w:val="0"/>
      <w:color w:val="1F2933"/>
      <w:sz w:val="19"/>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Arial" w:hAnsi="Arial"/>
      <w:b w:val="0"/>
      <w:bCs/>
      <w:color w:val="53616B"/>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bsr.bund.de/BBSR/DE/veroeffentlichungen/analysen-kompakt/2025/ak-05-2025.html" TargetMode="External"/><Relationship Id="rId12" Type="http://schemas.openxmlformats.org/officeDocument/2006/relationships/hyperlink" Target="https://www.it.nrw/thema/krankenhaeuser-vorsorge-und-rehabilitationseinrichtungen?page=1" TargetMode="External"/><Relationship Id="rId13" Type="http://schemas.openxmlformats.org/officeDocument/2006/relationships/hyperlink" Target="https://www.destatis.de/DE/Presse/Pressemitteilungen/2024/01/PD24_033_23_12.html" TargetMode="External"/><Relationship Id="rId14" Type="http://schemas.openxmlformats.org/officeDocument/2006/relationships/hyperlink" Target="https://www.it.nrw/nrw-krankenhaeuser-mehr-patienten-und-mehr-personal-im-jahr-2024-127743" TargetMode="External"/><Relationship Id="rId15" Type="http://schemas.openxmlformats.org/officeDocument/2006/relationships/hyperlink" Target="https://www.make-it-in-germany.com/de/unternehmen/integrieren/unterstuetzen" TargetMode="External"/><Relationship Id="rId16" Type="http://schemas.openxmlformats.org/officeDocument/2006/relationships/hyperlink" Target="https://www.nrwbank.de/.galleries/downloads/wohnraumfoerderung/wohnungsmarktbeobachtung/Wohnungsmarktbericht_2025_barrierefrei.pdf" TargetMode="External"/><Relationship Id="rId17" Type="http://schemas.openxmlformats.org/officeDocument/2006/relationships/hyperlink" Target="https://www.bundesgesundheitsministerium.de/themen/krankenhaus/krankenhausreform" TargetMode="External"/><Relationship Id="rId18" Type="http://schemas.openxmlformats.org/officeDocument/2006/relationships/hyperlink" Target="https://www.destatis.de/DE/Presse/Pressemitteilungen/2025/11/PD25_398_231.html" TargetMode="External"/><Relationship Id="rId19" Type="http://schemas.openxmlformats.org/officeDocument/2006/relationships/hyperlink" Target="https://statistik.arbeitsagentur.de/DE/Navigation/Statistiken/Interaktive-Statistiken/Fachkraeftebedarf/Engpassanalyse-Nav.html" TargetMode="External"/><Relationship Id="rId20" Type="http://schemas.openxmlformats.org/officeDocument/2006/relationships/hyperlink" Target="https://www.it.nrw/copyright/pflegedienst" TargetMode="External"/><Relationship Id="rId21" Type="http://schemas.openxmlformats.org/officeDocument/2006/relationships/hyperlink" Target="https://www.ihk.de/stuttgart/branchen/dienstleistung/aktuelles/leitfaden-mitarbeiter-wohnen-6075856" TargetMode="External"/><Relationship Id="rId22" Type="http://schemas.openxmlformats.org/officeDocument/2006/relationships/hyperlink" Target="https://www.anders-relocation.de/" TargetMode="External"/><Relationship Id="rId23" Type="http://schemas.openxmlformats.org/officeDocument/2006/relationships/hyperlink" Target="https://www.gesetze-im-internet.de/gewo/__34c.html" TargetMode="External"/><Relationship Id="rId24" Type="http://schemas.openxmlformats.org/officeDocument/2006/relationships/hyperlink" Target="https://www.urbanbnb.de/de/page/wohnen-auf-zeit-aerzte-pflegekraefte" TargetMode="External"/><Relationship Id="rId25" Type="http://schemas.openxmlformats.org/officeDocument/2006/relationships/hyperlink" Target="https://www.gesetze-im-internet.de/rdg/__5.html" TargetMode="External"/><Relationship Id="rId26" Type="http://schemas.openxmlformats.org/officeDocument/2006/relationships/hyperlink" Target="https://www.mitarbeiterwohnen.de/" TargetMode="External"/><Relationship Id="rId27" Type="http://schemas.openxmlformats.org/officeDocument/2006/relationships/hyperlink" Target="https://eur-lex.europa.eu/eli/reg/2016/679/oj/deu" TargetMode="External"/><Relationship Id="rId28" Type="http://schemas.openxmlformats.org/officeDocument/2006/relationships/hyperlink" Target="https://www.mags.nrw/Fachkraefteagentur_International" TargetMode="External"/><Relationship Id="rId29" Type="http://schemas.openxmlformats.org/officeDocument/2006/relationships/hyperlink" Target="https://familienportal.de/familienportal/lebenslagen/ausbildung-beruf/kinderbetreuung/wie-koennen-arbeitgeber-bei-der-kinderbetreuung-unterstuetzen--125548" TargetMode="External"/><Relationship Id="rId30" Type="http://schemas.openxmlformats.org/officeDocument/2006/relationships/hyperlink" Target="https://www.make-it-in-germany.com/de/unternehmen/integrieren/neue-mitarbeiter/vorbereitungen" TargetMode="External"/><Relationship Id="rId31" Type="http://schemas.openxmlformats.org/officeDocument/2006/relationships/hyperlink" Target="https://www.arbeitsagentur.de/arbeitslos-arbeit-finden/arbeitslosengeld/gruendungszuschuss-beantragen" TargetMode="External"/><Relationship Id="rId32" Type="http://schemas.openxmlformats.org/officeDocument/2006/relationships/hyperlink" Target="https://www.datenschutzkonferenz-online.de/media/ah/SDM-Methode-V31.pdf" TargetMode="External"/><Relationship Id="rId33" Type="http://schemas.openxmlformats.org/officeDocument/2006/relationships/hyperlink" Target="https://www.arbeitsagentur.de/datei/gruendungszuschuss-gz-stellungnahme-fachkundige-stelle_ba053733.pdf" TargetMode="External"/><Relationship Id="rId34" Type="http://schemas.openxmlformats.org/officeDocument/2006/relationships/hyperlink" Target="https://www.dkgev.de/fileadmin/Mediapool/1_DKG/1.3_Politik/Positionen/2025-10-01_Fachkraefte_im_Fokus_DKG_Positionspapier.pdf" TargetMode="External"/><Relationship Id="rId35" Type="http://schemas.openxmlformats.org/officeDocument/2006/relationships/hyperlink" Target="https://www.bundesgesundheitsministerium.de/service/begriffe-von-a-z/f/faire-anwerbung-pflege-deutschland-guetesiegel" TargetMode="External"/><Relationship Id="rId36" Type="http://schemas.openxmlformats.org/officeDocument/2006/relationships/hyperlink" Target="https://www.make-it-in-germany.com/fileadmin/1_Rebrush_2022/b_Arbeitgeber/PDF-Dateien/HiH_Praxisratgeber_2025_01.pdf" TargetMode="External"/><Relationship Id="rId37" Type="http://schemas.openxmlformats.org/officeDocument/2006/relationships/hyperlink" Target="https://www.arbeitsagentur.de/unternehmen/fachkraefte-ausland/pflegefachkraefte" TargetMode="External"/><Relationship Id="rId38" Type="http://schemas.openxmlformats.org/officeDocument/2006/relationships/hyperlink" Target="https://www.gesetze-im-internet.de/gmbhg/__5a.html" TargetMode="External"/><Relationship Id="rId39" Type="http://schemas.openxmlformats.org/officeDocument/2006/relationships/hyperlink" Target="https://www.bundesamtsozialesicherung.de/de/themen/transformationsfo/ueberblick/" TargetMode="External"/><Relationship Id="rId40" Type="http://schemas.openxmlformats.org/officeDocument/2006/relationships/hyperlink" Target="https://www.ihk-muenchen.de/ratgeber/recht/gesellschaftsrecht/ug-gruenden/" TargetMode="External"/><Relationship Id="rId41" Type="http://schemas.openxmlformats.org/officeDocument/2006/relationships/hyperlink" Target="https://www.gesetze-im-internet.de/khg/__12b.html" TargetMode="External"/><Relationship Id="rId42" Type="http://schemas.openxmlformats.org/officeDocument/2006/relationships/hyperlink" Target="https://www.ihk.de/koblenz/unternehmensservice/recht/gesellschaftsrecht-handelsvertretung/unternehmergesellschaft-haftungsbeschraenkt--3406728" TargetMode="External"/><Relationship Id="rId43" Type="http://schemas.openxmlformats.org/officeDocument/2006/relationships/hyperlink" Target="https://statistik.arbeitsagentur.de/DE/Statischer-Content/Statistiken/Themen-im-Fokus/Berufe/Generische-Publikationen/Arbeitsmarktsituation-in-Pflegeberufen.pdf?__blob=publicationFile&amp;v=23" TargetMode="External"/><Relationship Id="rId44" Type="http://schemas.openxmlformats.org/officeDocument/2006/relationships/hyperlink" Target="https://www.gesetze-im-internet.de/gmbhg/" TargetMode="External"/><Relationship Id="rId45" Type="http://schemas.openxmlformats.org/officeDocument/2006/relationships/hyperlink" Target="https://www.iwkoeln.de/fileadmin/user_upload/Studien/IW-Trends/PDF/2026/IW-Trends_2026-01-03_Deschermeier_et_al.pdf" TargetMode="External"/><Relationship Id="rId46" Type="http://schemas.openxmlformats.org/officeDocument/2006/relationships/hyperlink" Target="https://www.gesetze-im-internet.de/hgb/" TargetMode="External"/><Relationship Id="rId47" Type="http://schemas.openxmlformats.org/officeDocument/2006/relationships/hyperlink" Target="https://www.bundesgesundheitsministerium.de/ministerium/gesetze-und-verordnungen/guv-20-lp/pueg" TargetMode="External"/><Relationship Id="rId48" Type="http://schemas.openxmlformats.org/officeDocument/2006/relationships/hyperlink" Target="https://www.gesetze-im-internet.de/inso/" TargetMode="External"/><Relationship Id="rId49" Type="http://schemas.openxmlformats.org/officeDocument/2006/relationships/hyperlink" Target="https://dkf-kda.de/werkzeugkoffer-wi/" TargetMode="External"/><Relationship Id="rId50" Type="http://schemas.openxmlformats.org/officeDocument/2006/relationships/hyperlink" Target="https://www.gesetze-im-internet.de/kstg_1977/__23.html" TargetMode="External"/><Relationship Id="rId51" Type="http://schemas.openxmlformats.org/officeDocument/2006/relationships/hyperlink" Target="https://www.dkgev.de/fileadmin/Mediapool/3_Service/3.1_DKI-Analysen_und_Gutachten/2024_12_13_Bericht_Internationale_Talente.pdf" TargetMode="External"/><Relationship Id="rId52" Type="http://schemas.openxmlformats.org/officeDocument/2006/relationships/hyperlink" Target="https://www.ihk.de/koeln/hauptnavigation/gruendung-finanzierung-nachfolge/gruendungszuschuss2-5142612" TargetMode="External"/><Relationship Id="rId53" Type="http://schemas.openxmlformats.org/officeDocument/2006/relationships/hyperlink" Target="https://statistik.arbeitsagentur.de/DE/Statischer-Content/Statistiken/Themen-im-Fokus/Berufe/Generische-Publikationen/Arbeitsmarktsituation-in-Pflegeberufen.pdf" TargetMode="External"/><Relationship Id="rId54" Type="http://schemas.openxmlformats.org/officeDocument/2006/relationships/hyperlink" Target="https://www.kfw.de/inlandsfoerderung/Unternehmen/Gr%C3%BCnden-Nachfolgen/F%C3%B6rderprodukte/ERP-Gr%C3%BCnderkredit-Startgeld-%28067%29/" TargetMode="External"/><Relationship Id="rId55" Type="http://schemas.openxmlformats.org/officeDocument/2006/relationships/hyperlink" Target="https://pflegenetzwerk-deutschland.de/thema-internationale-fachkraefte-gut-integrieren" TargetMode="External"/><Relationship Id="rId56" Type="http://schemas.openxmlformats.org/officeDocument/2006/relationships/hyperlink" Target="https://www.nrwbank.de/de/foerderung/foerderprodukte/15262/nrwmikrodarlehen.html" TargetMode="External"/><Relationship Id="rId57" Type="http://schemas.openxmlformats.org/officeDocument/2006/relationships/header" Target="header2.xml"/><Relationship Id="rId5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 Businessplan 2026</dc:title>
  <dc:subject>Workforce Housing, Arrival Management und Integration</dc:subject>
  <dc:creator>Zaki Amawi</dc:creator>
  <cp:keywords>AMAVIO, Living, Workforce Housing, Arrival Management, Integration, Businessplan, Finanzmodell</cp:keywords>
  <dc:description>P0 remediation integrated: financing convention, cash-model qualification and P1 operating systems.</dc:description>
  <cp:lastModifiedBy>Zaki Amawi</cp:lastModifiedBy>
  <cp:revision>1</cp:revision>
  <dcterms:created xsi:type="dcterms:W3CDTF">2013-12-23T23:15:00Z</dcterms:created>
  <dcterms:modified xsi:type="dcterms:W3CDTF">2026-07-28T00:00:00Z</dcterms:modified>
  <cp:category/>
</cp:coreProperties>
</file>