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922"/>
      </w:tblGrid>
      <w:tr>
        <w:tc>
          <w:tcPr>
            <w:tcW w:type="dxa" w:w="9922"/>
            <w:shd w:fill="D7B98D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p>
      <w:pPr>
        <w:pStyle w:val="Title"/>
        <w:spacing w:before="180"/>
      </w:pPr>
      <w:r>
        <w:t>Digital-Tech-to-Product: Go/No-Go-Memo für AMAVIO One</w:t>
      </w:r>
    </w:p>
    <w:p>
      <w:pPr>
        <w:spacing w:after="240"/>
      </w:pPr>
      <w:r>
        <w:rPr>
          <w:rFonts w:ascii="Aptos" w:hAnsi="Aptos"/>
          <w:color w:val="155B5D"/>
          <w:sz w:val="20"/>
        </w:rPr>
        <w:t>Reife-, Finanzierungs- und Antragsprüfung</w:t>
      </w:r>
    </w:p>
    <w:p>
      <w:pPr>
        <w:widowControl/>
      </w:pPr>
      <w:r>
        <w:rPr>
          <w:rFonts w:ascii="Aptos" w:hAnsi="Aptos"/>
          <w:b/>
        </w:rPr>
        <w:t>Stand:</w:t>
      </w:r>
      <w:r>
        <w:rPr>
          <w:rFonts w:ascii="Aptos" w:hAnsi="Aptos"/>
          <w:b w:val="0"/>
        </w:rPr>
        <w:t xml:space="preserve"> 24.09.2026</w:t>
      </w:r>
    </w:p>
    <w:p>
      <w:pPr>
        <w:widowControl/>
      </w:pPr>
      <w:r>
        <w:rPr>
          <w:rFonts w:ascii="Aptos" w:hAnsi="Aptos"/>
          <w:b/>
        </w:rPr>
        <w:t>Aufruf:</w:t>
      </w:r>
      <w:r>
        <w:rPr>
          <w:rFonts w:ascii="Aptos" w:hAnsi="Aptos"/>
          <w:b w:val="0"/>
        </w:rPr>
        <w:t xml:space="preserve"> erster Förderaufruf vom 16.09.2026</w:t>
      </w:r>
    </w:p>
    <w:p>
      <w:pPr>
        <w:widowControl/>
      </w:pPr>
      <w:r>
        <w:rPr>
          <w:rFonts w:ascii="Aptos" w:hAnsi="Aptos"/>
          <w:b/>
        </w:rPr>
        <w:t>Skizzenfrist:</w:t>
      </w:r>
      <w:r>
        <w:rPr>
          <w:rFonts w:ascii="Aptos" w:hAnsi="Aptos"/>
          <w:b w:val="0"/>
        </w:rPr>
        <w:t xml:space="preserve"> 11.10.2026</w:t>
      </w:r>
    </w:p>
    <w:p>
      <w:pPr>
        <w:widowControl/>
      </w:pPr>
      <w:r>
        <w:rPr>
          <w:rFonts w:ascii="Aptos" w:hAnsi="Aptos"/>
          <w:b/>
        </w:rPr>
        <w:t>Entscheidung:</w:t>
      </w:r>
      <w:r>
        <w:rPr>
          <w:rFonts w:ascii="Aptos" w:hAnsi="Aptos"/>
          <w:b w:val="0"/>
        </w:rPr>
        <w:t xml:space="preserve"> NO-GO für einen Solo-Antrag im ersten Aufruf</w:t>
      </w:r>
    </w:p>
    <w:p>
      <w:pPr>
        <w:pStyle w:val="Heading1"/>
      </w:pPr>
      <w:r>
        <w:t>1. Strategische Passung</w:t>
      </w:r>
    </w:p>
    <w:p>
      <w:pPr>
        <w:widowControl/>
      </w:pPr>
      <w:r>
        <w:rPr>
          <w:rFonts w:ascii="Aptos" w:hAnsi="Aptos"/>
          <w:b w:val="0"/>
        </w:rPr>
        <w:t>AMAVIO One hat grundsätzlich Anschluss an mehrere Schwerpunkte: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Datenökosystem für Arbeitgeber, Beschäftigte und lokale Partner;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kontrollierte Datenflüsse und rollenbasierte Zugriffe;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offene Schnittstellen und spätere Interoperabilität;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Security by Design für sensible Workforce-Arrival-Daten;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perspektivisch verantwortungsvolle KI-Unterstützung.</w:t>
      </w:r>
    </w:p>
    <w:p>
      <w:pPr>
        <w:widowControl/>
      </w:pPr>
      <w:r>
        <w:rPr>
          <w:rFonts w:ascii="Aptos" w:hAnsi="Aptos"/>
          <w:b w:val="0"/>
        </w:rPr>
        <w:t>Die thematische Passung ist hoch. Thematische Passung ersetzt jedoch nicht Technologiereife, Bonität und Durchführungsfähigkeit.</w:t>
      </w:r>
    </w:p>
    <w:p>
      <w:pPr>
        <w:pStyle w:val="Heading1"/>
      </w:pPr>
      <w:r>
        <w:t>2. Offizielle Kerngates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064E5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064E55"/>
              <w:left w:val="single" w:sz="8" w:color="064E55"/>
              <w:bottom w:val="single" w:sz="8" w:color="064E55"/>
              <w:right w:val="single" w:sz="8" w:color="064E55"/>
              <w:insideH w:val="single" w:sz="8" w:color="064E55"/>
              <w:insideV w:val="single" w:sz="8" w:color="064E55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Gate</w:t>
            </w:r>
          </w:p>
        </w:tc>
        <w:tc>
          <w:tcPr>
            <w:tcW w:type="dxa" w:w="2480"/>
            <w:shd w:fill="064E5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064E55"/>
              <w:left w:val="single" w:sz="8" w:color="064E55"/>
              <w:bottom w:val="single" w:sz="8" w:color="064E55"/>
              <w:right w:val="single" w:sz="8" w:color="064E55"/>
              <w:insideH w:val="single" w:sz="8" w:color="064E55"/>
              <w:insideV w:val="single" w:sz="8" w:color="064E55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Programmanforderung</w:t>
            </w:r>
          </w:p>
        </w:tc>
        <w:tc>
          <w:tcPr>
            <w:tcW w:type="dxa" w:w="2480"/>
            <w:shd w:fill="064E5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064E55"/>
              <w:left w:val="single" w:sz="8" w:color="064E55"/>
              <w:bottom w:val="single" w:sz="8" w:color="064E55"/>
              <w:right w:val="single" w:sz="8" w:color="064E55"/>
              <w:insideH w:val="single" w:sz="8" w:color="064E55"/>
              <w:insideV w:val="single" w:sz="8" w:color="064E55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AMAVIO-Stand</w:t>
            </w:r>
          </w:p>
        </w:tc>
        <w:tc>
          <w:tcPr>
            <w:tcW w:type="dxa" w:w="2480"/>
            <w:shd w:fill="064E5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064E55"/>
              <w:left w:val="single" w:sz="8" w:color="064E55"/>
              <w:bottom w:val="single" w:sz="8" w:color="064E55"/>
              <w:right w:val="single" w:sz="8" w:color="064E55"/>
              <w:insideH w:val="single" w:sz="8" w:color="064E55"/>
              <w:insideV w:val="single" w:sz="8" w:color="064E55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Urteil</w:t>
            </w:r>
          </w:p>
        </w:tc>
      </w:tr>
      <w:tr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Reifegrad</w:t>
            </w:r>
          </w:p>
        </w:tc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Schwerpunkt etwa TRL 6 bis 8; TRL 4 bis 5 nur nachgeordnet</w:t>
            </w:r>
          </w:p>
        </w:tc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Lastenheft, Datenstruktur, Website-/Produktdarstellung; kein integrierter Technologiedemonstrator dokumentiert</w:t>
            </w:r>
          </w:p>
        </w:tc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nicht erfüllt</w:t>
            </w:r>
          </w:p>
        </w:tc>
      </w:tr>
      <w:tr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Market Pull</w:t>
            </w:r>
          </w:p>
        </w:tc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belastbarer Nutzerbedarf, möglichst Kundenfeedback, Pilotkunden oder Tests</w:t>
            </w:r>
          </w:p>
        </w:tc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Zielsegmente und Vertriebsplan definiert; keine LoIs oder bezahlten Piloten dokumentiert</w:t>
            </w:r>
          </w:p>
        </w:tc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teilweise</w:t>
            </w:r>
          </w:p>
        </w:tc>
      </w:tr>
      <w:tr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Technologie-Stack</w:t>
            </w:r>
          </w:p>
        </w:tc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bestehender Stack, Anbieter, Datenorte, Abhängigkeiten und Exit-Fähigkeit</w:t>
            </w:r>
          </w:p>
        </w:tc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Optionen beschrieben, aber noch keine verbindliche Produktarchitektur</w:t>
            </w:r>
          </w:p>
        </w:tc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nicht erfüllt</w:t>
            </w:r>
          </w:p>
        </w:tc>
      </w:tr>
      <w:tr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Team</w:t>
            </w:r>
          </w:p>
        </w:tc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notwendige Qualifikation und Kapazität zur Durchführung</w:t>
            </w:r>
          </w:p>
        </w:tc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Gründerfit belegt; kein benanntes technisches Kernteam</w:t>
            </w:r>
          </w:p>
        </w:tc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nicht erfüllt</w:t>
            </w:r>
          </w:p>
        </w:tc>
      </w:tr>
      <w:tr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Bonität</w:t>
            </w:r>
          </w:p>
        </w:tc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Eigenmittel, Finanzierung und ordnungsgemäße Mittelverwendung nachweisen</w:t>
            </w:r>
          </w:p>
        </w:tc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25.000-EUR-Gründungsfinanzierung geplant; kein FuE-Projektbudget oder Vorfinanzierungsnachweis</w:t>
            </w:r>
          </w:p>
        </w:tc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nicht erfüllt</w:t>
            </w:r>
          </w:p>
        </w:tc>
      </w:tr>
      <w:tr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Eigenanteil</w:t>
            </w:r>
          </w:p>
        </w:tc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mindestens 20 Prozent der zuwendungsfähigen Kosten/Ausgaben</w:t>
            </w:r>
          </w:p>
        </w:tc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für ein großes Entwicklungsprojekt nicht belegt</w:t>
            </w:r>
          </w:p>
        </w:tc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nicht erfüllt</w:t>
            </w:r>
          </w:p>
        </w:tc>
      </w:tr>
      <w:tr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Gesellschaft</w:t>
            </w:r>
          </w:p>
        </w:tc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KMU beziehungsweise zulässiger Verbundpartner spätestens zur Antragstellung</w:t>
            </w:r>
          </w:p>
        </w:tc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operative AMAVIO One GmbH noch nicht gegründet</w:t>
            </w:r>
          </w:p>
        </w:tc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offen</w:t>
            </w:r>
          </w:p>
        </w:tc>
      </w:tr>
      <w:tr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Vorhabensbeginn</w:t>
            </w:r>
          </w:p>
        </w:tc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keine Aufnahme der Tätigkeiten oder zurechenbarer Liefer-/Leistungsvertrag vor Bewilligung</w:t>
            </w:r>
          </w:p>
        </w:tc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Produktvorarbeiten vorhanden; neues Fördervorhaben müsste sauber abgegrenzt werden</w:t>
            </w:r>
          </w:p>
        </w:tc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klärbar</w:t>
            </w:r>
          </w:p>
        </w:tc>
      </w:tr>
    </w:tbl>
    <w:p>
      <w:pPr>
        <w:spacing w:after="0"/>
      </w:pPr>
    </w:p>
    <w:p>
      <w:pPr>
        <w:pStyle w:val="Heading1"/>
      </w:pPr>
      <w:r>
        <w:t>3. Vorläufige Bewertung nach Auswahlkriterien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c>
          <w:tcPr>
            <w:tcW w:type="dxa" w:w="2480"/>
            <w:shd w:fill="064E5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064E55"/>
              <w:left w:val="single" w:sz="8" w:color="064E55"/>
              <w:bottom w:val="single" w:sz="8" w:color="064E55"/>
              <w:right w:val="single" w:sz="8" w:color="064E55"/>
              <w:insideH w:val="single" w:sz="8" w:color="064E55"/>
              <w:insideV w:val="single" w:sz="8" w:color="064E55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Kriterium</w:t>
            </w:r>
          </w:p>
        </w:tc>
        <w:tc>
          <w:tcPr>
            <w:tcW w:type="dxa" w:w="2480"/>
            <w:shd w:fill="064E5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064E55"/>
              <w:left w:val="single" w:sz="8" w:color="064E55"/>
              <w:bottom w:val="single" w:sz="8" w:color="064E55"/>
              <w:right w:val="single" w:sz="8" w:color="064E55"/>
              <w:insideH w:val="single" w:sz="8" w:color="064E55"/>
              <w:insideV w:val="single" w:sz="8" w:color="064E55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Gewichtung</w:t>
            </w:r>
          </w:p>
        </w:tc>
        <w:tc>
          <w:tcPr>
            <w:tcW w:type="dxa" w:w="2480"/>
            <w:shd w:fill="064E5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064E55"/>
              <w:left w:val="single" w:sz="8" w:color="064E55"/>
              <w:bottom w:val="single" w:sz="8" w:color="064E55"/>
              <w:right w:val="single" w:sz="8" w:color="064E55"/>
              <w:insideH w:val="single" w:sz="8" w:color="064E55"/>
              <w:insideV w:val="single" w:sz="8" w:color="064E55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AMAVIO heute</w:t>
            </w:r>
          </w:p>
        </w:tc>
        <w:tc>
          <w:tcPr>
            <w:tcW w:type="dxa" w:w="2480"/>
            <w:shd w:fill="064E55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8" w:color="064E55"/>
              <w:left w:val="single" w:sz="8" w:color="064E55"/>
              <w:bottom w:val="single" w:sz="8" w:color="064E55"/>
              <w:right w:val="single" w:sz="8" w:color="064E55"/>
              <w:insideH w:val="single" w:sz="8" w:color="064E55"/>
              <w:insideV w:val="single" w:sz="8" w:color="064E55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5"/>
              </w:rPr>
              <w:t>Begründung</w:t>
            </w:r>
          </w:p>
        </w:tc>
      </w:tr>
      <w:tr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Impact</w:t>
            </w:r>
          </w:p>
        </w:tc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40 %</w:t>
            </w:r>
          </w:p>
        </w:tc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4/5</w:t>
            </w:r>
          </w:p>
        </w:tc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relevante Fachkräfte-, Integrations- und Arbeitgeberproblematik; überregional skalierbar</w:t>
            </w:r>
          </w:p>
        </w:tc>
      </w:tr>
      <w:tr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Digitale Souveränität</w:t>
            </w:r>
          </w:p>
        </w:tc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30 %</w:t>
            </w:r>
          </w:p>
        </w:tc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2/5</w:t>
            </w:r>
          </w:p>
        </w:tc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Zielbild plausibel, aber Stack, Exit-Fähigkeit und europäische Datenkontrolle noch nicht umgesetzt</w:t>
            </w:r>
          </w:p>
        </w:tc>
      </w:tr>
      <w:tr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Innovativität</w:t>
            </w:r>
          </w:p>
        </w:tc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15 %</w:t>
            </w:r>
          </w:p>
        </w:tc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3/5</w:t>
            </w:r>
          </w:p>
        </w:tc>
        <w:tc>
          <w:tcPr>
            <w:tcW w:type="dxa" w:w="2480"/>
            <w:shd w:fill="F8F1E8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integrierte Workforce-Arrival-Logik differenziert, technische Neuheit noch nicht demonstriert</w:t>
            </w:r>
          </w:p>
        </w:tc>
      </w:tr>
      <w:tr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Umsetzungsansatz</w:t>
            </w:r>
          </w:p>
        </w:tc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15 %</w:t>
            </w:r>
          </w:p>
        </w:tc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1/5</w:t>
            </w:r>
          </w:p>
        </w:tc>
        <w:tc>
          <w:tcPr>
            <w:tcW w:type="dxa" w:w="2480"/>
            <w:shd w:fill="F7F8F4"/>
            <w:tcMar>
              <w:top w:w="75" w:type="dxa"/>
              <w:start w:w="90" w:type="dxa"/>
              <w:bottom w:w="75" w:type="dxa"/>
              <w:end w:w="90" w:type="dxa"/>
            </w:tcMar>
            <w:tcBorders>
              <w:top w:val="single" w:sz="8" w:color="D9D0C3"/>
              <w:left w:val="single" w:sz="8" w:color="D9D0C3"/>
              <w:bottom w:val="single" w:sz="8" w:color="D9D0C3"/>
              <w:right w:val="single" w:sz="8" w:color="D9D0C3"/>
              <w:insideH w:val="single" w:sz="8" w:color="D9D0C3"/>
              <w:insideV w:val="single" w:sz="8" w:color="D9D0C3"/>
            </w:tcBorders>
          </w:tcPr>
          <w:p>
            <w:pPr>
              <w:spacing w:after="0"/>
            </w:pPr>
            <w:r>
              <w:rPr>
                <w:rFonts w:ascii="Aptos" w:hAnsi="Aptos"/>
                <w:color w:val="101414"/>
                <w:sz w:val="14"/>
              </w:rPr>
              <w:t>Technikteam, TRL-Nachweise, Pilotpartner, Budget und 24-Monats-Plan fehlen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Aptos" w:hAnsi="Aptos"/>
          <w:b/>
        </w:rPr>
        <w:t>Gewichtete Arbeitsbewertung:</w:t>
      </w:r>
      <w:r>
        <w:rPr>
          <w:rFonts w:ascii="Aptos" w:hAnsi="Aptos"/>
          <w:b w:val="0"/>
        </w:rPr>
        <w:t xml:space="preserve"> 2,80 von 5. Das liegt deutlich unter einer verantwortbaren Skizzenreife.</w:t>
      </w:r>
    </w:p>
    <w:p>
      <w:pPr>
        <w:pStyle w:val="Heading1"/>
      </w:pPr>
      <w:r>
        <w:t>4. Warum kein Schnellschuss empfohlen wird</w:t>
      </w:r>
    </w:p>
    <w:p>
      <w:pPr>
        <w:widowControl/>
      </w:pPr>
      <w:r>
        <w:rPr>
          <w:rFonts w:ascii="Aptos" w:hAnsi="Aptos"/>
          <w:b w:val="0"/>
        </w:rPr>
        <w:t>Eine kurzfristige Skizze könnte zwar die Plattformvision sprachlich groß darstellen, würde aber die zentralen Gutachterfragen nicht beantworten: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Was funktioniert heute bereits technisch?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Welche ungelöste technische Unsicherheit wird bearbeitet?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Welche Nutzer haben den Bedarf bestätigt?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Wer entwickelt und betreibt das Produkt?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Welche kritischen außereuropäischen Abhängigkeiten werden konkret reduziert?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Wie wird der Eigenanteil finanziert und das Projekt vorfinanziert?</w:t>
      </w:r>
    </w:p>
    <w:p>
      <w:pPr>
        <w:widowControl/>
      </w:pPr>
      <w:r>
        <w:rPr>
          <w:rFonts w:ascii="Aptos" w:hAnsi="Aptos"/>
          <w:b w:val="0"/>
        </w:rPr>
        <w:t>Eine schwache Skizze kostet Zeit, erzeugt einen wenig überzeugenden Erstkontakt zum Projektträger und kann die spätere Positionierung beschädigen.</w:t>
      </w:r>
    </w:p>
    <w:p>
      <w:pPr>
        <w:pStyle w:val="Heading1"/>
      </w:pPr>
      <w:r>
        <w:t>5. Readiness-Pfad für eine Folgerunde</w:t>
      </w:r>
    </w:p>
    <w:p>
      <w:pPr>
        <w:pStyle w:val="Heading2"/>
      </w:pPr>
      <w:r>
        <w:t>In 0 bis 8 Wochen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verbindliche Produktarchitektur und primären Stack wählen;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funktionsfähigen Proof of Concept für Arrival Workflow, Arbeitgeberansicht und Beschäftigtenfluss bauen;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Datenschutzrollen, Datenflüsse, Hostingregion und Exit-Pfade dokumentieren;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CTO-/Technikpartnerrolle verbindlich besetzen.</w:t>
      </w:r>
    </w:p>
    <w:p>
      <w:pPr>
        <w:pStyle w:val="Heading2"/>
      </w:pPr>
      <w:r>
        <w:t>In 2 bis 4 Monaten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mindestens zwei Design-Partner-LoIs gewinnen;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integrierten MVP mit anonymisierten Daten testen;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technische Test- und Sicherheitsprotokolle anlegen;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messbare Nutzer- und Marktbelege sammeln.</w:t>
      </w:r>
    </w:p>
    <w:p>
      <w:pPr>
        <w:pStyle w:val="Heading2"/>
      </w:pPr>
      <w:r>
        <w:t>In 4 bis 8 Monaten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Demonstrator in relevanter Arbeitgeberumgebung einsetzen;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TRL 4 bis 6 anhand nachvollziehbarer Evidenz dokumentieren;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FuE-Arbeitspakete von Standardentwicklung trennen;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Projektbudget, Eigenanteil, Vorfinanzierung und Bonität sichern;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digitale Souveränität durch offene Schnittstellen, Datenkontrolle, europäische Betriebsoptionen und dokumentierte Exit-Fähigkeit belegen.</w:t>
      </w:r>
    </w:p>
    <w:p>
      <w:pPr>
        <w:pStyle w:val="Heading1"/>
      </w:pPr>
      <w:r>
        <w:t>6. Zulässiger nächster Kontakt</w:t>
      </w:r>
    </w:p>
    <w:p>
      <w:pPr>
        <w:widowControl/>
      </w:pPr>
      <w:r>
        <w:rPr>
          <w:rFonts w:ascii="Aptos" w:hAnsi="Aptos"/>
          <w:b w:val="0"/>
        </w:rPr>
        <w:t>Ein unverbindliches Beratungsgespräch mit dem Projektträger kann sinnvoll sein, aber nur mit ehrlicher Statusdarstellung: frühe Produktphase, aktuell noch kein TRL-6-System, Interesse an Folgerunden beziehungsweise an den Mindestanforderungen für einen späteren Antrag. Kein aktueller Antrag und keine Förderfähigkeit sollten behauptet werden.</w:t>
      </w:r>
    </w:p>
    <w:p>
      <w:pPr>
        <w:widowControl/>
      </w:pPr>
      <w:r>
        <w:rPr>
          <w:rFonts w:ascii="Aptos" w:hAnsi="Aptos"/>
          <w:b w:val="0"/>
        </w:rPr>
        <w:t>Kontakt laut FAQ: `dttp@tuv.com`</w:t>
      </w:r>
    </w:p>
    <w:p>
      <w:pPr>
        <w:pStyle w:val="Heading1"/>
      </w:pPr>
      <w:r>
        <w:t>7. Quellen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https://bmds.bund.de/themen/digitalpolitik/foerderprogramm-digital-tech-to-product/erster-foerderaufruf-digital-tech-to-product</w:t>
      </w:r>
    </w:p>
    <w:p>
      <w:pPr>
        <w:pStyle w:val="ListBullet"/>
        <w:spacing w:after="40"/>
        <w:ind w:left="255" w:hanging="102"/>
      </w:pPr>
      <w:r>
        <w:rPr>
          <w:rFonts w:ascii="Aptos" w:hAnsi="Aptos"/>
          <w:b w:val="0"/>
        </w:rPr>
        <w:t>https://bmds.bund.de/themen/digitalpolitik/foerderprogramm-digital-tech-to-product/faq-fuer-skizzeneinreicher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992" w:bottom="765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933"/>
      <w:gridCol w:w="4933"/>
    </w:tblGrid>
    <w:tr>
      <w:tc>
        <w:tcPr>
          <w:tcW w:type="dxa" w:w="7937"/>
        </w:tcPr>
        <w:p>
          <w:r>
            <w:rPr>
              <w:rFonts w:ascii="Aptos" w:hAnsi="Aptos"/>
              <w:color w:val="155B5D"/>
              <w:sz w:val="13"/>
            </w:rPr>
            <w:t>Interne Förderentscheidung | Nicht eingereicht | Stand 24.09.2026</w:t>
          </w:r>
        </w:p>
      </w:tc>
      <w:tc>
        <w:tcPr>
          <w:tcW w:type="dxa" w:w="1701"/>
        </w:tcPr>
        <w:p>
          <w:pPr>
            <w:jc w:val="right"/>
          </w:pPr>
          <w:r>
            <w:rPr>
              <w:color w:val="155B5D"/>
              <w:sz w:val="14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 Display" w:hAnsi="Aptos Display"/>
        <w:b/>
        <w:color w:val="064E55"/>
        <w:sz w:val="18"/>
      </w:rPr>
      <w:t>AMAVIO</w:t>
    </w:r>
    <w:r>
      <w:rPr>
        <w:rFonts w:ascii="Aptos" w:hAnsi="Aptos"/>
        <w:color w:val="155B5D"/>
        <w:sz w:val="14"/>
      </w:rPr>
      <w:t xml:space="preserve">  |  WORKFORCE ARRIVAL MANAGEMENT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4" w:line="245" w:lineRule="auto"/>
    </w:pPr>
    <w:rPr>
      <w:rFonts w:ascii="Aptos" w:hAnsi="Aptos" w:eastAsia="Aptos"/>
      <w:color w:val="10141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64E5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55B5D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64E55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0141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