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four loosely related marketing ideas into a single research system. Their insistence that every claim be tied to a measurement — and that a measurement we could not defend should not be quoted at all — is the reason this report is able to present its negative results as findings rather than hide them.</w:t>
      </w:r>
    </w:p>
    <w:p>
      <w:r>
        <w:t>We thank the academic and technical staff of the Faculty of Information Technology, University of Moratuwa, for the knowledge and facilities that made this work possible, and the evaluation panels at the proposal and interim stages, whose questions exposed weaknesses in our methodology early enough for us to correct them. Several of the experiments in Chapter 7 exist because of those questions.</w:t>
      </w:r>
    </w:p>
    <w:p>
      <w:r>
        <w:t>We acknowledge the maintainers of the open datasets on which this study depends: the Digital Marketing Campaign dataset that forms our study audience, Kevin Hillstrom's MineThatData e-mail analytics challenge dataset, whose randomised assignment is the only reason any causal claim in this report is possible, the UCI Machine Learning Repository, and the publishers of the social-media engagement corpora used in Module 4.</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one campaign rarely improves the next. The difficulty is sharpest for a newly launched product, where almost no behavioural history exists — the cold-start condition — and where conventional data-hungry marketing models are least effective.</w:t>
      </w:r>
    </w:p>
    <w:p>
      <w:r>
        <w:t>This project designs, implements and experimentally evaluates an integrated, closed-loop marketing orchestration framework built for that condition. Four modules act on one audience over one shared database: a hybrid segmentation engine combining rule-based logic with k-means and hierarchical clustering through an agreement vote; a campaign automation engine comparing fixed, trigger-based and hybrid policies; an analytics and decision-support module providing funnel analysis, attribution, prediction, uplift modelling and off-policy evaluation; and an AI content refinery that reads the client's own website, detects what that website is actually capable of, and produces platform-specific assets. The system runs behind a FastAPI service over PostgreSQL with a Next.js dashboard. The study audience is the 8,000-customer Digital Marketing Campaign dataset, imported as the customer base of a demonstration e-commerce store.</w:t>
      </w:r>
    </w:p>
    <w:p>
      <w:r>
        <w:t xml:space="preserve">Eleven experiments, each reproducible with a single command, support every claim made. The principal results are deliberately not all favourable. </w:t>
      </w:r>
      <w:r>
        <w:rPr>
          <w:b/>
        </w:rPr>
        <w:t>The hybrid segmentation engine does not separate conversion better than its own rules</w:t>
      </w:r>
      <w:r>
        <w:t xml:space="preserve"> (0.3838 against 0.3837); its value lies in calibrated confidence and an explicit cold-start segment, not in separation. A target leak in the confidence model was found to inflate certainty </w:t>
      </w:r>
      <w:r>
        <w:rPr>
          <w:b/>
        </w:rPr>
        <w:t>by a factor of 150</w:t>
      </w:r>
      <w:r>
        <w:t xml:space="preserve"> — 450 customers at confidence 1.00 against 3 — while moving accuracy by 0.0013, showing that accuracy is not what such a defect corrupts. The simulated and live builds </w:t>
      </w:r>
      <w:r>
        <w:rPr>
          <w:b/>
        </w:rPr>
        <w:t>disagree about which automation policy wins</w:t>
      </w:r>
      <w:r>
        <w:t xml:space="preserve">, so that ranking is reported as unstable. Four attribution models disagree over </w:t>
      </w:r>
      <w:r>
        <w:rPr>
          <w:b/>
        </w:rPr>
        <w:t>68 % of all attributed credit</w:t>
      </w:r>
      <w:r>
        <w:t xml:space="preserve"> on the same 7,811 converting journeys. TF-IDF and Sentence-BERT are statistically indistinguishable on the goal and tone corpora (McNemar p = 1.000 and p = 0.727), so the simpler model is chosen on cost rather than accuracy. The engagement regressor's R² of 0.99 was leakage; corrected it is −0.168, and none of eight text features survives Holm–Bonferroni correction. Targeting by uplift and by predicted response are shown on randomised data to be genuinely different policies, agreeing on only 56 % of a 30 % budget. Finally, off-policy evaluation demonstrates that without deliberate exploration the estimate of a new policy is biased </w:t>
      </w:r>
      <w:r>
        <w:rPr>
          <w:b/>
        </w:rPr>
        <w:t>upwards</w:t>
      </w:r>
      <w:r>
        <w:t xml:space="preserve"> while appearing more stable, which is why the system now logs every decision with the probability it was taken under.</w:t>
      </w:r>
    </w:p>
    <w:p>
      <w:r>
        <w:t>The contribution is not any single model but the demonstration that these four functions can be operated as one measurable feedback loop under cold-start conditions, together with a methodology — derived provenance, mandatory propensity logging, generated chapters and refusal thresholds — that makes overstating a result structurally difficult.</w:t>
      </w:r>
    </w:p>
    <w:p>
      <w:r>
        <w:rPr>
          <w:b/>
        </w:rPr>
        <w:t>Index Terms</w:t>
      </w:r>
      <w:r>
        <w:t xml:space="preserve"> — digital marketing orchestration, cold start, hybrid segmentation, marketing automation, multi-touch attribution, uplift modelling, off-policy evaluation, AI content generation, reproducible research.</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is the primary means by which organisations acquire, engage, convert and retain customers. A modern campaign spans email, social platforms, paid advertising, search and the organisation's own website, and every one of those channels produces behavioural data that could, in principle, improve the next campaign. In practice it rarely does. The tools that perform segmentation, automation, analytics and content production are separate products with separate data models, and the marketer is left to carry insight between them by hand.</w:t>
      </w:r>
    </w:p>
    <w:p>
      <w:r>
        <w:t>The consequence is that digital marketing is executed as a series of disconnected actions rather than as a learning process. Segmentation output does not inform the automation policy; analytics describe what already happened without prescribing what to do next; content is produced without reference to which platform actually earned the last conversion; and — the point this project arrives at only in its final stage — nothing in the pipeline records the information that would be needed to tell whether a change to the policy was an improvement.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targets the hardest case deliberately: a </w:t>
      </w:r>
      <w:r>
        <w:rPr>
          <w:b/>
        </w:rPr>
        <w:t>newly launched product</w:t>
      </w:r>
      <w:r>
        <w:t xml:space="preserve"> for which almost no behavioural history exists.</w:t>
      </w:r>
    </w:p>
    <w:p>
      <w:r>
        <w:t>What distinguishes this report from a system description is the evidence behind it. Eleven experiments were designed and run against the delivered system; each writes its own tables, each figure in Chapter 7 is drawn from those tables rather than plotted by hand, and the chapter itself is generated from the results file. Several of those experiments returned answers the team did not want. They are reported as headlines.</w:t>
      </w:r>
    </w:p>
    <w:p>
      <w:pPr>
        <w:pStyle w:val="Heading2"/>
      </w:pPr>
      <w:r>
        <w:t>1.2 Background and Motivation</w:t>
      </w:r>
    </w:p>
    <w:p>
      <w:r>
        <w:t>Four observations motivated this work.</w:t>
      </w:r>
    </w:p>
    <w:p>
      <w:r>
        <w:rPr>
          <w:b/>
        </w:rPr>
        <w:t>Fragmentation is the normal state of marketing technology.</w:t>
      </w:r>
      <w:r>
        <w:t xml:space="preserve"> Commercial platforms such as HubSpot, Mailchimp, Salesforce Marketing Cloud and Adobe Experience Platform each solve part of the problem well, but integration between customer intelligence, campaign execution and decision support is shallow. Academic work mirrors the division: studies address segmentation, or automation, or attribution, but seldom the interaction between them. Where integration is proposed it is usually described architecturally rather than evaluated experimentally, so the effect of joining the components is asserted rather than measured.</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attribution models need multi-touch journeys. At launch none of these exist in sufficient quantity, and precisely the organisations that most need marketing efficiency are the ones the literature serves least well.</w:t>
      </w:r>
    </w:p>
    <w:p>
      <w:r>
        <w:rPr>
          <w:b/>
        </w:rPr>
        <w:t>Descriptive analytics is not decision support.</w:t>
      </w:r>
      <w:r>
        <w:t xml:space="preserve"> Existing tools report clicks, impressions and conversion counts. They say what happened; they do not say which audience to contact next, on which platform, with which message. Turning measurement into a prescribed action — and then measuring whether that action worked — is what closes the loop, and it is the part that is generally missing.</w:t>
      </w:r>
    </w:p>
    <w:p>
      <w:r>
        <w:rPr>
          <w:b/>
        </w:rPr>
        <w:t>A recommendation cannot be improved unless the system records what it would take to evaluate it.</w:t>
      </w:r>
      <w:r>
        <w:t xml:space="preserve"> This motivation emerged during the project rather than before it. Ranking customers by predicted conversion answers the question </w:t>
      </w:r>
      <w:r>
        <w:rPr>
          <w:i/>
        </w:rPr>
        <w:t>who is most likely to convert</w:t>
      </w:r>
      <w:r>
        <w:t xml:space="preserve">, which is not the question a marketer is asking — that question is </w:t>
      </w:r>
      <w:r>
        <w:rPr>
          <w:i/>
        </w:rPr>
        <w:t>for whom does contacting them change the outcome</w:t>
      </w:r>
      <w:r>
        <w:t>. Establishing the difference required a dataset with randomised assignment, and acting on it required the system to begin logging every decision with the probability it was taken under. Both appear in Chapter 7 as experiments E8 and E9.</w:t>
      </w:r>
    </w:p>
    <w:p>
      <w:r>
        <w:t>A fifth motivation is methodological. While converting the interim-stage notebooks into a running system, the team found several defects in its own research code that had produced impressive but invalid results. Every one of them made a number look better than it was, and none produced an error message. That experience shaped the project's design as much as any requirement in the proposal, and it is documented in Section 6.7.</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 — and whose recommendations can be evaluated from the data the system itself records.</w:t>
      </w:r>
    </w:p>
    <w:p>
      <w:r>
        <w:t>This decomposes into six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cannot represent the statement </w:t>
      </w:r>
      <w:r>
        <w:rPr>
          <w:i/>
        </w:rPr>
        <w:t>there is not enough evidence about this person</w:t>
      </w:r>
      <w:r>
        <w:t xml:space="preserve"> at all — it must place everyone somewhere.</w:t>
      </w:r>
    </w:p>
    <w:p>
      <w:pPr>
        <w:pStyle w:val="ListNumber"/>
        <w:spacing w:after="80" w:line="312" w:lineRule="auto"/>
        <w:jc w:val="both"/>
      </w:pPr>
      <w:r>
        <w:rPr>
          <w:b/>
        </w:rPr>
        <w:t>Automation policies are asserted rather than compared.</w:t>
      </w:r>
      <w:r>
        <w:t xml:space="preserve"> Fixed, trigger-based and hybrid campaign policies are advocated in the literature but rarely evaluated against one another on the same users under the same conditions, and rarely with operational cost reported beside outcome.</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journey volumes a launch-stage product cannot supply. Worse, models are usually compared only with each other, because observational data has no ground truth.</w:t>
      </w:r>
    </w:p>
    <w:p>
      <w:pPr>
        <w:pStyle w:val="ListNumber"/>
        <w:spacing w:after="80" w:line="312" w:lineRule="auto"/>
        <w:jc w:val="both"/>
      </w:pPr>
      <w:r>
        <w:rPr>
          <w:b/>
        </w:rPr>
        <w:t>Analytics does not prescribe, and prescribes the wrong thing when it does.</w:t>
      </w:r>
      <w:r>
        <w:t xml:space="preserve"> Funnel reports identify drop-off without recommending the correction; and a recommender that ranks by predicted response is answering a different question from the one a campaign asks.</w:t>
      </w:r>
    </w:p>
    <w:p>
      <w:pPr>
        <w:pStyle w:val="ListNumber"/>
        <w:spacing w:after="80" w:line="312" w:lineRule="auto"/>
        <w:jc w:val="both"/>
      </w:pPr>
      <w:r>
        <w:rPr>
          <w:b/>
        </w:rPr>
        <w:t>Generated content is disconnected from performance, and from capability.</w:t>
      </w:r>
      <w:r>
        <w:t xml:space="preserve"> AI content tools optimise for fluency, not for the platform that produced conversions, and will happily recommend an action — </w:t>
      </w:r>
      <w:r>
        <w:rPr>
          <w:i/>
        </w:rPr>
        <w:t>drive to checkout</w:t>
      </w:r>
      <w:r>
        <w:t xml:space="preserve"> — that the client's website cannot perform.</w:t>
      </w:r>
    </w:p>
    <w:p>
      <w:pPr>
        <w:pStyle w:val="ListNumber"/>
        <w:spacing w:after="80" w:line="312" w:lineRule="auto"/>
        <w:jc w:val="both"/>
      </w:pPr>
      <w:r>
        <w:rPr>
          <w:b/>
        </w:rPr>
        <w:t>The system records no basis for its own improvement.</w:t>
      </w:r>
      <w:r>
        <w:t xml:space="preserve"> A deterministic policy assigns probability zero to every action it does not take, so its own logs cannot be used to estimate what a different policy would have achieved.</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that remains effective for newly launched products operating under cold-start and limited-data conditions; and whose every reported claim is reproducible from the system itself.</w:t>
      </w:r>
    </w:p>
    <w:p>
      <w:pPr>
        <w:pStyle w:val="Heading3"/>
      </w:pPr>
      <w:r>
        <w:t>1.4.2 Objectives</w:t>
      </w:r>
    </w:p>
    <w:p>
      <w:pPr>
        <w:pStyle w:val="ListNumber"/>
        <w:spacing w:after="80" w:line="312" w:lineRule="auto"/>
        <w:jc w:val="both"/>
      </w:pPr>
      <w:r>
        <w:t xml:space="preserve">To design and implement a hybrid segmentation engine combining rule-based logic with unsupervised clustering, and to evaluate it </w:t>
      </w:r>
      <w:r>
        <w:rPr>
          <w:b/>
        </w:rPr>
        <w:t>against each of its own components</w:t>
      </w:r>
      <w:r>
        <w:t xml:space="preserve"> on segment separation, geometric quality and cold-start survival.</w:t>
      </w:r>
    </w:p>
    <w:p>
      <w:pPr>
        <w:pStyle w:val="ListNumber"/>
        <w:spacing w:after="80" w:line="312" w:lineRule="auto"/>
        <w:jc w:val="both"/>
      </w:pPr>
      <w:r>
        <w:t>To reproduce and quantify the defects found in the project's own research code, establishing what each one actually corrupted.</w:t>
      </w:r>
    </w:p>
    <w:p>
      <w:pPr>
        <w:pStyle w:val="ListNumber"/>
        <w:spacing w:after="80" w:line="312" w:lineRule="auto"/>
        <w:jc w:val="both"/>
      </w:pPr>
      <w:r>
        <w:t>To implement fixed, trigger-based and hybrid campaign policies and compare them over repeated paired trials, reporting operational cost beside outcome, and to check whether the ranking is stable across how response is modelled.</w:t>
      </w:r>
    </w:p>
    <w:p>
      <w:pPr>
        <w:pStyle w:val="ListNumber"/>
        <w:spacing w:after="80" w:line="312" w:lineRule="auto"/>
        <w:jc w:val="both"/>
      </w:pPr>
      <w:r>
        <w:t>To implement and compare first-touch, last-touch, linear and Markov attribution against a known ground truth where one exists, and to quantify their disagreement where one does not.</w:t>
      </w:r>
    </w:p>
    <w:p>
      <w:pPr>
        <w:pStyle w:val="ListNumber"/>
        <w:spacing w:after="80" w:line="312" w:lineRule="auto"/>
        <w:jc w:val="both"/>
      </w:pPr>
      <w:r>
        <w:t>To build conversion and drop-off models, validate them against a baseline with intervals, and state explicitly what applying them to a different audience does and does not preserve.</w:t>
      </w:r>
    </w:p>
    <w:p>
      <w:pPr>
        <w:pStyle w:val="ListNumber"/>
        <w:spacing w:after="80" w:line="312" w:lineRule="auto"/>
        <w:jc w:val="both"/>
      </w:pPr>
      <w:r>
        <w:t>To determine whether the simpler text representation is genuinely competitive with a transformer embedding on the available corpora, using a test appropriate to two classifiers on one test set.</w:t>
      </w:r>
    </w:p>
    <w:p>
      <w:pPr>
        <w:pStyle w:val="ListNumber"/>
        <w:spacing w:after="80" w:line="312" w:lineRule="auto"/>
        <w:jc w:val="both"/>
      </w:pPr>
      <w:r>
        <w:t>To establish whether the engagement corpus contains any usable text signal, correcting for multiple comparisons, and to set the model's influence on content ranking according to the answer.</w:t>
      </w:r>
    </w:p>
    <w:p>
      <w:pPr>
        <w:pStyle w:val="ListNumber"/>
        <w:spacing w:after="80" w:line="312" w:lineRule="auto"/>
        <w:jc w:val="both"/>
      </w:pPr>
      <w:r>
        <w:t>To establish, on data with randomised assignment, whether targeting by uplift and targeting by predicted response are different policies — and to state carefully what that evidence does and does not support.</w:t>
      </w:r>
    </w:p>
    <w:p>
      <w:pPr>
        <w:pStyle w:val="ListNumber"/>
        <w:spacing w:after="80" w:line="312" w:lineRule="auto"/>
        <w:jc w:val="both"/>
      </w:pPr>
      <w:r>
        <w:t>To make the system's own recommendations evaluable by logging every decision with its propensity, and to validate the estimator against a known answer, including the cost of the exploration it requires.</w:t>
      </w:r>
    </w:p>
    <w:p>
      <w:pPr>
        <w:pStyle w:val="ListNumber"/>
        <w:spacing w:after="80" w:line="312" w:lineRule="auto"/>
        <w:jc w:val="both"/>
      </w:pPr>
      <w:r>
        <w:t>To detect what a client's website is actually capable of, so that the action set is a property of the site, and to measure what a larger action set costs in data.</w:t>
      </w:r>
    </w:p>
    <w:p>
      <w:pPr>
        <w:pStyle w:val="ListNumber"/>
        <w:spacing w:after="80" w:line="312" w:lineRule="auto"/>
        <w:jc w:val="both"/>
      </w:pPr>
      <w:r>
        <w:t>To integrate the four modules into one platform over a shared database with a dashboard, and to establish mechanisms that make presenting a reconstructed or simulated result as a measured one structurally difficult.</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w:t>
      </w:r>
    </w:p>
    <w:p>
      <w:r>
        <w:t>Module 1 converts raw behavioural data into labelled audience segments. Three methods run in parallel over the same feature matrix — a rule-based segmenter encoding marketing heuristics, k-means clustering and agglomerative hierarchical clustering — and their outputs are combined by an agreement vote that also yields a calibrated confidence. Five segments are shared across the system: High Intent, Loyal Customer, Price Sensitive, Low Engagement and New Cold User.</w:t>
      </w:r>
    </w:p>
    <w:p>
      <w:r>
        <w:t xml:space="preserve">The load-bearing element is the </w:t>
      </w:r>
      <w:r>
        <w:rPr>
          <w:i/>
        </w:rPr>
        <w:t>order</w:t>
      </w:r>
      <w:r>
        <w:t xml:space="preserve"> of the vote. A customer with almost no history has no distinguishing behavioural signature, so clustering places them at the nearest centroid and the fact that they are new is lost. In the delivered engine the cold-start rule is resolved immediately after unanimity, </w:t>
      </w:r>
      <w:r>
        <w:rPr>
          <w:b/>
        </w:rPr>
        <w:t>before</w:t>
      </w:r>
      <w:r>
        <w:t xml:space="preserve"> any clustering comparison. Section 7.3.2 shows what happens when it is not.</w:t>
      </w:r>
    </w:p>
    <w:p>
      <w:pPr>
        <w:pStyle w:val="Heading3"/>
      </w:pPr>
      <w:r>
        <w:t>1.5.2 Module 2 — Marketing Automation and Campaign Management</w:t>
      </w:r>
    </w:p>
    <w:p>
      <w:r>
        <w:t>Module 2 consumes segments and executes campaigns. Its research purpose is comparative: three policies operate on the same population under the same conditions, so that any difference is attributable to the policy alone.</w:t>
      </w:r>
    </w:p>
    <w:p>
      <w:pPr>
        <w:pStyle w:val="ListBullet"/>
        <w:spacing w:after="80" w:line="312" w:lineRule="auto"/>
        <w:jc w:val="both"/>
      </w:pPr>
      <w:r>
        <w:rPr>
          <w:b/>
        </w:rPr>
        <w:t>Fixed workflow</w:t>
      </w:r>
      <w:r>
        <w:t xml:space="preserve"> — an identical scheduled sequence for every customer; the baseline, and the cheapest to operate.</w:t>
      </w:r>
    </w:p>
    <w:p>
      <w:pPr>
        <w:pStyle w:val="ListBullet"/>
        <w:spacing w:after="80" w:line="312" w:lineRule="auto"/>
        <w:jc w:val="both"/>
      </w:pPr>
      <w:r>
        <w:rPr>
          <w:b/>
        </w:rPr>
        <w:t>Trigger-based</w:t>
      </w:r>
      <w:r>
        <w:t xml:space="preserve"> — the next action is selected from the customer's most recent observed event.</w:t>
      </w:r>
    </w:p>
    <w:p>
      <w:pPr>
        <w:pStyle w:val="ListBullet"/>
        <w:spacing w:after="80" w:line="312" w:lineRule="auto"/>
        <w:jc w:val="both"/>
      </w:pPr>
      <w:r>
        <w:rPr>
          <w:b/>
        </w:rPr>
        <w:t>Hybrid</w:t>
      </w:r>
      <w:r>
        <w:t xml:space="preserve"> — scheduling, behavioural triggers, segment labels and a learned response probability combined in one policy engine.</w:t>
      </w:r>
    </w:p>
    <w:p>
      <w:r>
        <w:t>Execution produces interaction events which become the primary input to Module 3. Policies are compared on conversions per thousand messages rather than per-customer conversion rate, because the latter rewards a policy simply for sending more, and the operational cost of each policy is reported in the same table as its outcome.</w:t>
      </w:r>
    </w:p>
    <w:p>
      <w:pPr>
        <w:pStyle w:val="Heading3"/>
      </w:pPr>
      <w:r>
        <w:t>1.5.3 Module 3 — Marketing Analytics and Decision Support</w:t>
      </w:r>
    </w:p>
    <w:p>
      <w:r>
        <w:t>Module 3 is the intelligence layer. It converts the interaction log into a funnel with drop-off attributed by stage, segment and policy; a comparison of four attribution models; calibrated conversion and drop-off predictions; and ranked, actionable recommendations naming the audience, the action and the platform.</w:t>
      </w:r>
    </w:p>
    <w:p>
      <w:r>
        <w:t xml:space="preserve">Two capabilities were added after the interim stage in response to experimental findings, and they are the module's strongest contributions. </w:t>
      </w:r>
      <w:r>
        <w:rPr>
          <w:b/>
        </w:rPr>
        <w:t>Uplift modelling</w:t>
      </w:r>
      <w:r>
        <w:t xml:space="preserve"> addresses the discovery that ranking by predicted response answers the wrong question. </w:t>
      </w:r>
      <w:r>
        <w:rPr>
          <w:b/>
        </w:rPr>
        <w:t>Off-policy evaluation over a propensity-logged decision record</w:t>
      </w:r>
      <w:r>
        <w:t xml:space="preserve"> addresses the discovery that no borrowed dataset can answer the right question for this system's own actions — so the system must record what it needs to answer it itself, including a deliberate fraction of randomised decisions.</w:t>
      </w:r>
    </w:p>
    <w:p>
      <w:pPr>
        <w:pStyle w:val="Heading3"/>
      </w:pPr>
      <w:r>
        <w:t>1.5.4 Module 4 — AI Content Refinery and Multi-Platform Distribution</w:t>
      </w:r>
    </w:p>
    <w:p>
      <w:r>
        <w:t>Module 4 crawls the client's own website, extracts a business summary and brand vocabulary, classifies campaign goal and tone, and generates platform-specific assets — captions, hashtags, calls to action, image prompts and short-video briefs.</w:t>
      </w:r>
    </w:p>
    <w:p>
      <w:r>
        <w:t xml:space="preserve">It also performs </w:t>
      </w:r>
      <w:r>
        <w:rPr>
          <w:b/>
        </w:rPr>
        <w:t>capability detection</w:t>
      </w:r>
      <w:r>
        <w:t>: reading the site to establish what it can actually do — sell, take subscriptions, capture leads, accept donations — so that the action catalogue offered to Module 3 is a property of the website rather than a fixed list. Each generated asset is scored on semantic similarity to the source material, rule-based platform suitability and predicted engagement, with the weight of the last set by what Section 7.3.7 shows it is worth.</w:t>
      </w:r>
    </w:p>
    <w:p>
      <w:pPr>
        <w:pStyle w:val="Heading3"/>
      </w:pPr>
      <w:r>
        <w:t>1.5.5 Flow of the Overall System</w:t>
      </w:r>
    </w:p>
    <w:p>
      <w:r>
        <w:t>Figure 1 shows the end-to-end flow. The audience — 8,000 imported customers of a demonstration e-commerce store, plus any live browser sessions — is segmented by Module 1. Module 2 selects and executes a campaign action per segment. The resulting interaction events, and every decision taken with the probability it was taken under, are logged. Module 3 analyses those events and produces predictions and recommendations; Module 4 generates content for the next cycle using Module 3's platform priorities and the site's detected capabilities.</w:t>
      </w:r>
    </w:p>
    <w:p>
      <w:pPr>
        <w:keepNext/>
        <w:keepLines/>
        <w:spacing w:before="360" w:after="120" w:line="240" w:lineRule="auto"/>
        <w:jc w:val="center"/>
      </w:pPr>
      <w:r>
        <w:drawing>
          <wp:inline xmlns:a="http://schemas.openxmlformats.org/drawingml/2006/main" xmlns:pic="http://schemas.openxmlformats.org/drawingml/2006/picture">
            <wp:extent cx="5760720" cy="329568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295682"/>
                    </a:xfrm>
                    <a:prstGeom prst="rect"/>
                  </pic:spPr>
                </pic:pic>
              </a:graphicData>
            </a:graphic>
          </wp:inline>
        </w:drawing>
      </w:r>
    </w:p>
    <w:p>
      <w:pPr>
        <w:pStyle w:val="Caption"/>
        <w:keepLines/>
        <w:spacing w:before="40" w:after="400" w:line="240" w:lineRule="auto"/>
      </w:pPr>
      <w:r>
        <w:rPr>
          <w:b w:val="0"/>
          <w:i w:val="0"/>
        </w:rPr>
        <w:t>Figure 1 — Closed-loop flow of the overall orchestration framework. The loop closes twice: through analytics feedback, and through the propensity-logged decision record that makes the policy itself evaluable.</w:t>
      </w:r>
    </w:p>
    <w:p>
      <w:r>
        <w:t>The loop is genuine rather than decorative. Module 3's attribution credit changes which platform Module 4 writes for first; the highest-scoring content asset becomes the opening message of the next campaign plan; and the decision log makes it possible to estimate what a candidate policy would have achieved without deploying it to anybody. Chapter 7 reports the measurement of each of these paths.</w:t>
      </w:r>
    </w:p>
    <w:p>
      <w:r>
        <w:br w:type="page"/>
      </w:r>
    </w:p>
    <w:p>
      <w:pPr>
        <w:pStyle w:val="Heading1"/>
      </w:pPr>
      <w:r>
        <w:t>CHAPTER 2 — RELATED WORK</w:t>
      </w:r>
    </w:p>
    <w:p>
      <w:pPr>
        <w:pStyle w:val="Heading2"/>
      </w:pPr>
      <w:r>
        <w:t>2.1 Introduction</w:t>
      </w:r>
    </w:p>
    <w:p>
      <w:r>
        <w:t>This chapter reviews the research this project builds on and positions the proposed framework against it. It is organised in four parts: work addressing the marketing pipeline as a whole (Section 2.2); work specific to each module (Section 2.3); work on causal targeting and off-policy evaluation, which the project reached only after its interim stage (Section 2.4); and the research gaps that follow (Section 2.5). Throughout, the review asks two questions that are decisive here — whether a technique remains usable when interaction data is scarce, and whether its output is connected to any downstream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give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gap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whether better segmentation actually improves campaign outcomes is rarely measured, because the two are rarely measured together. Second, the cost of integration is invisible. This project responds by implementing the pipeline end to end and reporting the interaction effects it produces — including, in Section 7.3.1, one that is smaller than the team expected.</w:t>
      </w:r>
    </w:p>
    <w:p>
      <w:r>
        <w:t>Commercial systems do integrate these functions, but as closed products they publish neither their methods nor controlled comparisons, and their models are trained on the mature customer bases of established enterprises. Their cold-start behaviour is undocumented and their results are not reproducible.</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carries — in particular k-means's assumption of roughly spherical, similarly sized clusters and its requirement that </w:t>
      </w:r>
      <w:r>
        <w:rPr>
          <w:i/>
        </w:rPr>
        <w:t>k</w:t>
      </w:r>
      <w:r>
        <w:t xml:space="preserve"> be fixed in advance. Alves Gomes and Meisen [3] review segmentation for e-commerce personalisation and find that cluster-quality metrics dominate the evaluation literature while downstream marketing outcomes are rarely reported.</w:t>
      </w:r>
    </w:p>
    <w:p>
      <w:r>
        <w:t xml:space="preserve">Hybrid approaches combining business rules with clustering are proposed to retain interpretability while gaining adaptability, and are reported to improve personalisation reliability relative to either alone. What that literature does not address is </w:t>
      </w:r>
      <w:r>
        <w:rPr>
          <w:b/>
        </w:rPr>
        <w:t>arbitration</w:t>
      </w:r>
      <w:r>
        <w:t>: when the rule and the cluster disagree, which wins? This project found the answer to be consequential in two separate ways. Resolving disagreement in favour of clustering silently destroys the cold-start segment (Section 7.3.2), and — measured directly against its own components — the hybrid does not separate conversion better than the rules at all (Section 7.3.1). Neither finding is available to a study that does not run the ablation.</w:t>
      </w:r>
    </w:p>
    <w:p>
      <w:r>
        <w:t xml:space="preserve">The cold-start problem itself is well characterised in recommender systems. Schein et al. [42] define the methods and metrics; Bobadilla et al. [5] and Ricci et al. [40] survey the mitigations. That work concerns recommending </w:t>
      </w:r>
      <w:r>
        <w:rPr>
          <w:i/>
        </w:rPr>
        <w:t>items</w:t>
      </w:r>
      <w:r>
        <w:t xml:space="preserve"> to users with no history. The analogous marketing problem — </w:t>
      </w:r>
      <w:r>
        <w:rPr>
          <w:i/>
        </w:rPr>
        <w:t>segmenting</w:t>
      </w:r>
      <w:r>
        <w:t xml:space="preserve"> users who have no history, for a product that has none either — receives markedly less attention, and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and report improved relevance at the cost of growing rule complexity. Kumar and Reinartz [27] propose a blended approach in which a stable base workflow is modulated by predicted engagement probability.</w:t>
      </w:r>
    </w:p>
    <w:p>
      <w:r>
        <w:t>Predictive campaign optimisation applies supervised learning to response prediction; Provost and Fawcett [37] set out the practical framing. Sutton and Barto [44] provide the foundation for reinforcement-learning approaches to sequential campaign decisions, attractive in principle but requiring extensive interaction histories and carefully designed rewards, which restricts them to warm-start settings.</w:t>
      </w:r>
    </w:p>
    <w:p>
      <w:r>
        <w:t>Two gaps persist. Controlled comparison is rare: the three policies are seldom run on the same users under the same conditions, so reported differences confound policy with population. And operational cost is almost never measured alongside effectiveness, although it is decisive in practice. Module 2 addresses both by running all three policies over an identical 8,000-customer cohort across thirty paired seeds, and reporting rule count and message volume beside conversion.</w:t>
      </w:r>
    </w:p>
    <w:p>
      <w:pPr>
        <w:pStyle w:val="Heading3"/>
      </w:pPr>
      <w:r>
        <w:t>2.3.3 Marketing Analytics and Attribution</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metric. Its limitation is that funnel reporting is descriptive: it identifies the leak without prescribing the repair.</w:t>
      </w:r>
    </w:p>
    <w:p>
      <w:r>
        <w:t>Attribution modelling assigns conversion credit across touchpoints. First- and last-touch attribution are computationally trivial and, as Dalessandro et al. [11] argue, causally unsound — they assign all credit to one interaction on the basis of position alone. Shao and Li [43] present data-driven multi-touch attribution learning contribution weights from interaction sequences.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addresses this on both sides. Where journeys are simulated the true channel influence is known by construction, so each model can be scored by mean absolute error. Where they are not, the module reports </w:t>
      </w:r>
      <w:r>
        <w:rPr>
          <w:b/>
        </w:rPr>
        <w:t>disagreement</w:t>
      </w:r>
      <w:r>
        <w:t xml:space="preserve"> instead of accuracy, and Section 7.3.4 shows that disagreement to reach 68 % of all attributed credit.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Sentence embeddings [53]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remain among the features. This project encountered exactly that defect in its own code and reports the corrected result — no demonstrable skill, and no text feature surviving multiple-comparison correction — as a finding rather than removing the model.</w:t>
      </w:r>
    </w:p>
    <w:p>
      <w:r>
        <w:t>Finally, the literature almost never connects content generation either to campaign analytics or to what the client can actually do. Generated content is evaluated on linguistic quality in isolation. Module 4 consumes Module 3's attribution output to order platform generation, and detects site capability so that the system does not recommend an action the website cannot perform.</w:t>
      </w:r>
    </w:p>
    <w:p>
      <w:pPr>
        <w:pStyle w:val="Heading2"/>
      </w:pPr>
      <w:r>
        <w:t>2.4 Causal Targeting and Off-Policy Evaluation</w:t>
      </w:r>
    </w:p>
    <w:p>
      <w:r>
        <w:t>This section covers the literature the project reached only after its interim evaluation, and it is where the strongest results in Chapter 7 come from.</w:t>
      </w:r>
    </w:p>
    <w:p>
      <w:r>
        <w:rPr>
          <w:b/>
        </w:rPr>
        <w:t>Uplift modelling.</w:t>
      </w:r>
      <w:r>
        <w:t xml:space="preserve"> Radcliffe and Surry [39] and Gutierrez and Gérardy [51] formalise the distinction between predicting response and predicting the </w:t>
      </w:r>
      <w:r>
        <w:rPr>
          <w:i/>
        </w:rPr>
        <w:t>incremental effect of an intervention</w:t>
      </w:r>
      <w:r>
        <w:t>. A customer who would have converted anyway contributes to a response model's accuracy while contributing nothing to the campaign; a customer whose behaviour the message actually changes is what the campaign is for. The S-learner and T-learner formulations, and the Qini curve used to evaluate them, come from this literature. Its practical constraint is severe and is respected here: uplift is identifiable only where assignment was randomised, which is why Experiment E8 uses Hillstrom's randomised dataset [58] and why the report explicitly declines to compute uplift on its own audience.</w:t>
      </w:r>
    </w:p>
    <w:p>
      <w:r>
        <w:rPr>
          <w:b/>
        </w:rPr>
        <w:t>Off-policy evaluation.</w:t>
      </w:r>
      <w:r>
        <w:t xml:space="preserve"> Horvitz and Thompson [59] give the inverse-propensity estimator; Dudík et al. [60] develop the doubly-robust variant; Swaminathan and Joachims [61] cover self-normalisation and its bias–variance behaviour. The core result this project depends on is that these estimators are unbiased only when every action had non-zero probability of being taken — which a deterministic policy violates by construction. Li et al. [62] demonstrate unbiased offline evaluation of news recommendation from logged data with recorded propensities. This is the literature that converts a vague intention to </w:t>
      </w:r>
      <w:r>
        <w:rPr>
          <w:i/>
        </w:rPr>
        <w:t>learn from feedback</w:t>
      </w:r>
      <w:r>
        <w:t xml:space="preserve"> into a specific engineering requirement: log the propensity, and explore on purpose.</w:t>
      </w:r>
    </w:p>
    <w:p>
      <w:r>
        <w:t xml:space="preserve">What this body of work does not supply is a marketing system that actually records it. The gap Module 3 addresses is not the estimator — that is well established — but the finding, measured in Section 7.3.9, that a deterministic log looks </w:t>
      </w:r>
      <w:r>
        <w:rPr>
          <w:i/>
        </w:rPr>
        <w:t>more</w:t>
      </w:r>
      <w:r>
        <w:t xml:space="preserve"> trustworthy by the usual diagnostic while being biased upwards, and the consequence that exploration has to be designed in rather than hoped for.</w:t>
      </w:r>
    </w:p>
    <w:p>
      <w:pPr>
        <w:pStyle w:val="Heading2"/>
      </w:pPr>
      <w:r>
        <w:t>2.5 Research Gaps</w:t>
      </w:r>
    </w:p>
    <w:p>
      <w:r>
        <w:t>The review identifies eight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Segmentation, automation, analytics and content are studied and built separately; integration is asserted, not measured.</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in the vote and a minimum-audience refusal rule (§4.2, §7.3.1).</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Hybrid segmentation is proposed without arbitration rules or an ablation against its own components.</w:t>
            </w:r>
          </w:p>
        </w:tc>
        <w:tc>
          <w:tcPr>
            <w:tcW w:type="dxa" w:w="2890"/>
          </w:tcPr>
          <w:p>
            <w:pPr>
              <w:spacing w:after="40" w:line="240" w:lineRule="auto"/>
              <w:jc w:val="center"/>
            </w:pPr>
            <w:r/>
            <w:r>
              <w:rPr>
                <w:b w:val="0"/>
                <w:sz w:val="20"/>
              </w:rPr>
              <w:t>Full ablation over the same customers; the negative result reported as the headline (§7.3.1).</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Automation policies are asserted, not compared under controlled conditions.</w:t>
            </w:r>
          </w:p>
        </w:tc>
        <w:tc>
          <w:tcPr>
            <w:tcW w:type="dxa" w:w="2890"/>
          </w:tcPr>
          <w:p>
            <w:pPr>
              <w:spacing w:after="40" w:line="240" w:lineRule="auto"/>
              <w:jc w:val="center"/>
            </w:pPr>
            <w:r/>
            <w:r>
              <w:rPr>
                <w:b w:val="0"/>
                <w:sz w:val="20"/>
              </w:rPr>
              <w:t>Three policies, 8,000 customers, 30 paired seeds, cost reported beside outcome (§7.3.3).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Attribution models are compared to each other, not to a ground truth, and disagreement is not quantified.</w:t>
            </w:r>
          </w:p>
        </w:tc>
        <w:tc>
          <w:tcPr>
            <w:tcW w:type="dxa" w:w="2890"/>
          </w:tcPr>
          <w:p>
            <w:pPr>
              <w:spacing w:after="40" w:line="240" w:lineRule="auto"/>
              <w:jc w:val="center"/>
            </w:pPr>
            <w:r/>
            <w:r>
              <w:rPr>
                <w:b w:val="0"/>
                <w:sz w:val="20"/>
              </w:rPr>
              <w:t>MAE against known influence where it exists; total disagreement where it does not (§7.3.4).</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Recommenders rank by predicted response, which is not the question a campaign asks.</w:t>
            </w:r>
          </w:p>
        </w:tc>
        <w:tc>
          <w:tcPr>
            <w:tcW w:type="dxa" w:w="2890"/>
          </w:tcPr>
          <w:p>
            <w:pPr>
              <w:spacing w:after="40" w:line="240" w:lineRule="auto"/>
              <w:jc w:val="center"/>
            </w:pPr>
            <w:r/>
            <w:r>
              <w:rPr>
                <w:b w:val="0"/>
                <w:sz w:val="20"/>
              </w:rPr>
              <w:t>Uplift versus response compared on randomised data, with the limits of that evidence stated (§7.3.8).</w:t>
            </w:r>
          </w:p>
        </w:tc>
      </w:tr>
      <w:tr>
        <w:tc>
          <w:tcPr>
            <w:tcW w:type="dxa" w:w="2890"/>
          </w:tcPr>
          <w:p>
            <w:pPr>
              <w:spacing w:after="40" w:line="240" w:lineRule="auto"/>
              <w:jc w:val="left"/>
            </w:pPr>
            <w:r/>
            <w:r>
              <w:rPr>
                <w:b w:val="0"/>
                <w:sz w:val="20"/>
              </w:rPr>
              <w:t>G7</w:t>
            </w:r>
          </w:p>
        </w:tc>
        <w:tc>
          <w:tcPr>
            <w:tcW w:type="dxa" w:w="2890"/>
          </w:tcPr>
          <w:p>
            <w:pPr>
              <w:spacing w:after="40" w:line="240" w:lineRule="auto"/>
              <w:jc w:val="center"/>
            </w:pPr>
            <w:r/>
            <w:r>
              <w:rPr>
                <w:b w:val="0"/>
                <w:sz w:val="20"/>
              </w:rPr>
              <w:t>Marketing systems record no basis for evaluating their own policy.</w:t>
            </w:r>
          </w:p>
        </w:tc>
        <w:tc>
          <w:tcPr>
            <w:tcW w:type="dxa" w:w="2890"/>
          </w:tcPr>
          <w:p>
            <w:pPr>
              <w:spacing w:after="40" w:line="240" w:lineRule="auto"/>
              <w:jc w:val="center"/>
            </w:pPr>
            <w:r/>
            <w:r>
              <w:rPr>
                <w:b w:val="0"/>
                <w:sz w:val="20"/>
              </w:rPr>
              <w:t>Propensity-logged decision record with deliberate exploration; estimator validated against a known answer (§7.3.9).</w:t>
            </w:r>
          </w:p>
        </w:tc>
      </w:tr>
      <w:tr>
        <w:tc>
          <w:tcPr>
            <w:tcW w:type="dxa" w:w="2890"/>
          </w:tcPr>
          <w:p>
            <w:pPr>
              <w:spacing w:after="40" w:line="240" w:lineRule="auto"/>
              <w:jc w:val="left"/>
            </w:pPr>
            <w:r/>
            <w:r>
              <w:rPr>
                <w:b w:val="0"/>
                <w:sz w:val="20"/>
              </w:rPr>
              <w:t>G8</w:t>
            </w:r>
          </w:p>
        </w:tc>
        <w:tc>
          <w:tcPr>
            <w:tcW w:type="dxa" w:w="2890"/>
          </w:tcPr>
          <w:p>
            <w:pPr>
              <w:spacing w:after="40" w:line="240" w:lineRule="auto"/>
              <w:jc w:val="center"/>
            </w:pPr>
            <w:r/>
            <w:r>
              <w:rPr>
                <w:b w:val="0"/>
                <w:sz w:val="20"/>
              </w:rPr>
              <w:t>Content tools ignore both measured platform performance and what the client's site can do.</w:t>
            </w:r>
          </w:p>
        </w:tc>
        <w:tc>
          <w:tcPr>
            <w:tcW w:type="dxa" w:w="2890"/>
          </w:tcPr>
          <w:p>
            <w:pPr>
              <w:spacing w:after="40" w:line="240" w:lineRule="auto"/>
              <w:jc w:val="center"/>
            </w:pPr>
            <w:r/>
            <w:r>
              <w:rPr>
                <w:b w:val="0"/>
                <w:sz w:val="20"/>
              </w:rPr>
              <w:t>Attribution-driven platform ordering and per-site capability detection (§4.5, §7.3.10).</w:t>
            </w:r>
          </w:p>
        </w:tc>
      </w:tr>
    </w:tbl>
    <w:p>
      <w:pPr>
        <w:spacing w:after="120"/>
      </w:pPr>
    </w:p>
    <w:p>
      <w:pPr>
        <w:pStyle w:val="Heading2"/>
      </w:pPr>
      <w:r>
        <w:t>2.6 Summary</w:t>
      </w:r>
    </w:p>
    <w:p>
      <w:r>
        <w:t>The reviewed literature provides mature methods for each individual marketing function but leaves four things open: the behaviour of these methods when interaction data is scarce; the measured effect of connecting them into one loop; the honest evaluation of models whose reported performance is easily inflated by leakage or by evaluation on the data that generated them; and the gap between knowing that off-policy evaluation requires logged propensities and building a marketing system that records them. These four concerns shape the approach in Chapter 4, the design in Chapter 5 and the experimental programme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all four modules behind a single service; reproducibility, so that any reported result can be regenerated by an examiner; and modest resource requirements, since the framework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importer, the model training scripts, the eleven experiments, the statistics layer and the backend service are written in Python. It was selected for the maturity of its scientific stack, its dominance in machine-learning research, and because a single language across modelling and serving removes an entire class of training/serving-skew defects: the model object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seven pages; type errors that would otherwise appear as blank charts are caught at build time. JavaScript is also used for </w:t>
      </w:r>
      <w:r>
        <w:rPr>
          <w:b/>
        </w:rPr>
        <w:t>mos.js</w:t>
      </w:r>
      <w:r>
        <w:t>, the first-party tracking snippet installed on the site under study, which is deliberately dependency-free and small so that it does not slow the host page.</w:t>
      </w:r>
    </w:p>
    <w:p>
      <w:pPr>
        <w:pStyle w:val="Heading3"/>
      </w:pPr>
      <w:r>
        <w:t>3.2.3 SQL</w:t>
      </w:r>
    </w:p>
    <w:p>
      <w:r>
        <w:t>SQL is treated as a first-class part of the system rather than an implementation detail, because one SQL definition — `VISITOR_FEATURES_SQL` — carries a load-bearing research property. It sums imported per-visit counts and live per-page events identically, so a single feature definition serves both data sources without either having to pretend to be the other. This is explained in Section 6.2.3.</w:t>
      </w:r>
    </w:p>
    <w:p>
      <w:pPr>
        <w:pStyle w:val="Heading2"/>
      </w:pPr>
      <w:r>
        <w:t>3.3 Machine Learning and Data Science Libraries</w:t>
      </w:r>
    </w:p>
    <w:p>
      <w:pPr>
        <w:pStyle w:val="ListBullet"/>
        <w:spacing w:after="80" w:line="312" w:lineRule="auto"/>
        <w:jc w:val="both"/>
      </w:pPr>
      <w:r>
        <w:rPr>
          <w:b/>
        </w:rPr>
        <w:t>scikit-learn</w:t>
      </w:r>
      <w:r>
        <w:t xml:space="preserve"> [36]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[57] — gradient-boosted trees for conversion and drop-off prediction in Module 3, for engagement regression in Module 4, and as the base learner in the uplift S- and T-learners.</w:t>
      </w:r>
    </w:p>
    <w:p>
      <w:pPr>
        <w:pStyle w:val="ListBullet"/>
        <w:spacing w:after="80" w:line="312" w:lineRule="auto"/>
        <w:jc w:val="both"/>
      </w:pPr>
      <w:r>
        <w:rPr>
          <w:b/>
        </w:rPr>
        <w:t>pandas and NumPy</w:t>
      </w:r>
      <w:r>
        <w:t xml:space="preserve"> [32], [46] — tabular handling, feature engineering and numerical computation throughout.</w:t>
      </w:r>
    </w:p>
    <w:p>
      <w:pPr>
        <w:pStyle w:val="ListBullet"/>
        <w:spacing w:after="80" w:line="312" w:lineRule="auto"/>
        <w:jc w:val="both"/>
      </w:pPr>
      <w:r>
        <w:rPr>
          <w:b/>
        </w:rPr>
        <w:t>SciPy and statsmodels</w:t>
      </w:r>
      <w:r>
        <w:t xml:space="preserve"> — the Wilcoxon signed-rank test, exact binomial tests and correlation analysis underlying `research/stats.py`.</w:t>
      </w:r>
    </w:p>
    <w:p>
      <w:pPr>
        <w:pStyle w:val="ListBullet"/>
        <w:spacing w:after="80" w:line="312" w:lineRule="auto"/>
        <w:jc w:val="both"/>
      </w:pPr>
      <w:r>
        <w:rPr>
          <w:b/>
        </w:rPr>
        <w:t>SHAP</w:t>
      </w:r>
      <w:r>
        <w:t xml:space="preserve"> [29] — model-agnostic explanation of the conversion and drop-off models, so predictions can be defended rather than merely reported.</w:t>
      </w:r>
    </w:p>
    <w:p>
      <w:pPr>
        <w:pStyle w:val="ListBullet"/>
        <w:spacing w:after="80" w:line="312" w:lineRule="auto"/>
        <w:jc w:val="both"/>
      </w:pPr>
      <w:r>
        <w:rPr>
          <w:b/>
        </w:rPr>
        <w:t>sentence-transformers</w:t>
      </w:r>
      <w:r>
        <w:t xml:space="preserve"> [53] — Sentence-BERT embeddings for semantic similarity scoring in Module 4 and as one of the two candidate representations for the goal and tone classifiers.</w:t>
      </w:r>
    </w:p>
    <w:p>
      <w:pPr>
        <w:pStyle w:val="ListBullet"/>
        <w:spacing w:after="80" w:line="312" w:lineRule="auto"/>
        <w:jc w:val="both"/>
      </w:pPr>
      <w:r>
        <w:rPr>
          <w:b/>
        </w:rPr>
        <w:t>Matplotlib and Seaborn</w:t>
      </w:r>
      <w:r>
        <w:t xml:space="preserve"> — every figure in Chapter 7, drawn by `research/figures.py` directly from the experiment tables.</w:t>
      </w:r>
    </w:p>
    <w:p>
      <w:pPr>
        <w:pStyle w:val="Heading2"/>
      </w:pPr>
      <w:r>
        <w:t>3.4 Web Application and API Frameworks</w:t>
      </w:r>
    </w:p>
    <w:p>
      <w:pPr>
        <w:pStyle w:val="ListBullet"/>
        <w:spacing w:after="80" w:line="312" w:lineRule="auto"/>
        <w:jc w:val="both"/>
      </w:pPr>
      <w:r>
        <w:rPr>
          <w:b/>
        </w:rPr>
        <w:t>FastAPI</w:t>
      </w:r>
      <w:r>
        <w:t xml:space="preserve"> [54]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[55], [41] — the marketer dashboard: Overview, Plan,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[56], [35] — the single shared data layer. Relational storage was appropriate because the modules exchange well-structured entities with strict referential relationships, and because the integrity constraints described in Section 5.5 are enforced as database-level derivations rather than application conventions. It runs on port 5434 as a Homebrew service where one is available and in Docker otherwise.</w:t>
      </w:r>
    </w:p>
    <w:p>
      <w:pPr>
        <w:pStyle w:val="ListBullet"/>
        <w:spacing w:after="80" w:line="312" w:lineRule="auto"/>
        <w:jc w:val="both"/>
      </w:pPr>
      <w:r>
        <w:rPr>
          <w:b/>
        </w:rPr>
        <w:t>Docker and Docker Compose</w:t>
      </w:r>
      <w:r>
        <w:t xml:space="preserve"> — the containerised database path, so the system can be reproduced on a machine with no local PostgreSQL installation.</w:t>
      </w:r>
    </w:p>
    <w:p>
      <w:pPr>
        <w:pStyle w:val="Heading2"/>
      </w:pPr>
      <w:r>
        <w:t>3.6 Development, Testing and Reproducibility Tools</w:t>
      </w:r>
    </w:p>
    <w:p>
      <w:pPr>
        <w:pStyle w:val="ListBullet"/>
        <w:spacing w:after="80" w:line="312" w:lineRule="auto"/>
        <w:jc w:val="both"/>
      </w:pPr>
      <w:r>
        <w:rPr>
          <w:b/>
        </w:rPr>
        <w:t>pytest</w:t>
      </w:r>
      <w:r>
        <w:t xml:space="preserve"> — the automated suite: 260 collected tests covering data contracts, API behaviour, tracking, segmentation, campaign actions, content generation, authentication, tenant isolation, the decision log, the research importer, the statistics layer and the experiments themselves.</w:t>
      </w:r>
    </w:p>
    <w:p>
      <w:pPr>
        <w:pStyle w:val="ListBullet"/>
        <w:spacing w:after="80" w:line="312" w:lineRule="auto"/>
        <w:jc w:val="both"/>
      </w:pPr>
      <w:r>
        <w:rPr>
          <w:b/>
        </w:rPr>
        <w:t>Make</w:t>
      </w:r>
      <w:r>
        <w:t xml:space="preserve"> — the reproduction interface. `make setup`, `make db`, `make api`, `make web`, `make site`, `make demo`, `make research` and `make test` are the whole operating surface of the project, which is what allows Chapter 7 to claim reproducibility in one command.</w:t>
      </w:r>
    </w:p>
    <w:p>
      <w:pPr>
        <w:pStyle w:val="ListBullet"/>
        <w:spacing w:after="80" w:line="312" w:lineRule="auto"/>
        <w:jc w:val="both"/>
      </w:pPr>
      <w:r>
        <w:rPr>
          <w:b/>
        </w:rPr>
        <w:t>Git and GitHub</w:t>
      </w:r>
      <w:r>
        <w:t xml:space="preserve"> [7] — version control, with a branch per module during independent development and integration branches for the unified system.</w:t>
      </w:r>
    </w:p>
    <w:p>
      <w:pPr>
        <w:pStyle w:val="ListBullet"/>
        <w:spacing w:after="80" w:line="312" w:lineRule="auto"/>
        <w:jc w:val="both"/>
      </w:pPr>
      <w:r>
        <w:rPr>
          <w:b/>
        </w:rPr>
        <w:t>Visual Studio Code, PyCharm and Jupyter</w:t>
      </w:r>
      <w:r>
        <w:t xml:space="preserve"> [23] — development and exploratory analysis; the original module notebooks are retained for traceability.</w:t>
      </w:r>
    </w:p>
    <w:p>
      <w:pPr>
        <w:pStyle w:val="Heading2"/>
      </w:pPr>
      <w:r>
        <w:t>3.7 Deviations from the Interim Report</w:t>
      </w:r>
    </w:p>
    <w:p>
      <w:r>
        <w:t>Three decisions differ from the interim report and are recorded here for transparency.</w:t>
      </w:r>
    </w:p>
    <w:p>
      <w:pPr>
        <w:pStyle w:val="TableCaption"/>
      </w:pPr>
      <w:r>
        <w:rPr>
          <w:b w:val="0"/>
          <w:i w:val="0"/>
        </w:rPr>
        <w:t>Table 2 — Decisions that differ from the interim report, and the reasoning.</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provenance guarantees depend on.</w:t>
            </w:r>
          </w:p>
        </w:tc>
      </w:tr>
      <w:tr>
        <w:tc>
          <w:tcPr>
            <w:tcW w:type="dxa" w:w="2890"/>
          </w:tcPr>
          <w:p>
            <w:pPr>
              <w:spacing w:after="40" w:line="240" w:lineRule="auto"/>
              <w:jc w:val="left"/>
            </w:pPr>
            <w:r/>
            <w:r>
              <w:rPr>
                <w:b w:val="0"/>
                <w:sz w:val="20"/>
              </w:rPr>
              <w:t>The audience is supplied by uploading a CSV of customers.</w:t>
            </w:r>
          </w:p>
        </w:tc>
        <w:tc>
          <w:tcPr>
            <w:tcW w:type="dxa" w:w="2890"/>
          </w:tcPr>
          <w:p>
            <w:pPr>
              <w:spacing w:after="40" w:line="240" w:lineRule="auto"/>
              <w:jc w:val="center"/>
            </w:pPr>
            <w:r/>
            <w:r>
              <w:rPr>
                <w:b w:val="0"/>
                <w:sz w:val="20"/>
              </w:rPr>
              <w:t>The 8,000-customer dataset is imported as the customer base of a demonstration e-commerce store, which can also be browsed live.</w:t>
            </w:r>
          </w:p>
        </w:tc>
        <w:tc>
          <w:tcPr>
            <w:tcW w:type="dxa" w:w="2890"/>
          </w:tcPr>
          <w:p>
            <w:pPr>
              <w:spacing w:after="40" w:line="240" w:lineRule="auto"/>
              <w:jc w:val="center"/>
            </w:pPr>
            <w:r/>
            <w:r>
              <w:rPr>
                <w:b w:val="0"/>
                <w:sz w:val="20"/>
              </w:rPr>
              <w:t>A cold-start study is not credible if the audience arrives pre-formed. Importing the dataset through the same tracking path a live visitor uses means one code path, one feature definition and one provenance rule govern both — which is what makes the live comparison in Section 7.3.3 possible at all.</w:t>
            </w:r>
          </w:p>
        </w:tc>
      </w:tr>
    </w:tbl>
    <w:p>
      <w:pPr>
        <w:spacing w:after="120"/>
      </w:pP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(7 pages), authentication,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event collection on the site under study</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decision logging,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uplift, OPE, content</w:t>
            </w:r>
          </w:p>
        </w:tc>
      </w:tr>
      <w:tr>
        <w:tc>
          <w:tcPr>
            <w:tcW w:type="dxa" w:w="2890"/>
          </w:tcPr>
          <w:p>
            <w:pPr>
              <w:spacing w:after="40" w:line="240" w:lineRule="auto"/>
              <w:jc w:val="left"/>
            </w:pPr>
            <w:r/>
            <w:r>
              <w:rPr>
                <w:b w:val="0"/>
                <w:sz w:val="20"/>
              </w:rPr>
              <w:t>Experiments</w:t>
            </w:r>
          </w:p>
        </w:tc>
        <w:tc>
          <w:tcPr>
            <w:tcW w:type="dxa" w:w="2890"/>
          </w:tcPr>
          <w:p>
            <w:pPr>
              <w:spacing w:after="40" w:line="240" w:lineRule="auto"/>
              <w:jc w:val="center"/>
            </w:pPr>
            <w:r/>
            <w:r>
              <w:rPr>
                <w:b w:val="0"/>
                <w:sz w:val="20"/>
              </w:rPr>
              <w:t>Python, SciPy, statsmodels, Matplotlib</w:t>
            </w:r>
          </w:p>
        </w:tc>
        <w:tc>
          <w:tcPr>
            <w:tcW w:type="dxa" w:w="2890"/>
          </w:tcPr>
          <w:p>
            <w:pPr>
              <w:spacing w:after="40" w:line="240" w:lineRule="auto"/>
              <w:jc w:val="center"/>
            </w:pPr>
            <w:r/>
            <w:r>
              <w:rPr>
                <w:b w:val="0"/>
                <w:sz w:val="20"/>
              </w:rPr>
              <w:t>Eleven experiments, the statistics layer, every figure in Chapter 7</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user_segments, interactions, analytics_output, action_log,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260 tests, regression tests per defect, one-command reproduction</w:t>
            </w:r>
          </w:p>
        </w:tc>
      </w:tr>
    </w:tbl>
    <w:p>
      <w:pPr>
        <w:spacing w:after="120"/>
      </w:pPr>
    </w:p>
    <w:p>
      <w:r>
        <w:t>The stack is deliberately conventional. The research contribution of this project lies in the integration and in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experimental strategy that governs how their results are measured and reported (Section 4.7).</w:t>
      </w:r>
    </w:p>
    <w:p>
      <w:r>
        <w:t xml:space="preserve">The overall methodology is experimental rather than constructive. Each module implements at least two competing approaches — three segmentation methods, three automation policies, four attribution models, two text representations, two targeting paradigms, three off-policy estimators — so that a comparison, and not merely a demonstration, is possible. Where a comparison cannot be made honestly on the project's own audience, the approach is to find data on which it </w:t>
      </w:r>
      <w:r>
        <w:rPr>
          <w:i/>
        </w:rPr>
        <w:t>can</w:t>
      </w:r>
      <w:r>
        <w:t xml:space="preserve"> be made and to state plainly what does and does not transfer.</w:t>
      </w:r>
    </w:p>
    <w:p>
      <w:pPr>
        <w:pStyle w:val="Heading2"/>
      </w:pPr>
      <w:r>
        <w:t>4.2 Module 1 — Audience Targeting and Personalization</w:t>
      </w:r>
    </w:p>
    <w:p>
      <w:pPr>
        <w:pStyle w:val="Heading3"/>
      </w:pPr>
      <w:r>
        <w:t>4.2.1 Input</w:t>
      </w:r>
    </w:p>
    <w:p>
      <w:r>
        <w:t>Module 1 operates over two feature domains using the same algorithm. Both are reduced to a common feature matrix before the engine sees them, which is what allows one implementation to serve the research audience and a live browser audience without either being treated as a special case.</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 8,000 customers imported into the demo store</w:t>
            </w:r>
          </w:p>
        </w:tc>
        <w:tc>
          <w:tcPr>
            <w:tcW w:type="dxa" w:w="2890"/>
          </w:tcPr>
          <w:p>
            <w:pPr>
              <w:spacing w:after="40" w:line="240" w:lineRule="auto"/>
              <w:jc w:val="center"/>
            </w:pPr>
            <w:r/>
            <w:r>
              <w:rPr>
                <w:b w:val="0"/>
                <w:sz w:val="20"/>
              </w:rPr>
              <w:t>Browser sessions collected by the mos.js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and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Row shape</w:t>
            </w:r>
          </w:p>
        </w:tc>
        <w:tc>
          <w:tcPr>
            <w:tcW w:type="dxa" w:w="2890"/>
          </w:tcPr>
          <w:p>
            <w:pPr>
              <w:spacing w:after="40" w:line="240" w:lineRule="auto"/>
              <w:jc w:val="center"/>
            </w:pPr>
            <w:r/>
            <w:r>
              <w:rPr>
                <w:b w:val="0"/>
                <w:sz w:val="20"/>
              </w:rPr>
              <w:t>One event per visit, carrying that visit's counts</w:t>
            </w:r>
          </w:p>
        </w:tc>
        <w:tc>
          <w:tcPr>
            <w:tcW w:type="dxa" w:w="2890"/>
          </w:tcPr>
          <w:p>
            <w:pPr>
              <w:spacing w:after="40" w:line="240" w:lineRule="auto"/>
              <w:jc w:val="center"/>
            </w:pPr>
            <w:r/>
            <w:r>
              <w:rPr>
                <w:b w:val="0"/>
                <w:sz w:val="20"/>
              </w:rPr>
              <w:t>One event per page, carrying no count</w:t>
            </w:r>
          </w:p>
        </w:tc>
      </w:tr>
      <w:tr>
        <w:tc>
          <w:tcPr>
            <w:tcW w:type="dxa" w:w="2890"/>
          </w:tcPr>
          <w:p>
            <w:pPr>
              <w:spacing w:after="40" w:line="240" w:lineRule="auto"/>
              <w:jc w:val="left"/>
            </w:pPr>
            <w:r/>
            <w:r>
              <w:rPr>
                <w:b w:val="0"/>
                <w:sz w:val="20"/>
              </w:rPr>
              <w:t>Reconciled by</w:t>
            </w:r>
          </w:p>
        </w:tc>
        <w:tc>
          <w:tcPr>
            <w:tcW w:type="dxa" w:w="2890"/>
          </w:tcPr>
          <w:p>
            <w:pPr>
              <w:spacing w:after="40" w:line="240" w:lineRule="auto"/>
              <w:jc w:val="center"/>
            </w:pPr>
            <w:r/>
            <w:r>
              <w:rPr>
                <w:b w:val="0"/>
                <w:sz w:val="20"/>
              </w:rPr>
              <w:t>VISITOR_FEATURES_SQL, which sums both identically (§6.2.3)</w:t>
            </w:r>
          </w:p>
        </w:tc>
        <w:tc>
          <w:tcPr>
            <w:tcW w:type="dxa" w:w="2890"/>
          </w:tcPr>
          <w:p>
            <w:pPr>
              <w:spacing w:after="40" w:line="240" w:lineRule="auto"/>
              <w:jc w:val="center"/>
            </w:pPr>
            <w:r/>
            <w:r>
              <w:rPr>
                <w:b w:val="0"/>
                <w:sz w:val="20"/>
              </w:rPr>
              <w:t>The same definition</w:t>
            </w:r>
          </w:p>
        </w:tc>
      </w:tr>
    </w:tbl>
    <w:p>
      <w:pPr>
        <w:spacing w:after="120"/>
      </w:pP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 Three methods run in parallel over that identical matrix:</w:t>
      </w:r>
    </w:p>
    <w:p>
      <w:pPr>
        <w:pStyle w:val="ListNumber"/>
        <w:spacing w:after="80" w:line="312" w:lineRule="auto"/>
        <w:jc w:val="both"/>
      </w:pPr>
      <w:r>
        <w:rPr>
          <w:b/>
        </w:rPr>
        <w:t>Rule-based segmentation.</w:t>
      </w:r>
      <w:r>
        <w:t xml:space="preserve"> Marketing heuristics expressed as explicit thresholds. Fully interpretable, and the only one of the three that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and the order of its branches is the design decision that matters:</w:t>
      </w:r>
    </w:p>
    <w:p>
      <w:pPr>
        <w:pStyle w:val="ListBullet"/>
        <w:spacing w:after="80" w:line="312" w:lineRule="auto"/>
        <w:jc w:val="both"/>
      </w:pPr>
      <w:r>
        <w:rPr>
          <w:b/>
        </w:rPr>
        <w:t>① All three agree</w:t>
      </w:r>
      <w:r>
        <w:t xml:space="preserve"> — the label is taken with the highest confidence.</w:t>
      </w:r>
    </w:p>
    <w:p>
      <w:pPr>
        <w:pStyle w:val="ListBullet"/>
        <w:spacing w:after="80" w:line="312" w:lineRule="auto"/>
        <w:jc w:val="both"/>
      </w:pPr>
      <w:r>
        <w:rPr>
          <w:b/>
        </w:rPr>
        <w:t>② The rules identify a cold-start customer</w:t>
      </w:r>
      <w:r>
        <w:t xml:space="preserve"> — resolved next, </w:t>
      </w:r>
      <w:r>
        <w:rPr>
          <w:i/>
        </w:rPr>
        <w:t>before</w:t>
      </w:r>
      <w:r>
        <w:t xml:space="preserve"> any comparison between the two clusterings. A method that cannot represent a finding does not get a vote on it.</w:t>
      </w:r>
    </w:p>
    <w:p>
      <w:pPr>
        <w:pStyle w:val="ListBullet"/>
        <w:spacing w:after="80" w:line="312" w:lineRule="auto"/>
        <w:jc w:val="both"/>
      </w:pPr>
      <w:r>
        <w:rPr>
          <w:b/>
        </w:rPr>
        <w:t>③ Two of three agree</w:t>
      </w:r>
      <w:r>
        <w:t xml:space="preserve"> — the majority label, medium confidence.</w:t>
      </w:r>
    </w:p>
    <w:p>
      <w:pPr>
        <w:pStyle w:val="ListBullet"/>
        <w:spacing w:after="80" w:line="312" w:lineRule="auto"/>
        <w:jc w:val="both"/>
      </w:pPr>
      <w:r>
        <w:rPr>
          <w:b/>
        </w:rPr>
        <w:t>④ All three disagree</w:t>
      </w:r>
      <w:r>
        <w:t xml:space="preserve"> — the rule label is retained at the lowest confidence, and the confidence value is what tells a downstream module how much to trust it.</w:t>
      </w:r>
    </w:p>
    <w:p>
      <w:r>
        <w:t>Cluster names are derived from cluster centroids rather than assigned to cluster indices, so the same code produces correct names on a new audience and a new random seed. Segments below a minimum size (30 customers) are reported but excluded from the separation statistic, and below a minimum audience size the engine declines to cluster at all and says why. For a launch-stage product that is the normal condition, not an error.</w:t>
      </w:r>
    </w:p>
    <w:p>
      <w:pPr>
        <w:pStyle w:val="Heading3"/>
      </w:pPr>
      <w:r>
        <w:t>4.2.3 Output</w:t>
      </w:r>
    </w:p>
    <w:p>
      <w:r>
        <w:t xml:space="preserve">For every customer: a segment label from a fixed five-value taxonomy, the method that produced it, and a calibrated confidence,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expect the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customer's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customer. Three policies are implemented and compared under identical conditions — the same customers, the same templates, the same response model — so that any difference in outcome is attributable to the policy alone. The policy engine is the only component that differs between the three arms.</w:t>
      </w:r>
    </w:p>
    <w:p>
      <w:pPr>
        <w:pStyle w:val="TableCaption"/>
      </w:pPr>
      <w:r>
        <w:rPr>
          <w:b w:val="0"/>
          <w:i w:val="0"/>
        </w:rPr>
        <w:t>Table 6 — The three automation policies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Policy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customer</w:t>
            </w:r>
          </w:p>
        </w:tc>
        <w:tc>
          <w:tcPr>
            <w:tcW w:type="dxa" w:w="2890"/>
          </w:tcPr>
          <w:p>
            <w:pPr>
              <w:spacing w:after="40" w:line="240" w:lineRule="auto"/>
              <w:jc w:val="center"/>
            </w:pPr>
            <w:r/>
            <w:r>
              <w:rPr>
                <w:b w:val="0"/>
                <w:sz w:val="20"/>
              </w:rPr>
              <w:t>Simple and cheap to operate; no personalisation; sends the most messages</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customer's most recent observed event selects the next action</w:t>
            </w:r>
          </w:p>
        </w:tc>
        <w:tc>
          <w:tcPr>
            <w:tcW w:type="dxa" w:w="2890"/>
          </w:tcPr>
          <w:p>
            <w:pPr>
              <w:spacing w:after="40" w:line="240" w:lineRule="auto"/>
              <w:jc w:val="center"/>
            </w:pPr>
            <w:r/>
            <w:r>
              <w:rPr>
                <w:b w:val="0"/>
                <w:sz w:val="20"/>
              </w:rPr>
              <w:t>Responsive and message-efficient; stops early;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and accuracy alone would be misleading.</w:t>
      </w:r>
    </w:p>
    <w:p>
      <w:r>
        <w:t xml:space="preserve">A response simulation layer converts each campaign action into interaction events — sent, opened, clicked, ignored, converted — using segment-level propensities calibrated against the dataset's own conversion rates. The comparison is run over </w:t>
      </w:r>
      <w:r>
        <w:rPr>
          <w:b/>
        </w:rPr>
        <w:t>30 independent seeds</w:t>
      </w:r>
      <w:r>
        <w:t>, each putting the same 8,000 customers through all three policies, so the trials are paired and the statistics are paired accordingly. The same three policies are then run a second time against the imported audience in the live system, and both results are reported — including where they disagree.</w:t>
      </w:r>
    </w:p>
    <w:p>
      <w:pPr>
        <w:pStyle w:val="Heading3"/>
      </w:pPr>
      <w:r>
        <w:t>4.3.3 Output</w:t>
      </w:r>
    </w:p>
    <w:p>
      <w:r>
        <w:t xml:space="preserve">A customer-level interaction log written to </w:t>
      </w:r>
      <w:r>
        <w:rPr>
          <w:b/>
        </w:rPr>
        <w:t>interactions</w:t>
      </w:r>
      <w:r>
        <w:t xml:space="preserve">, a decision record written to </w:t>
      </w:r>
      <w:r>
        <w:rPr>
          <w:b/>
        </w:rPr>
        <w:t>action_log</w:t>
      </w:r>
      <w:r>
        <w:t>, and a policy comparison table reporting conversions per thousand sends, messages per customer and decision-rule count for each policy.</w:t>
      </w:r>
    </w:p>
    <w:p>
      <w:pPr>
        <w:pStyle w:val="Heading2"/>
      </w:pPr>
      <w:r>
        <w:t>4.4 Module 3 — Marketing Analytics and Decision Support</w:t>
      </w:r>
    </w:p>
    <w:p>
      <w:pPr>
        <w:pStyle w:val="Heading3"/>
      </w:pPr>
      <w:r>
        <w:t>4.4.1 Input</w:t>
      </w:r>
    </w:p>
    <w:p>
      <w:r>
        <w:t>The interaction log from Module 2, the segment labels from Module 1 and the propensity-logged decision record. For the controlled attribution experiment a simulator is used whose per-channel influence weights are known — the property that makes ground-truth scoring possible at all. For the targeting experiment the Hillstrom MineThatData dataset is used, because it is randomised and the project's own audience is not.</w:t>
      </w:r>
    </w:p>
    <w:p>
      <w:pPr>
        <w:pStyle w:val="Heading3"/>
      </w:pPr>
      <w:r>
        <w:t>4.4.2 Process</w:t>
      </w:r>
    </w:p>
    <w:p>
      <w:r>
        <w:t>Processing proceeds along five tracks over a common journey-level feature matrix.</w:t>
      </w:r>
    </w:p>
    <w:p>
      <w:r>
        <w:rPr>
          <w:b/>
        </w:rPr>
        <w:t>Funnel construction and drop-off analysis.</w:t>
      </w:r>
      <w:r>
        <w:t xml:space="preserve"> Journeys are assembled into the canonical sequence sent → opened → clicked → converted, and transition rates are computed overall and disaggregated by segment, channel and policy, so a loss can be localised to a stage of a specific audience under a specific policy.</w:t>
      </w:r>
    </w:p>
    <w:p>
      <w:r>
        <w:rPr>
          <w:b/>
        </w:rPr>
        <w:t>Attribution modelling.</w:t>
      </w:r>
      <w:r>
        <w:t xml:space="preserve"> Four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 xml:space="preserve">Where journeys are simulated, the true credit distribution is known by construction and each model is scored by mean absolute error against it. Where they are not — on the imported audience — no such column exists, so the module reports </w:t>
      </w:r>
      <w:r>
        <w:rPr>
          <w:b/>
        </w:rPr>
        <w:t>pairwise disagreement</w:t>
      </w:r>
      <w:r>
        <w:t xml:space="preserve"> instead of accuracy. Reporting accuracy there would require a ground truth that does not exist.</w:t>
      </w:r>
    </w:p>
    <w:p>
      <w:r>
        <w:rPr>
          <w:b/>
        </w:rPr>
        <w:t>Predictive modelling.</w:t>
      </w:r>
      <w:r>
        <w:t xml:space="preserve"> A journey-level feature matrix (counts of sends, opens and clicks; recency; journey length; average inter-event time; first and last channel; segment; policy) is used to fit logistic regression, random forest and XGBoost models for conversion probability and drop-off risk, each compared against a stratified baseline with bootstrap intervals. Applying them to the imported audience is treated explicitly as a transfer across distributions: the ranking is usable, the absolute probabilities are not calibrated for it, and the report says so.</w:t>
      </w:r>
    </w:p>
    <w:p>
      <w:r>
        <w:rPr>
          <w:b/>
        </w:rPr>
        <w:t>Uplift modelling.</w:t>
      </w:r>
      <w:r>
        <w:t xml:space="preserve"> Ranking customers by predicted conversion answers </w:t>
      </w:r>
      <w:r>
        <w:rPr>
          <w:i/>
        </w:rPr>
        <w:t>who is most likely to convert</w:t>
      </w:r>
      <w:r>
        <w:t xml:space="preserve">. A campaign needs to know </w:t>
      </w:r>
      <w:r>
        <w:rPr>
          <w:i/>
        </w:rPr>
        <w:t>for whom does contacting them change the outcome</w:t>
      </w:r>
      <w:r>
        <w:t>. S-learner and T-learner uplift models are fitted and compared against the predicted-response policy and a random baseline using Qini curves. This is done on Hillstrom's randomised data because uplift is identifiable only where assignment was randomised — and the report declines to compute it on the project's own audience, where no action was ever randomised.</w:t>
      </w:r>
    </w:p>
    <w:p>
      <w:r>
        <w:rPr>
          <w:b/>
        </w:rPr>
        <w:t>Off-policy evaluation.</w:t>
      </w:r>
      <w:r>
        <w:t xml:space="preserve"> The system records every decision, the action taken, </w:t>
      </w:r>
      <w:r>
        <w:rPr>
          <w:b/>
        </w:rPr>
        <w:t>the probability it was taken under</w:t>
      </w:r>
      <w:r>
        <w:t>, and what followed. Inverse-propensity, self-normalised and doubly-robust estimators are validated against a known answer in simulation, including the effect of the exploration rate. Ten per cent of decisions are randomised on purpose, because a deterministic policy assigns probability zero to every action it does not take and nothing can be learned from a denominator of zero.</w:t>
      </w:r>
    </w:p>
    <w:p>
      <w:r>
        <w:t>A refusal guard sits across the module: attribution is not reported below five converting journeys, and degenerate prediction distributions raise a calibration warning rather than a confident answer.</w:t>
      </w:r>
    </w:p>
    <w:p>
      <w:pPr>
        <w:pStyle w:val="Heading3"/>
      </w:pPr>
      <w:r>
        <w:t>4.4.3 Output</w:t>
      </w:r>
    </w:p>
    <w:p>
      <w:r>
        <w:t xml:space="preserve">Per-customer predicted conversion probability, drop-off risk, channel and platform credit, a recommended action and platform, written to </w:t>
      </w:r>
      <w:r>
        <w:rPr>
          <w:b/>
        </w:rPr>
        <w:t>analytics_output</w:t>
      </w:r>
      <w:r>
        <w:t xml:space="preserve">; an append-only </w:t>
      </w:r>
      <w:r>
        <w:rPr>
          <w:b/>
        </w:rPr>
        <w:t>action_log</w:t>
      </w:r>
      <w:r>
        <w:t>; a set of funnel, attribution, prediction, uplift and estimator figures; and a system-level insight summary consumed by Module 2 for campaign optimisation and Module 4 for platform priority.</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rPr>
          <w:b/>
        </w:rPr>
        <w:t>Capability detection</w:t>
      </w:r>
      <w:r>
        <w:t xml:space="preserve"> runs first. The crawler reads the site and decides what the business can actually do, as independent flags rather than as a single category — a charity that sells merchandise has both donation and commerce; a publisher running a store has commerce as well as content.</w:t>
      </w:r>
    </w:p>
    <w:p>
      <w:pPr>
        <w:pStyle w:val="TableCaption"/>
      </w:pPr>
      <w:r>
        <w:rPr>
          <w:b w:val="0"/>
          <w:i w:val="0"/>
        </w:rPr>
        <w:t>Table 8 — Detected site capabilities and the actions each unlocks.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Capability</w:t>
            </w:r>
          </w:p>
        </w:tc>
        <w:tc>
          <w:tcPr>
            <w:tcW w:type="dxa" w:w="2890"/>
            <w:shd w:val="clear" w:color="auto" w:fill="E8EEF6"/>
          </w:tcPr>
          <w:p>
            <w:pPr>
              <w:spacing w:after="40" w:line="240" w:lineRule="auto"/>
              <w:jc w:val="center"/>
            </w:pPr>
            <w:r/>
            <w:r>
              <w:rPr>
                <w:b/>
                <w:sz w:val="20"/>
              </w:rPr>
              <w:t>Evidence sought</w:t>
            </w:r>
          </w:p>
        </w:tc>
        <w:tc>
          <w:tcPr>
            <w:tcW w:type="dxa" w:w="2890"/>
            <w:shd w:val="clear" w:color="auto" w:fill="E8EEF6"/>
          </w:tcPr>
          <w:p>
            <w:pPr>
              <w:spacing w:after="40" w:line="240" w:lineRule="auto"/>
              <w:jc w:val="center"/>
            </w:pPr>
            <w:r/>
            <w:r>
              <w:rPr>
                <w:b/>
                <w:sz w:val="20"/>
              </w:rPr>
              <w:t>Actions it makes available</w:t>
            </w:r>
          </w:p>
        </w:tc>
      </w:tr>
      <w:tr>
        <w:tc>
          <w:tcPr>
            <w:tcW w:type="dxa" w:w="2890"/>
          </w:tcPr>
          <w:p>
            <w:pPr>
              <w:spacing w:after="40" w:line="240" w:lineRule="auto"/>
              <w:jc w:val="left"/>
            </w:pPr>
            <w:r/>
            <w:r>
              <w:rPr>
                <w:b w:val="0"/>
                <w:sz w:val="20"/>
              </w:rPr>
              <w:t>commerce</w:t>
            </w:r>
          </w:p>
        </w:tc>
        <w:tc>
          <w:tcPr>
            <w:tcW w:type="dxa" w:w="2890"/>
          </w:tcPr>
          <w:p>
            <w:pPr>
              <w:spacing w:after="40" w:line="240" w:lineRule="auto"/>
              <w:jc w:val="center"/>
            </w:pPr>
            <w:r/>
            <w:r>
              <w:rPr>
                <w:b w:val="0"/>
                <w:sz w:val="20"/>
              </w:rPr>
              <w:t>Basket, checkout and product paths, price markup</w:t>
            </w:r>
          </w:p>
        </w:tc>
        <w:tc>
          <w:tcPr>
            <w:tcW w:type="dxa" w:w="2890"/>
          </w:tcPr>
          <w:p>
            <w:pPr>
              <w:spacing w:after="40" w:line="240" w:lineRule="auto"/>
              <w:jc w:val="center"/>
            </w:pPr>
            <w:r/>
            <w:r>
              <w:rPr>
                <w:b w:val="0"/>
                <w:sz w:val="20"/>
              </w:rPr>
              <w:t>Abandoned-basket recovery, product promotion, discount offer</w:t>
            </w:r>
          </w:p>
        </w:tc>
      </w:tr>
      <w:tr>
        <w:tc>
          <w:tcPr>
            <w:tcW w:type="dxa" w:w="2890"/>
          </w:tcPr>
          <w:p>
            <w:pPr>
              <w:spacing w:after="40" w:line="240" w:lineRule="auto"/>
              <w:jc w:val="left"/>
            </w:pPr>
            <w:r/>
            <w:r>
              <w:rPr>
                <w:b w:val="0"/>
                <w:sz w:val="20"/>
              </w:rPr>
              <w:t>subscription</w:t>
            </w:r>
          </w:p>
        </w:tc>
        <w:tc>
          <w:tcPr>
            <w:tcW w:type="dxa" w:w="2890"/>
          </w:tcPr>
          <w:p>
            <w:pPr>
              <w:spacing w:after="40" w:line="240" w:lineRule="auto"/>
              <w:jc w:val="center"/>
            </w:pPr>
            <w:r/>
            <w:r>
              <w:rPr>
                <w:b w:val="0"/>
                <w:sz w:val="20"/>
              </w:rPr>
              <w:t>Pricing tiers, plan or trial paths</w:t>
            </w:r>
          </w:p>
        </w:tc>
        <w:tc>
          <w:tcPr>
            <w:tcW w:type="dxa" w:w="2890"/>
          </w:tcPr>
          <w:p>
            <w:pPr>
              <w:spacing w:after="40" w:line="240" w:lineRule="auto"/>
              <w:jc w:val="center"/>
            </w:pPr>
            <w:r/>
            <w:r>
              <w:rPr>
                <w:b w:val="0"/>
                <w:sz w:val="20"/>
              </w:rPr>
              <w:t>Trial nudge, upgrade prompt, renewal reminder</w:t>
            </w:r>
          </w:p>
        </w:tc>
      </w:tr>
      <w:tr>
        <w:tc>
          <w:tcPr>
            <w:tcW w:type="dxa" w:w="2890"/>
          </w:tcPr>
          <w:p>
            <w:pPr>
              <w:spacing w:after="40" w:line="240" w:lineRule="auto"/>
              <w:jc w:val="left"/>
            </w:pPr>
            <w:r/>
            <w:r>
              <w:rPr>
                <w:b w:val="0"/>
                <w:sz w:val="20"/>
              </w:rPr>
              <w:t>lead_capture</w:t>
            </w:r>
          </w:p>
        </w:tc>
        <w:tc>
          <w:tcPr>
            <w:tcW w:type="dxa" w:w="2890"/>
          </w:tcPr>
          <w:p>
            <w:pPr>
              <w:spacing w:after="40" w:line="240" w:lineRule="auto"/>
              <w:jc w:val="center"/>
            </w:pPr>
            <w:r/>
            <w:r>
              <w:rPr>
                <w:b w:val="0"/>
                <w:sz w:val="20"/>
              </w:rPr>
              <w:t>Contact, demo or quote forms</w:t>
            </w:r>
          </w:p>
        </w:tc>
        <w:tc>
          <w:tcPr>
            <w:tcW w:type="dxa" w:w="2890"/>
          </w:tcPr>
          <w:p>
            <w:pPr>
              <w:spacing w:after="40" w:line="240" w:lineRule="auto"/>
              <w:jc w:val="center"/>
            </w:pPr>
            <w:r/>
            <w:r>
              <w:rPr>
                <w:b w:val="0"/>
                <w:sz w:val="20"/>
              </w:rPr>
              <w:t>Lead-nurture sequence, demo invitation</w:t>
            </w:r>
          </w:p>
        </w:tc>
      </w:tr>
      <w:tr>
        <w:tc>
          <w:tcPr>
            <w:tcW w:type="dxa" w:w="2890"/>
          </w:tcPr>
          <w:p>
            <w:pPr>
              <w:spacing w:after="40" w:line="240" w:lineRule="auto"/>
              <w:jc w:val="left"/>
            </w:pPr>
            <w:r/>
            <w:r>
              <w:rPr>
                <w:b w:val="0"/>
                <w:sz w:val="20"/>
              </w:rPr>
              <w:t>donation</w:t>
            </w:r>
          </w:p>
        </w:tc>
        <w:tc>
          <w:tcPr>
            <w:tcW w:type="dxa" w:w="2890"/>
          </w:tcPr>
          <w:p>
            <w:pPr>
              <w:spacing w:after="40" w:line="240" w:lineRule="auto"/>
              <w:jc w:val="center"/>
            </w:pPr>
            <w:r/>
            <w:r>
              <w:rPr>
                <w:b w:val="0"/>
                <w:sz w:val="20"/>
              </w:rPr>
              <w:t>Donate paths, appeal or campaign pages</w:t>
            </w:r>
          </w:p>
        </w:tc>
        <w:tc>
          <w:tcPr>
            <w:tcW w:type="dxa" w:w="2890"/>
          </w:tcPr>
          <w:p>
            <w:pPr>
              <w:spacing w:after="40" w:line="240" w:lineRule="auto"/>
              <w:jc w:val="center"/>
            </w:pPr>
            <w:r/>
            <w:r>
              <w:rPr>
                <w:b w:val="0"/>
                <w:sz w:val="20"/>
              </w:rPr>
              <w:t>Appeal message, recurring-gift prompt</w:t>
            </w:r>
          </w:p>
        </w:tc>
      </w:tr>
    </w:tbl>
    <w:p>
      <w:pPr>
        <w:spacing w:after="120"/>
      </w:pPr>
    </w:p>
    <w:p>
      <w:r>
        <w:t xml:space="preserve">This matters for two reasons. Recommending </w:t>
      </w:r>
      <w:r>
        <w:rPr>
          <w:i/>
        </w:rPr>
        <w:t>drive to checkout</w:t>
      </w:r>
      <w:r>
        <w:t xml:space="preserve"> to a site with no checkout is an error the marketer sees immediately and which destroys trust in every other recommendation. And because the action set determines how thinly the exploration budget is spread, the catalogue must stay as small as honestly covers what the site can do — a cost Section 7.3.10 measures directly.</w:t>
      </w:r>
    </w:p>
    <w:p>
      <w:r>
        <w:t>The campaign goal (awareness, conversion, engagement, lead generation, retention) and tone (professional, persuasive, friendly, luxury, emotional) are then classified from the source text. Two representations are compared for both targets — TF-IDF with logistic regression, and Sentence-BERT embeddings with XGBoost — and the better model per target is selected on held-out performance using a test appropriate to two classifiers on one test set,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 Every asset is scored on three axes and ranked by a weighted composite.</w:t>
      </w:r>
    </w:p>
    <w:p>
      <w:pPr>
        <w:pStyle w:val="TableCaption"/>
      </w:pPr>
      <w:r>
        <w:rPr>
          <w:b w:val="0"/>
          <w:i w:val="0"/>
        </w:rPr>
        <w:t>Table 9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(§7.3.7)</w:t>
            </w:r>
          </w:p>
        </w:tc>
      </w:tr>
    </w:tbl>
    <w:p>
      <w:pPr>
        <w:spacing w:after="120"/>
      </w:pPr>
    </w:p>
    <w:p>
      <w:pPr>
        <w:pStyle w:val="Heading3"/>
      </w:pPr>
      <w:r>
        <w:t>4.5.3 Output</w:t>
      </w:r>
    </w:p>
    <w:p>
      <w:r>
        <w:t xml:space="preserve">Ranked, platform-ready marketing assets written to </w:t>
      </w:r>
      <w:r>
        <w:rPr>
          <w:b/>
        </w:rPr>
        <w:t>content_assets</w:t>
      </w:r>
      <w:r>
        <w:t>, ordered by platform according to Module 3's measured attribution credit, and restricted to actions the site is capable of performing.</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replaceable while still allowing the loop to close.</w:t>
      </w:r>
    </w:p>
    <w:p>
      <w:r>
        <w:t xml:space="preserve">The loop runs as follows. The imported audience and any live sessions populate </w:t>
      </w:r>
      <w:r>
        <w:rPr>
          <w:b/>
        </w:rPr>
        <w:t>visitors</w:t>
      </w:r>
      <w:r>
        <w:t xml:space="preserve"> and raw events. Module 1 writes </w:t>
      </w:r>
      <w:r>
        <w:rPr>
          <w:b/>
        </w:rPr>
        <w:t>user_segments</w:t>
      </w:r>
      <w:r>
        <w:t xml:space="preserve">. Module 2 reads segments and writes </w:t>
      </w:r>
      <w:r>
        <w:rPr>
          <w:b/>
        </w:rPr>
        <w:t>interactions</w:t>
      </w:r>
      <w:r>
        <w:t xml:space="preserve"> and </w:t>
      </w:r>
      <w:r>
        <w:rPr>
          <w:b/>
        </w:rPr>
        <w:t>action_log</w:t>
      </w:r>
      <w:r>
        <w:t xml:space="preserve">. Module 3 reads all three and writes </w:t>
      </w:r>
      <w:r>
        <w:rPr>
          <w:b/>
        </w:rPr>
        <w:t>analytics_output</w:t>
      </w:r>
      <w:r>
        <w:t xml:space="preserve">. Module 4 reads analytics output for platform priority, writes </w:t>
      </w:r>
      <w:r>
        <w:rPr>
          <w:b/>
        </w:rPr>
        <w:t>content_assets</w:t>
      </w:r>
      <w:r>
        <w:t>, and supplies the capability set that constrains what Module 3 may recommend. Module 2's next cycle reads both analytics output and the highest-scoring content asset.</w:t>
      </w:r>
    </w:p>
    <w:p>
      <w:r>
        <w:t>Four integration properties were treated as requirements rather than conveniences.</w:t>
      </w:r>
    </w:p>
    <w:p>
      <w:pPr>
        <w:pStyle w:val="ListBullet"/>
        <w:spacing w:after="80" w:line="312" w:lineRule="auto"/>
        <w:jc w:val="both"/>
      </w:pPr>
      <w:r>
        <w:rPr>
          <w:b/>
        </w:rPr>
        <w:t>Isolation.</w:t>
      </w:r>
      <w:r>
        <w:t xml:space="preserve"> Every site-scoped route is filtered by ownership in one place, so one account can never read another's audience.</w:t>
      </w:r>
    </w:p>
    <w:p>
      <w:pPr>
        <w:pStyle w:val="ListBullet"/>
        <w:spacing w:after="80" w:line="312" w:lineRule="auto"/>
        <w:jc w:val="both"/>
      </w:pPr>
      <w:r>
        <w:rPr>
          <w:b/>
        </w:rPr>
        <w:t>Provenance.</w:t>
      </w:r>
      <w:r>
        <w:t xml:space="preserve"> Every visitor and every event records whether it came from the dataset or from live observation, and that value is derived at write time rather than supplied by the caller.</w:t>
      </w:r>
    </w:p>
    <w:p>
      <w:pPr>
        <w:pStyle w:val="ListBullet"/>
        <w:spacing w:after="80" w:line="312" w:lineRule="auto"/>
        <w:jc w:val="both"/>
      </w:pPr>
      <w:r>
        <w:rPr>
          <w:b/>
        </w:rPr>
        <w:t>Evaluability.</w:t>
      </w:r>
      <w:r>
        <w:t xml:space="preserve"> Every decision is written with the probability it was taken under. Without it the system's own history cannot be used to assess a change to the policy.</w:t>
      </w:r>
    </w:p>
    <w:p>
      <w:pPr>
        <w:pStyle w:val="ListBullet"/>
        <w:spacing w:after="80" w:line="312" w:lineRule="auto"/>
        <w:jc w:val="both"/>
      </w:pPr>
      <w:r>
        <w:rPr>
          <w:b/>
        </w:rPr>
        <w:t>Degradation.</w:t>
      </w:r>
      <w:r>
        <w:t xml:space="preserve"> When a module has insufficient data it must decline and explain, not guess — the normal condition at launch.</w:t>
      </w:r>
    </w:p>
    <w:p>
      <w:pPr>
        <w:pStyle w:val="Heading2"/>
      </w:pPr>
      <w:r>
        <w:t>4.7 Experimental Strategy</w:t>
      </w:r>
    </w:p>
    <w:p>
      <w:r>
        <w:t>Evaluation operates at two levels: module-level, where each module's competing approaches are compared on their own metrics; and system-level, where the integration itself is examined. Eleven experiments implement this, and the whole apparatus runs from one command.</w:t>
      </w:r>
    </w:p>
    <w:p>
      <w:pPr>
        <w:keepNext/>
        <w:keepLines/>
        <w:spacing w:before="360" w:after="120" w:line="240" w:lineRule="auto"/>
        <w:jc w:val="center"/>
      </w:pPr>
      <w:r>
        <w:drawing>
          <wp:inline xmlns:a="http://schemas.openxmlformats.org/drawingml/2006/main" xmlns:pic="http://schemas.openxmlformats.org/drawingml/2006/picture">
            <wp:extent cx="5760720" cy="3092502"/>
            <wp:docPr id="2" name="Picture 2"/>
            <wp:cNvGraphicFramePr>
              <a:graphicFrameLocks noChangeAspect="1"/>
            </wp:cNvGraphicFramePr>
            <a:graphic>
              <a:graphicData uri="http://schemas.openxmlformats.org/drawingml/2006/picture">
                <pic:pic>
                  <pic:nvPicPr>
                    <pic:cNvPr id="0" name="fig03_research_pipeline.png"/>
                    <pic:cNvPicPr/>
                  </pic:nvPicPr>
                  <pic:blipFill>
                    <a:blip r:embed="rId12"/>
                    <a:stretch>
                      <a:fillRect/>
                    </a:stretch>
                  </pic:blipFill>
                  <pic:spPr>
                    <a:xfrm>
                      <a:off x="0" y="0"/>
                      <a:ext cx="5760720" cy="3092502"/>
                    </a:xfrm>
                    <a:prstGeom prst="rect"/>
                  </pic:spPr>
                </pic:pic>
              </a:graphicData>
            </a:graphic>
          </wp:inline>
        </w:drawing>
      </w:r>
    </w:p>
    <w:p>
      <w:pPr>
        <w:pStyle w:val="Caption"/>
        <w:keepLines/>
        <w:spacing w:before="40" w:after="400" w:line="240" w:lineRule="auto"/>
      </w:pPr>
      <w:r>
        <w:rPr>
          <w:b w:val="0"/>
          <w:i w:val="0"/>
        </w:rPr>
        <w:t>Figure 2 — The research pipeline. Experiments write tables; the statistics layer computes intervals; figures are drawn from the tables and the chapter is generated from the results file, so no number in Chapter 7 is copied by hand.</w:t>
      </w:r>
    </w:p>
    <w:p>
      <w:r>
        <w:t>Five principles govern the experiments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 a dummy classifier, a mean predictor, a majority-class floor or random targeting — so the reader can see the floor as well as the ceiling.</w:t>
      </w:r>
    </w:p>
    <w:p>
      <w:pPr>
        <w:pStyle w:val="ListNumber"/>
        <w:spacing w:after="80" w:line="312" w:lineRule="auto"/>
        <w:jc w:val="both"/>
      </w:pPr>
      <w:r>
        <w:rPr>
          <w:b/>
        </w:rPr>
        <w:t>Report the interval, not just the point.</w:t>
      </w:r>
      <w:r>
        <w:t xml:space="preserve"> All uncertainty is quantified by percentile bootstrap with 10,000 resamples, because the quantities involved — separation, silhouette, macro-F1, Qini — are not means and have no closed-form standard error.</w:t>
      </w:r>
    </w:p>
    <w:p>
      <w:pPr>
        <w:pStyle w:val="ListNumber"/>
        <w:spacing w:after="80" w:line="312" w:lineRule="auto"/>
        <w:jc w:val="both"/>
      </w:pPr>
      <w:r>
        <w:rPr>
          <w:b/>
        </w:rPr>
        <w:t>Pair what is paired.</w:t>
      </w:r>
      <w:r>
        <w:t xml:space="preserve"> The policy comparison puts the same 8,000 customers through all three policies on each of thirty seeds, so paired tests are used; treating the runs as independent would overstate the p-value and waste power.</w:t>
      </w:r>
    </w:p>
    <w:p>
      <w:pPr>
        <w:pStyle w:val="ListNumber"/>
        <w:spacing w:after="80" w:line="312" w:lineRule="auto"/>
        <w:jc w:val="both"/>
      </w:pPr>
      <w:r>
        <w:rPr>
          <w:b/>
        </w:rPr>
        <w:t>Prefer the metric that survives the data's shape.</w:t>
      </w:r>
      <w:r>
        <w:t xml:space="preserve"> Conversions per thousand sends rather than conversion rate; macro-F1 rather than accuracy; Spearman rather than R² for a ranking model; effect size beside every p-value.</w:t>
      </w:r>
    </w:p>
    <w:p>
      <w:pPr>
        <w:pStyle w:val="ListNumber"/>
        <w:spacing w:after="80" w:line="312" w:lineRule="auto"/>
        <w:jc w:val="both"/>
      </w:pPr>
      <w:r>
        <w:rPr>
          <w:b/>
        </w:rPr>
        <w:t>Report negative results as findings.</w:t>
      </w:r>
      <w:r>
        <w:t xml:space="preserve"> A model with no demonstrable skill, a hybrid that does not beat its own components, and a policy ranking that does not survive a change of simulator are all reported as headlines rather than removed.</w:t>
      </w:r>
    </w:p>
    <w:p>
      <w:pPr>
        <w:pStyle w:val="Heading2"/>
      </w:pPr>
      <w:r>
        <w:t>4.8 Summary</w:t>
      </w:r>
    </w:p>
    <w:p>
      <w:r>
        <w:t>The approach specifies four modules exchanging data through a shared relational layer, each implementing competing methods so that comparison is possible, and an experimental strategy designed to resist the failure modes most likely to affect a project of this kind: leakage from features that encode the target, optimism from evaluating on the data that generated the model, and the temptation to quote whichever of two disagreeing runs is more flattering.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(Section 5.6).</w:t>
      </w:r>
    </w:p>
    <w:p>
      <w:pPr>
        <w:pStyle w:val="Heading2"/>
      </w:pPr>
      <w:r>
        <w:t>5.2 High-Level Architecture of the Overall System</w:t>
      </w:r>
    </w:p>
    <w:p>
      <w:r>
        <w:t>The system is organised into four layers, shown in Figure 3. Separation is strict: the presentation layer holds no marketing logic, the research modules hold no HTTP concerns, and all cross-module communication passes through the data layer.</w:t>
      </w:r>
    </w:p>
    <w:p>
      <w:pPr>
        <w:keepNext/>
        <w:keepLines/>
        <w:spacing w:before="360" w:after="120" w:line="240" w:lineRule="auto"/>
        <w:jc w:val="center"/>
      </w:pPr>
      <w:r>
        <w:drawing>
          <wp:inline xmlns:a="http://schemas.openxmlformats.org/drawingml/2006/main" xmlns:pic="http://schemas.openxmlformats.org/drawingml/2006/picture">
            <wp:extent cx="5852160" cy="4067372"/>
            <wp:docPr id="3" name="Picture 3"/>
            <wp:cNvGraphicFramePr>
              <a:graphicFrameLocks noChangeAspect="1"/>
            </wp:cNvGraphicFramePr>
            <a:graphic>
              <a:graphicData uri="http://schemas.openxmlformats.org/drawingml/2006/picture">
                <pic:pic>
                  <pic:nvPicPr>
                    <pic:cNvPr id="0" name="fig02_architecture.png"/>
                    <pic:cNvPicPr/>
                  </pic:nvPicPr>
                  <pic:blipFill>
                    <a:blip r:embed="rId13"/>
                    <a:stretch>
                      <a:fillRect/>
                    </a:stretch>
                  </pic:blipFill>
                  <pic:spPr>
                    <a:xfrm>
                      <a:off x="0" y="0"/>
                      <a:ext cx="5852160" cy="4067372"/>
                    </a:xfrm>
                    <a:prstGeom prst="rect"/>
                  </pic:spPr>
                </pic:pic>
              </a:graphicData>
            </a:graphic>
          </wp:inline>
        </w:drawing>
      </w:r>
    </w:p>
    <w:p>
      <w:pPr>
        <w:pStyle w:val="Caption"/>
        <w:keepLines/>
        <w:spacing w:before="40" w:after="400" w:line="240" w:lineRule="auto"/>
      </w:pPr>
      <w:r>
        <w:rPr>
          <w:b w:val="0"/>
          <w:i w:val="0"/>
        </w:rPr>
        <w:t>Figure 3 — High-level layered architecture of the orchestration platform.</w:t>
      </w:r>
    </w:p>
    <w:p>
      <w:r>
        <w:rPr>
          <w:b/>
        </w:rPr>
        <w:t>Presentation layer.</w:t>
      </w:r>
      <w:r>
        <w:t xml:space="preserve"> A Next.js dashboard with seven pages (Overview, Plan, Audience, Campaigns, Analytics, Content and Research) plus authentication and site-onboarding flows. Separately, the demonstration e-commerce store carries the mos.js snippet; its visitors are part of the audience and never interact with the dashboard.</w:t>
      </w:r>
    </w:p>
    <w:p>
      <w:r>
        <w:rPr>
          <w:b/>
        </w:rPr>
        <w:t>Application layer.</w:t>
      </w:r>
      <w:r>
        <w:t xml:space="preserve"> A FastAPI service exposing site-scoped routers for segments, campaigns, analytics, content, actions and decisions; public tracking endpoints requiring no authentication, because a website's visitors are not signed in to anything; an ownership middleware enforcing tenant isolation in a single place; a decision service that holds the action catalogue and writes every decision with its propensity; and a provenance service that reports at request time which data is dataset-derived and which is live.</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running system.</w:t>
      </w:r>
    </w:p>
    <w:p>
      <w:r>
        <w:rPr>
          <w:b/>
        </w:rPr>
        <w:t>Data layer.</w:t>
      </w:r>
      <w:r>
        <w:t xml:space="preserve"> A single PostgreSQL database whose principal tables carry the names specified in the interim report's architecture figures, with </w:t>
      </w:r>
      <w:r>
        <w:rPr>
          <w:b/>
        </w:rPr>
        <w:t>action_log</w:t>
      </w:r>
      <w:r>
        <w:t xml:space="preserve"> added after the interim stage as a direct consequence of experiments E8 and E9.</w:t>
      </w:r>
    </w:p>
    <w:p>
      <w:pPr>
        <w:pStyle w:val="Heading2"/>
      </w:pPr>
      <w:r>
        <w:t>5.3 High-Level Architectures of Individual Modules</w:t>
      </w:r>
    </w:p>
    <w:p>
      <w:pPr>
        <w:pStyle w:val="Heading3"/>
      </w:pPr>
      <w:r>
        <w:t>5.3.1 Module 1 — Audience Targeting and Personalization</w:t>
      </w:r>
    </w:p>
    <w:p>
      <w:r>
        <w:t>Figure 4 shows the segmentation engine. The three methods are peers rather than a pipeline: each produces a complete labelling of the audience, and the agreement vote arbitrates. The confidence score is a first-class output, because a downstream module needs to know not only which segment a customer is in but how much to trust it.</w:t>
      </w:r>
    </w:p>
    <w:p>
      <w:pPr>
        <w:keepNext/>
        <w:keepLines/>
        <w:spacing w:before="360" w:after="120" w:line="240" w:lineRule="auto"/>
        <w:jc w:val="center"/>
      </w:pPr>
      <w:r>
        <w:drawing>
          <wp:inline xmlns:a="http://schemas.openxmlformats.org/drawingml/2006/main" xmlns:pic="http://schemas.openxmlformats.org/drawingml/2006/picture">
            <wp:extent cx="5577840" cy="3541005"/>
            <wp:docPr id="4" name="Picture 4"/>
            <wp:cNvGraphicFramePr>
              <a:graphicFrameLocks noChangeAspect="1"/>
            </wp:cNvGraphicFramePr>
            <a:graphic>
              <a:graphicData uri="http://schemas.openxmlformats.org/drawingml/2006/picture">
                <pic:pic>
                  <pic:nvPicPr>
                    <pic:cNvPr id="0" name="fig05_module1.png"/>
                    <pic:cNvPicPr/>
                  </pic:nvPicPr>
                  <pic:blipFill>
                    <a:blip r:embed="rId14"/>
                    <a:stretch>
                      <a:fillRect/>
                    </a:stretch>
                  </pic:blipFill>
                  <pic:spPr>
                    <a:xfrm>
                      <a:off x="0" y="0"/>
                      <a:ext cx="5577840" cy="3541005"/>
                    </a:xfrm>
                    <a:prstGeom prst="rect"/>
                  </pic:spPr>
                </pic:pic>
              </a:graphicData>
            </a:graphic>
          </wp:inline>
        </w:drawing>
      </w:r>
    </w:p>
    <w:p>
      <w:pPr>
        <w:pStyle w:val="Caption"/>
        <w:keepLines/>
        <w:spacing w:before="40" w:after="400" w:line="240" w:lineRule="auto"/>
      </w:pPr>
      <w:r>
        <w:rPr>
          <w:b w:val="0"/>
          <w:i w:val="0"/>
        </w:rPr>
        <w:t>Figure 4 — Architecture of the hybrid segmentation engine. The numbered branches of the agreement vote are evaluated in that order, and the ordering is the contribution.</w:t>
      </w:r>
    </w:p>
    <w:p>
      <w:r>
        <w:t>Two design points are load-bearing. The cold-start branch is resolved before any clustering comparison, so a genuinely new customer cannot be absorbed into an established cluster. And the minimum-audience threshold causes the engine to decline clustering outright, returning interpretable rule-based labels with an explicit explanation rather than an unstable partition presented as a result.</w:t>
      </w:r>
    </w:p>
    <w:p>
      <w:pPr>
        <w:pStyle w:val="Heading3"/>
      </w:pPr>
      <w:r>
        <w:t>5.3.2 Module 2 — Marketing Automation and Campaign Management</w:t>
      </w:r>
    </w:p>
    <w:p>
      <w:r>
        <w:t>Figure 5 shows the campaign engine. The policy engine is the single point at which the three policies differ; profile builder, response model, templates, response simulation and evaluation are all shared. That is what makes the comparison in Section 7.3.3 a controlled one.</w:t>
      </w:r>
    </w:p>
    <w:p>
      <w:pPr>
        <w:keepNext/>
        <w:keepLines/>
        <w:spacing w:before="360" w:after="120" w:line="240" w:lineRule="auto"/>
        <w:jc w:val="center"/>
      </w:pPr>
      <w:r>
        <w:drawing>
          <wp:inline xmlns:a="http://schemas.openxmlformats.org/drawingml/2006/main" xmlns:pic="http://schemas.openxmlformats.org/drawingml/2006/picture">
            <wp:extent cx="5577840" cy="3235328"/>
            <wp:docPr id="5" name="Picture 5"/>
            <wp:cNvGraphicFramePr>
              <a:graphicFrameLocks noChangeAspect="1"/>
            </wp:cNvGraphicFramePr>
            <a:graphic>
              <a:graphicData uri="http://schemas.openxmlformats.org/drawingml/2006/picture">
                <pic:pic>
                  <pic:nvPicPr>
                    <pic:cNvPr id="0" name="fig06_module2.png"/>
                    <pic:cNvPicPr/>
                  </pic:nvPicPr>
                  <pic:blipFill>
                    <a:blip r:embed="rId15"/>
                    <a:stretch>
                      <a:fillRect/>
                    </a:stretch>
                  </pic:blipFill>
                  <pic:spPr>
                    <a:xfrm>
                      <a:off x="0" y="0"/>
                      <a:ext cx="5577840" cy="3235328"/>
                    </a:xfrm>
                    <a:prstGeom prst="rect"/>
                  </pic:spPr>
                </pic:pic>
              </a:graphicData>
            </a:graphic>
          </wp:inline>
        </w:drawing>
      </w:r>
    </w:p>
    <w:p>
      <w:pPr>
        <w:pStyle w:val="Caption"/>
        <w:keepLines/>
        <w:spacing w:before="40" w:after="400" w:line="240" w:lineRule="auto"/>
      </w:pPr>
      <w:r>
        <w:rPr>
          <w:b w:val="0"/>
          <w:i w:val="0"/>
        </w:rPr>
        <w:t>Figure 5 — Architecture of the campaign automation engine, annotated with the measured outcome and cost of each policy.</w:t>
      </w:r>
    </w:p>
    <w:p>
      <w:pPr>
        <w:pStyle w:val="Heading3"/>
      </w:pPr>
      <w:r>
        <w:t>5.3.3 Module 3 — Marketing Analytics and Decision Support</w:t>
      </w:r>
    </w:p>
    <w:p>
      <w:r>
        <w:t>Figure 6 shows the analytics module. Five analytical tracks feed two predictive models and a shared explainability and validation stage, which in turn feed the recommendation generator. The exploration component and the refusal guard sit between the generator and the published output.</w:t>
      </w:r>
    </w:p>
    <w:p>
      <w:pPr>
        <w:keepNext/>
        <w:keepLines/>
        <w:spacing w:before="360" w:after="120" w:line="240" w:lineRule="auto"/>
        <w:jc w:val="center"/>
      </w:pPr>
      <w:r>
        <w:drawing>
          <wp:inline xmlns:a="http://schemas.openxmlformats.org/drawingml/2006/main" xmlns:pic="http://schemas.openxmlformats.org/drawingml/2006/picture">
            <wp:extent cx="5852160" cy="3796781"/>
            <wp:docPr id="6" name="Picture 6"/>
            <wp:cNvGraphicFramePr>
              <a:graphicFrameLocks noChangeAspect="1"/>
            </wp:cNvGraphicFramePr>
            <a:graphic>
              <a:graphicData uri="http://schemas.openxmlformats.org/drawingml/2006/picture">
                <pic:pic>
                  <pic:nvPicPr>
                    <pic:cNvPr id="0" name="fig07_module3.png"/>
                    <pic:cNvPicPr/>
                  </pic:nvPicPr>
                  <pic:blipFill>
                    <a:blip r:embed="rId16"/>
                    <a:stretch>
                      <a:fillRect/>
                    </a:stretch>
                  </pic:blipFill>
                  <pic:spPr>
                    <a:xfrm>
                      <a:off x="0" y="0"/>
                      <a:ext cx="5852160" cy="3796781"/>
                    </a:xfrm>
                    <a:prstGeom prst="rect"/>
                  </pic:spPr>
                </pic:pic>
              </a:graphicData>
            </a:graphic>
          </wp:inline>
        </w:drawing>
      </w:r>
    </w:p>
    <w:p>
      <w:pPr>
        <w:pStyle w:val="Caption"/>
        <w:keepLines/>
        <w:spacing w:before="40" w:after="400" w:line="240" w:lineRule="auto"/>
      </w:pPr>
      <w:r>
        <w:rPr>
          <w:b w:val="0"/>
          <w:i w:val="0"/>
        </w:rPr>
        <w:t>Figure 6 — Architecture of the analytics and decision support module, including the uplift and off-policy evaluation tracks added after the interim stage.</w:t>
      </w:r>
    </w:p>
    <w:p>
      <w:r>
        <w:t>The refusal guard is drawn as a distinct component because it is one: it can suppress a result entirely. Below five converting journeys attribution returns no numbers and states why, and a prediction distribution that has collapsed to a constant raises a calibration warning rather than being presented as a confident forecast. The exploration component is equally deliberate — it spends a measurable fraction of achievable reward in order to keep the decision record informative, and Section 7.3.9 quotes that price rather than presenting exploration as free.</w:t>
      </w:r>
    </w:p>
    <w:p>
      <w:pPr>
        <w:pStyle w:val="Heading3"/>
      </w:pPr>
      <w:r>
        <w:t>5.3.4 Module 4 — AI Content Refinery and Multi-Platform Distribution</w:t>
      </w:r>
    </w:p>
    <w:p>
      <w:r>
        <w:t>Figure 7 shows the content refinery. Two arrows into it are the integration points the literature review found missing: platform generation order is set by measured attribution credit rather than assumption, and the action catalogue is constrained by what the site is detected to be capable of.</w:t>
      </w:r>
    </w:p>
    <w:p>
      <w:pPr>
        <w:keepNext/>
        <w:keepLines/>
        <w:spacing w:before="360" w:after="120" w:line="240" w:lineRule="auto"/>
        <w:jc w:val="center"/>
      </w:pPr>
      <w:r>
        <w:drawing>
          <wp:inline xmlns:a="http://schemas.openxmlformats.org/drawingml/2006/main" xmlns:pic="http://schemas.openxmlformats.org/drawingml/2006/picture">
            <wp:extent cx="5577840" cy="3541005"/>
            <wp:docPr id="7" name="Picture 7"/>
            <wp:cNvGraphicFramePr>
              <a:graphicFrameLocks noChangeAspect="1"/>
            </wp:cNvGraphicFramePr>
            <a:graphic>
              <a:graphicData uri="http://schemas.openxmlformats.org/drawingml/2006/picture">
                <pic:pic>
                  <pic:nvPicPr>
                    <pic:cNvPr id="0" name="fig08_module4.png"/>
                    <pic:cNvPicPr/>
                  </pic:nvPicPr>
                  <pic:blipFill>
                    <a:blip r:embed="rId17"/>
                    <a:stretch>
                      <a:fillRect/>
                    </a:stretch>
                  </pic:blipFill>
                  <pic:spPr>
                    <a:xfrm>
                      <a:off x="0" y="0"/>
                      <a:ext cx="5577840" cy="3541005"/>
                    </a:xfrm>
                    <a:prstGeom prst="rect"/>
                  </pic:spPr>
                </pic:pic>
              </a:graphicData>
            </a:graphic>
          </wp:inline>
        </w:drawing>
      </w:r>
    </w:p>
    <w:p>
      <w:pPr>
        <w:pStyle w:val="Caption"/>
        <w:keepLines/>
        <w:spacing w:before="40" w:after="400" w:line="240" w:lineRule="auto"/>
      </w:pPr>
      <w:r>
        <w:rPr>
          <w:b w:val="0"/>
          <w:i w:val="0"/>
        </w:rPr>
        <w:t>Figure 7 — Architecture of the AI content refinery, including capability detection and the scoring weights justified in Chapter 7.</w:t>
      </w:r>
    </w:p>
    <w:p>
      <w:pPr>
        <w:pStyle w:val="Heading2"/>
      </w:pPr>
      <w:r>
        <w:t>5.4 Database Design</w:t>
      </w:r>
    </w:p>
    <w:p>
      <w:r>
        <w:t>Figure 8 shows the schema. The design follows the interim report's table naming so that the delivered system can be read directly against the architecture figures approved at that stage, with two additions: `visitors.source` replaces the pair of boolean flags used earlier, and `action_log` is new.</w:t>
      </w:r>
    </w:p>
    <w:p>
      <w:pPr>
        <w:keepNext/>
        <w:keepLines/>
        <w:spacing w:before="360" w:after="120" w:line="240" w:lineRule="auto"/>
        <w:jc w:val="center"/>
      </w:pPr>
      <w:r>
        <w:drawing>
          <wp:inline xmlns:a="http://schemas.openxmlformats.org/drawingml/2006/main" xmlns:pic="http://schemas.openxmlformats.org/drawingml/2006/picture">
            <wp:extent cx="5852160" cy="3401404"/>
            <wp:docPr id="8" name="Picture 8"/>
            <wp:cNvGraphicFramePr>
              <a:graphicFrameLocks noChangeAspect="1"/>
            </wp:cNvGraphicFramePr>
            <a:graphic>
              <a:graphicData uri="http://schemas.openxmlformats.org/drawingml/2006/picture">
                <pic:pic>
                  <pic:nvPicPr>
                    <pic:cNvPr id="0" name="fig09_schema.png"/>
                    <pic:cNvPicPr/>
                  </pic:nvPicPr>
                  <pic:blipFill>
                    <a:blip r:embed="rId18"/>
                    <a:stretch>
                      <a:fillRect/>
                    </a:stretch>
                  </pic:blipFill>
                  <pic:spPr>
                    <a:xfrm>
                      <a:off x="0" y="0"/>
                      <a:ext cx="5852160" cy="3401404"/>
                    </a:xfrm>
                    <a:prstGeom prst="rect"/>
                  </pic:spPr>
                </pic:pic>
              </a:graphicData>
            </a:graphic>
          </wp:inline>
        </w:drawing>
      </w:r>
    </w:p>
    <w:p>
      <w:pPr>
        <w:pStyle w:val="Caption"/>
        <w:keepLines/>
        <w:spacing w:before="40" w:after="400" w:line="240" w:lineRule="auto"/>
      </w:pPr>
      <w:r>
        <w:rPr>
          <w:b w:val="0"/>
          <w:i w:val="0"/>
        </w:rPr>
        <w:t>Figure 8 — Shared database schema. Provenance is derived at write time; the propensity column is mandatory.</w:t>
      </w:r>
    </w:p>
    <w:p>
      <w:pPr>
        <w:pStyle w:val="TableCaption"/>
      </w:pPr>
      <w:r>
        <w:rPr>
          <w:b w:val="0"/>
          <w:i w:val="0"/>
        </w:rPr>
        <w:t>Table 10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 Module 4</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site, owner, write key, detected capabilities</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Importer, 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identity, source ('dataset' | 'live')</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 4</w:t>
            </w:r>
          </w:p>
        </w:tc>
        <w:tc>
          <w:tcPr>
            <w:tcW w:type="dxa" w:w="2167"/>
          </w:tcPr>
          <w:p>
            <w:pPr>
              <w:spacing w:after="40" w:line="240" w:lineRule="auto"/>
              <w:jc w:val="center"/>
            </w:pPr>
            <w:r/>
            <w:r>
              <w:rPr>
                <w:b w:val="0"/>
                <w:sz w:val="20"/>
              </w:rPr>
              <w:t>Segment name, method, calibrated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source (derived)</w:t>
            </w:r>
          </w:p>
        </w:tc>
      </w:tr>
      <w:tr>
        <w:tc>
          <w:tcPr>
            <w:tcW w:type="dxa" w:w="2167"/>
          </w:tcPr>
          <w:p>
            <w:pPr>
              <w:spacing w:after="40" w:line="240" w:lineRule="auto"/>
              <w:jc w:val="left"/>
            </w:pPr>
            <w:r/>
            <w:r>
              <w:rPr>
                <w:b w:val="0"/>
                <w:sz w:val="20"/>
              </w:rPr>
              <w:t>action_log</w:t>
            </w:r>
          </w:p>
        </w:tc>
        <w:tc>
          <w:tcPr>
            <w:tcW w:type="dxa" w:w="2167"/>
          </w:tcPr>
          <w:p>
            <w:pPr>
              <w:spacing w:after="40" w:line="240" w:lineRule="auto"/>
              <w:jc w:val="center"/>
            </w:pPr>
            <w:r/>
            <w:r>
              <w:rPr>
                <w:b w:val="0"/>
                <w:sz w:val="20"/>
              </w:rPr>
              <w:t>Decision service</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Action, propensity, exploration flag, reward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reconstructed or simulated result for a measured one. Four mechanisms were designed into the system rather than documented as conventions.</w:t>
      </w:r>
    </w:p>
    <w:p>
      <w:r>
        <w:rPr>
          <w:b/>
        </w:rPr>
        <w:t>Provenance is derived, not asserted.</w:t>
      </w:r>
      <w:r>
        <w:t xml:space="preserve"> Every visitor and every interaction carries a `source` column whose value is computed when the row is written, from the visitor the row belongs to. A caller cannot declare its own data live. An automated test fails the build if a dataset-derived customer ever produces a row claiming live observation.</w:t>
      </w:r>
    </w:p>
    <w:p>
      <w:r>
        <w:rPr>
          <w:b/>
        </w:rPr>
        <w:t>Measured and reconstructed are separated at the point of import.</w:t>
      </w:r>
      <w:r>
        <w:t xml:space="preserve"> The importer preserves every total from the source dataset exactly and reconstructs only what the dataset never contained. Section 6.2.2 states which is which, and Chapter 7 repeats the distinction wherever a result depends on it.</w:t>
      </w:r>
    </w:p>
    <w:p>
      <w:r>
        <w:rPr>
          <w:b/>
        </w:rPr>
        <w:t>The evaluation chapter is generated, not written.</w:t>
      </w:r>
      <w:r>
        <w:t xml:space="preserve"> Chapter 7's prose is authored once in `research/chapters.py` with the numbers interpolated from the results file, so a figure cannot drift away from the value it plots and a number cannot be quietly rounded in the report but not in the code.</w:t>
      </w:r>
    </w:p>
    <w:p>
      <w:r>
        <w:rPr>
          <w:b/>
        </w:rPr>
        <w:t>The system declines to report what it cannot support.</w:t>
      </w:r>
      <w:r>
        <w:t xml:space="preserve"> The refusal thresholds are enforced in code, and every dashboard figure carries a provenance badge derived from the rows behind it.</w:t>
      </w:r>
    </w:p>
    <w:p>
      <w:pPr>
        <w:pStyle w:val="Heading2"/>
      </w:pPr>
      <w:r>
        <w:t>5.6 Multi-Tenant Design</w:t>
      </w:r>
    </w:p>
    <w:p>
      <w:r>
        <w:t>Although the study operates on one demonstration store, the platform is designed so that any organisation could register a website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confirm that the site exists. A regression test registers two accounts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 is derived rather than declared and whose decision log makes the system's own policy evaluable.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is built on (Section 6.2), the site under study (Section 6.3), each module in turn (Section 6.4), the integrated platform (Section 6.5), the research infrastructure (Section 6.6), the defects found in the project's own research code (Section 6.7) and the testing arrangements (Section 6.8).</w:t>
      </w:r>
    </w:p>
    <w:p>
      <w:pPr>
        <w:pStyle w:val="Heading2"/>
      </w:pPr>
      <w:r>
        <w:t>6.2 Data Collection</w:t>
      </w:r>
    </w:p>
    <w:p>
      <w:pPr>
        <w:pStyle w:val="Heading3"/>
      </w:pPr>
      <w:r>
        <w:t>6.2.1 Datasets</w:t>
      </w:r>
    </w:p>
    <w:p>
      <w:r>
        <w:t>Six data sources are used. Their provenance determines the strength of every claim built on them, so it is stated explicitly here and repeated in Chapter 7 wherever it matters.</w:t>
      </w:r>
    </w:p>
    <w:p>
      <w:pPr>
        <w:pStyle w:val="TableCaption"/>
      </w:pPr>
      <w:r>
        <w:rPr>
          <w:b w:val="0"/>
          <w:i w:val="0"/>
        </w:rPr>
        <w:t>Table 11 — Data sources, with size, nature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Source</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Nature</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customers</w:t>
            </w:r>
          </w:p>
        </w:tc>
        <w:tc>
          <w:tcPr>
            <w:tcW w:type="dxa" w:w="2167"/>
          </w:tcPr>
          <w:p>
            <w:pPr>
              <w:spacing w:after="40" w:line="240" w:lineRule="auto"/>
              <w:jc w:val="center"/>
            </w:pPr>
            <w:r/>
            <w:r>
              <w:rPr>
                <w:b w:val="0"/>
                <w:sz w:val="20"/>
              </w:rPr>
              <w:t>Real, per-customer totals</w:t>
            </w:r>
          </w:p>
        </w:tc>
        <w:tc>
          <w:tcPr>
            <w:tcW w:type="dxa" w:w="2167"/>
          </w:tcPr>
          <w:p>
            <w:pPr>
              <w:spacing w:after="40" w:line="240" w:lineRule="auto"/>
              <w:jc w:val="center"/>
            </w:pPr>
            <w:r/>
            <w:r>
              <w:rPr>
                <w:b w:val="0"/>
                <w:sz w:val="20"/>
              </w:rPr>
              <w:t>The study audience — Modules 1–4; E1, E2, E3</w:t>
            </w:r>
          </w:p>
        </w:tc>
      </w:tr>
      <w:tr>
        <w:tc>
          <w:tcPr>
            <w:tcW w:type="dxa" w:w="2167"/>
          </w:tcPr>
          <w:p>
            <w:pPr>
              <w:spacing w:after="40" w:line="240" w:lineRule="auto"/>
              <w:jc w:val="left"/>
            </w:pPr>
            <w:r/>
            <w:r>
              <w:rPr>
                <w:b w:val="0"/>
                <w:sz w:val="20"/>
              </w:rPr>
              <w:t>Hillstrom MineThatData</w:t>
            </w:r>
          </w:p>
        </w:tc>
        <w:tc>
          <w:tcPr>
            <w:tcW w:type="dxa" w:w="2167"/>
          </w:tcPr>
          <w:p>
            <w:pPr>
              <w:spacing w:after="40" w:line="240" w:lineRule="auto"/>
              <w:jc w:val="center"/>
            </w:pPr>
            <w:r/>
            <w:r>
              <w:rPr>
                <w:b w:val="0"/>
                <w:sz w:val="20"/>
              </w:rPr>
              <w:t>64,000 customers, 3 randomised arms</w:t>
            </w:r>
          </w:p>
        </w:tc>
        <w:tc>
          <w:tcPr>
            <w:tcW w:type="dxa" w:w="2167"/>
          </w:tcPr>
          <w:p>
            <w:pPr>
              <w:spacing w:after="40" w:line="240" w:lineRule="auto"/>
              <w:jc w:val="center"/>
            </w:pPr>
            <w:r/>
            <w:r>
              <w:rPr>
                <w:b w:val="0"/>
                <w:sz w:val="20"/>
              </w:rPr>
              <w:t>Real, randomised assignment</w:t>
            </w:r>
          </w:p>
        </w:tc>
        <w:tc>
          <w:tcPr>
            <w:tcW w:type="dxa" w:w="2167"/>
          </w:tcPr>
          <w:p>
            <w:pPr>
              <w:spacing w:after="40" w:line="240" w:lineRule="auto"/>
              <w:jc w:val="center"/>
            </w:pPr>
            <w:r/>
            <w:r>
              <w:rPr>
                <w:b w:val="0"/>
                <w:sz w:val="20"/>
              </w:rPr>
              <w:t>E8 — the only causal claim in the report</w:t>
            </w:r>
          </w:p>
        </w:tc>
      </w:tr>
      <w:tr>
        <w:tc>
          <w:tcPr>
            <w:tcW w:type="dxa" w:w="2167"/>
          </w:tcPr>
          <w:p>
            <w:pPr>
              <w:spacing w:after="40" w:line="240" w:lineRule="auto"/>
              <w:jc w:val="left"/>
            </w:pPr>
            <w:r/>
            <w:r>
              <w:rPr>
                <w:b w:val="0"/>
                <w:sz w:val="20"/>
              </w:rPr>
              <w:t>Social-media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 — E7</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 — E6</w:t>
            </w:r>
          </w:p>
        </w:tc>
      </w:tr>
      <w:tr>
        <w:tc>
          <w:tcPr>
            <w:tcW w:type="dxa" w:w="2167"/>
          </w:tcPr>
          <w:p>
            <w:pPr>
              <w:spacing w:after="40" w:line="240" w:lineRule="auto"/>
              <w:jc w:val="left"/>
            </w:pPr>
            <w:r/>
            <w:r>
              <w:rPr>
                <w:b w:val="0"/>
                <w:sz w:val="20"/>
              </w:rPr>
              <w:t>Capability website sample</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Real, fetched live</w:t>
            </w:r>
          </w:p>
        </w:tc>
        <w:tc>
          <w:tcPr>
            <w:tcW w:type="dxa" w:w="2167"/>
          </w:tcPr>
          <w:p>
            <w:pPr>
              <w:spacing w:after="40" w:line="240" w:lineRule="auto"/>
              <w:jc w:val="center"/>
            </w:pPr>
            <w:r/>
            <w:r>
              <w:rPr>
                <w:b w:val="0"/>
                <w:sz w:val="20"/>
              </w:rPr>
              <w:t>Module 4 capability detection — E10</w:t>
            </w:r>
          </w:p>
        </w:tc>
      </w:tr>
      <w:tr>
        <w:tc>
          <w:tcPr>
            <w:tcW w:type="dxa" w:w="2167"/>
          </w:tcPr>
          <w:p>
            <w:pPr>
              <w:spacing w:after="40" w:line="240" w:lineRule="auto"/>
              <w:jc w:val="left"/>
            </w:pPr>
            <w:r/>
            <w:r>
              <w:rPr>
                <w:b w:val="0"/>
                <w:sz w:val="20"/>
              </w:rPr>
              <w:t>Module 2 and Module 3 simulators</w:t>
            </w:r>
          </w:p>
        </w:tc>
        <w:tc>
          <w:tcPr>
            <w:tcW w:type="dxa" w:w="2167"/>
          </w:tcPr>
          <w:p>
            <w:pPr>
              <w:spacing w:after="40" w:line="240" w:lineRule="auto"/>
              <w:jc w:val="center"/>
            </w:pPr>
            <w:r/>
            <w:r>
              <w:rPr>
                <w:b w:val="0"/>
                <w:sz w:val="20"/>
              </w:rPr>
              <w:t>8,000 customers × 30 seeds; known-reward worlds</w:t>
            </w:r>
          </w:p>
        </w:tc>
        <w:tc>
          <w:tcPr>
            <w:tcW w:type="dxa" w:w="2167"/>
          </w:tcPr>
          <w:p>
            <w:pPr>
              <w:spacing w:after="40" w:line="240" w:lineRule="auto"/>
              <w:jc w:val="center"/>
            </w:pPr>
            <w:r/>
            <w:r>
              <w:rPr>
                <w:b w:val="0"/>
                <w:sz w:val="20"/>
              </w:rPr>
              <w:t>Simulated, calibrated</w:t>
            </w:r>
          </w:p>
        </w:tc>
        <w:tc>
          <w:tcPr>
            <w:tcW w:type="dxa" w:w="2167"/>
          </w:tcPr>
          <w:p>
            <w:pPr>
              <w:spacing w:after="40" w:line="240" w:lineRule="auto"/>
              <w:jc w:val="center"/>
            </w:pPr>
            <w:r/>
            <w:r>
              <w:rPr>
                <w:b w:val="0"/>
                <w:sz w:val="20"/>
              </w:rPr>
              <w:t>E3; E4 ground truth; E5, E9, E11</w:t>
            </w:r>
          </w:p>
        </w:tc>
      </w:tr>
    </w:tbl>
    <w:p>
      <w:pPr>
        <w:spacing w:after="120"/>
      </w:pPr>
    </w:p>
    <w:p>
      <w:pPr>
        <w:pStyle w:val="NoteBox"/>
      </w:pPr>
      <w:r>
        <w:rPr>
          <w:b/>
        </w:rPr>
        <w:t>Why simulation appears at all.</w:t>
      </w:r>
      <w:r>
        <w:t xml:space="preserve"> Three claims in this report are properties of an estimator rather than of customers — that attribution recovers known influence, that an off-policy estimator is unbiased, and how error scales with action-set size. Each is decided by mathematics and can therefore be checked exactly against a known answer, which no real dataset permits. Where a claim concerns people rather than estimators, real data is used.</w:t>
      </w:r>
    </w:p>
    <w:p>
      <w:pPr>
        <w:pStyle w:val="Heading3"/>
      </w:pPr>
      <w:r>
        <w:t>6.2.2 The importer, and what it does not invent</w:t>
      </w:r>
    </w:p>
    <w:p>
      <w:r>
        <w:t xml:space="preserve">The study audience is imported by `scripts/import_research_audience.py`, which turns 8,000 dataset rows into customers of the demonstration store. The dataset is real, but it was measured as </w:t>
      </w:r>
      <w:r>
        <w:rPr>
          <w:b/>
        </w:rPr>
        <w:t>per-customer totals</w:t>
      </w:r>
      <w:r>
        <w:t xml:space="preserve"> — 25 website visits, 5.5 pages per visit, 9 email opens — and not as an event log. Nobody recorded when visit 14 happened or which page it was.</w:t>
      </w:r>
    </w:p>
    <w:p>
      <w:pPr>
        <w:keepNext/>
        <w:keepLines/>
        <w:spacing w:before="360" w:after="120" w:line="240" w:lineRule="auto"/>
        <w:jc w:val="center"/>
      </w:pPr>
      <w:r>
        <w:drawing>
          <wp:inline xmlns:a="http://schemas.openxmlformats.org/drawingml/2006/main" xmlns:pic="http://schemas.openxmlformats.org/drawingml/2006/picture">
            <wp:extent cx="5760720" cy="3194092"/>
            <wp:docPr id="9" name="Picture 9"/>
            <wp:cNvGraphicFramePr>
              <a:graphicFrameLocks noChangeAspect="1"/>
            </wp:cNvGraphicFramePr>
            <a:graphic>
              <a:graphicData uri="http://schemas.openxmlformats.org/drawingml/2006/picture">
                <pic:pic>
                  <pic:nvPicPr>
                    <pic:cNvPr id="0" name="fig04_importer.png"/>
                    <pic:cNvPicPr/>
                  </pic:nvPicPr>
                  <pic:blipFill>
                    <a:blip r:embed="rId19"/>
                    <a:stretch>
                      <a:fillRect/>
                    </a:stretch>
                  </pic:blipFill>
                  <pic:spPr>
                    <a:xfrm>
                      <a:off x="0" y="0"/>
                      <a:ext cx="5760720" cy="3194092"/>
                    </a:xfrm>
                    <a:prstGeom prst="rect"/>
                  </pic:spPr>
                </pic:pic>
              </a:graphicData>
            </a:graphic>
          </wp:inline>
        </w:drawing>
      </w:r>
    </w:p>
    <w:p>
      <w:pPr>
        <w:pStyle w:val="Caption"/>
        <w:keepLines/>
        <w:spacing w:before="40" w:after="400" w:line="240" w:lineRule="auto"/>
      </w:pPr>
      <w:r>
        <w:rPr>
          <w:b w:val="0"/>
          <w:i w:val="0"/>
        </w:rPr>
        <w:t>Figure 9 — What the importer preserves and what it reconstructs. The distinction is kept in the data, not only in prose.</w:t>
      </w:r>
    </w:p>
    <w:p>
      <w:r>
        <w:t>The importer therefore preserves every total exactly and reconstructs only what the dataset never contained: the timestamp of each visit, which page it landed on, scroll depth, the ordering of email events and basket value. Fidelity is asserted against the source CSV after every import — sessions, page views, time on site, clicks and purchases all match exactly, and a re-import is byte-identical — so a reconstruction error cannot pass silently.</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0" name="Picture 10"/>
            <wp:cNvGraphicFramePr>
              <a:graphicFrameLocks noChangeAspect="1"/>
            </wp:cNvGraphicFramePr>
            <a:graphic>
              <a:graphicData uri="http://schemas.openxmlformats.org/drawingml/2006/picture">
                <pic:pic>
                  <pic:nvPicPr>
                    <pic:cNvPr id="0" name="shot_code_importer.png"/>
                    <pic:cNvPicPr/>
                  </pic:nvPicPr>
                  <pic:blipFill>
                    <a:blip r:embed="rId20"/>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10 — The fidelity check in the importer. Totals are asserted against the source CSV after import.</w:t>
      </w:r>
    </w:p>
    <w:p>
      <w:pPr>
        <w:pStyle w:val="NoteBox"/>
      </w:pPr>
      <w:r>
        <w:rPr>
          <w:b/>
        </w:rPr>
        <w:t>Consequence for every result in Chapter 7.</w:t>
      </w:r>
      <w:r>
        <w:t xml:space="preserve"> Anything depending only on the totals — segment membership, conversion rate by segment, funnel counts — rests on real measurements. Anything depending on event </w:t>
      </w:r>
      <w:r>
        <w:rPr>
          <w:i/>
        </w:rPr>
        <w:t>order</w:t>
      </w:r>
      <w:r>
        <w:t xml:space="preserve"> or </w:t>
      </w:r>
      <w:r>
        <w:rPr>
          <w:i/>
        </w:rPr>
        <w:t>timing</w:t>
      </w:r>
      <w:r>
        <w:t xml:space="preserve"> — attribution paths, journey length, inter-event gaps — is a property of the reconstruction as much as of the data. Chapter 7 says which is which every time it matters.</w:t>
      </w:r>
    </w:p>
    <w:p>
      <w:pPr>
        <w:pStyle w:val="Heading3"/>
      </w:pPr>
      <w:r>
        <w:t>6.2.3 One feature definition for two kinds of row</w:t>
      </w:r>
    </w:p>
    <w:p>
      <w:r>
        <w:t xml:space="preserve">A live browser writes one event per page view and carries no count; the importer writes one event per </w:t>
      </w:r>
      <w:r>
        <w:rPr>
          <w:i/>
        </w:rPr>
        <w:t>visit</w:t>
      </w:r>
      <w:r>
        <w:t xml:space="preserve"> carrying that visit's counts. Rather than maintain two feature paths — which would eventually diverge — a single SQL definition sums both identically, treating a missing count as one. Imported and live customers are therefore described by the same features without either pretending to be the other.</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1" name="Picture 11"/>
            <wp:cNvGraphicFramePr>
              <a:graphicFrameLocks noChangeAspect="1"/>
            </wp:cNvGraphicFramePr>
            <a:graphic>
              <a:graphicData uri="http://schemas.openxmlformats.org/drawingml/2006/picture">
                <pic:pic>
                  <pic:nvPicPr>
                    <pic:cNvPr id="0" name="shot_code_features.png"/>
                    <pic:cNvPicPr/>
                  </pic:nvPicPr>
                  <pic:blipFill>
                    <a:blip r:embed="rId21"/>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11 — The shared feature definition. One expression serves imported per-visit counts and live per-page events.</w:t>
      </w:r>
    </w:p>
    <w:p>
      <w:pPr>
        <w:pStyle w:val="Heading2"/>
      </w:pPr>
      <w:r>
        <w:t>6.3 The Site Under Study</w:t>
      </w:r>
    </w:p>
    <w:p>
      <w:r>
        <w:t>The demonstration store is a small e-commerce site with six product pages, a basket and a checkout path, served on port 4000 with the mos.js snippet installed. It is the site Module 4 crawls, the site whose capabilities are detected, and the site whose visitors form the live half of the audience.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2" name="Picture 12"/>
            <wp:cNvGraphicFramePr>
              <a:graphicFrameLocks noChangeAspect="1"/>
            </wp:cNvGraphicFramePr>
            <a:graphic>
              <a:graphicData uri="http://schemas.openxmlformats.org/drawingml/2006/picture">
                <pic:pic>
                  <pic:nvPicPr>
                    <pic:cNvPr id="0" name="shot_store_home.png"/>
                    <pic:cNvPicPr/>
                  </pic:nvPicPr>
                  <pic:blipFill>
                    <a:blip r:embed="rId22"/>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12 — The demonstration e-commerce store, home page.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3" name="Picture 13"/>
            <wp:cNvGraphicFramePr>
              <a:graphicFrameLocks noChangeAspect="1"/>
            </wp:cNvGraphicFramePr>
            <a:graphic>
              <a:graphicData uri="http://schemas.openxmlformats.org/drawingml/2006/picture">
                <pic:pic>
                  <pic:nvPicPr>
                    <pic:cNvPr id="0" name="shot_store_product.png"/>
                    <pic:cNvPicPr/>
                  </pic:nvPicPr>
                  <pic:blipFill>
                    <a:blip r:embed="rId23"/>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13 — A product page with the tracking status indicator, confirming first-party event collection.</w:t>
      </w:r>
    </w:p>
    <w:p>
      <w:r>
        <w:t xml:space="preserve">Browsing the store during a demonstration changes the provenance badge throughout the dashboard from </w:t>
      </w:r>
      <w:r>
        <w:rPr>
          <w:i/>
        </w:rPr>
        <w:t>research dataset</w:t>
      </w:r>
      <w:r>
        <w:t xml:space="preserve"> to </w:t>
      </w:r>
      <w:r>
        <w:rPr>
          <w:i/>
        </w:rPr>
        <w:t>dataset + live</w:t>
      </w:r>
      <w:r>
        <w:t>, which is the most direct way to show that the provenance mechanism is real rather than a label.</w:t>
      </w:r>
    </w:p>
    <w:p>
      <w:pPr>
        <w:pStyle w:val="Heading2"/>
      </w:pPr>
      <w:r>
        <w:t>6.4 Implementation of Individual Modules</w:t>
      </w:r>
    </w:p>
    <w:p>
      <w:pPr>
        <w:pStyle w:val="Heading3"/>
      </w:pPr>
      <w:r>
        <w:t>6.4.1 Module 1 — Audience Targeting and Personalization</w:t>
      </w:r>
    </w:p>
    <w:p>
      <w:r>
        <w:t>The engine is implemented in `modules/m1_segmentation/segment.py` as a feature-set-agnostic function with two callers, one for the research audience and one for live visitors. Preprocessing uses `StandardScaler`; clustering uses `KMeans` (k = 4, `n_init` = 10, fixed random state) and `AgglomerativeClustering` with Ward linkage. Cluster naming is derived at run time by ranking centroids on engagement and purchase dimensions.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4" name="Picture 14"/>
            <wp:cNvGraphicFramePr>
              <a:graphicFrameLocks noChangeAspect="1"/>
            </wp:cNvGraphicFramePr>
            <a:graphic>
              <a:graphicData uri="http://schemas.openxmlformats.org/drawingml/2006/picture">
                <pic:pic>
                  <pic:nvPicPr>
                    <pic:cNvPr id="0" name="shot_code_vote.png"/>
                    <pic:cNvPicPr/>
                  </pic:nvPicPr>
                  <pic:blipFill>
                    <a:blip r:embed="rId24"/>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14 — The agreement vote. Cold start is resolved immediately after unanimity, before the clustering comparison.</w:t>
      </w:r>
    </w:p>
    <w:p>
      <w:r>
        <w:t>The confidence score is produced by a classifier trained on the vote outcome with the vote's own encoded label excluded from the feature set. Section 6.7 explains why that exclusion is not optional, and Section 7.3.2 measures what it changes.</w:t>
      </w:r>
    </w:p>
    <w:p>
      <w:pPr>
        <w:pStyle w:val="Heading3"/>
      </w:pPr>
      <w:r>
        <w:t>6.4.2 Module 2 — Marketing Automation and Campaign Management</w:t>
      </w:r>
    </w:p>
    <w:p>
      <w:r>
        <w:t>Module 2 is implemented under `modules/m2_automation/src/` with the three policies in a `strategies/` package behind a common interface, so that the simulator and evaluator are identical across policies. `ml_model.py` fits the response models; `simulator.py` generates events; `evaluation.py` computes the comparison metrics.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5" name="Picture 15"/>
            <wp:cNvGraphicFramePr>
              <a:graphicFrameLocks noChangeAspect="1"/>
            </wp:cNvGraphicFramePr>
            <a:graphic>
              <a:graphicData uri="http://schemas.openxmlformats.org/drawingml/2006/picture">
                <pic:pic>
                  <pic:nvPicPr>
                    <pic:cNvPr id="0" name="shot_code_policy.png"/>
                    <pic:cNvPicPr/>
                  </pic:nvPicPr>
                  <pic:blipFill>
                    <a:blip r:embed="rId25"/>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15 — The policy engine. The three policies share every other component of the comparison.</w:t>
      </w:r>
    </w:p>
    <w:p>
      <w:r>
        <w:t>A stratified dummy classifier is fitted alongside the real models and reported in the same table, because the dataset's base rate is high enough that a model can look accurate by predicting the majority class for every customer. Publishing the dummy result beside the real one makes that floor visible.</w:t>
      </w:r>
    </w:p>
    <w:p>
      <w:pPr>
        <w:pStyle w:val="Heading3"/>
      </w:pPr>
      <w:r>
        <w:t>6.4.3 Module 3 — Marketing Analytics and Decision Support</w:t>
      </w:r>
    </w:p>
    <w:p>
      <w:r>
        <w:t>Module 3 is implemented under `modules/m3_analytics/src/` as co-operating components run end to end by `pipeline.py`.</w:t>
      </w:r>
    </w:p>
    <w:p>
      <w:pPr>
        <w:pStyle w:val="TableCaption"/>
      </w:pPr>
      <w:r>
        <w:rPr>
          <w:b w:val="0"/>
          <w:i w:val="0"/>
        </w:rPr>
        <w:t>Table 12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journeys with known channel influence for ground-truth scoring</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by stage, segment and policy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and Markov credit assignment</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against a stratified baseline</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Percentile and paired bootstrap intervals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3019550"/>
            <wp:docPr id="16" name="Picture 16"/>
            <wp:cNvGraphicFramePr>
              <a:graphicFrameLocks noChangeAspect="1"/>
            </wp:cNvGraphicFramePr>
            <a:graphic>
              <a:graphicData uri="http://schemas.openxmlformats.org/drawingml/2006/picture">
                <pic:pic>
                  <pic:nvPicPr>
                    <pic:cNvPr id="0" name="shot_code_attribution.png"/>
                    <pic:cNvPicPr/>
                  </pic:nvPicPr>
                  <pic:blipFill>
                    <a:blip r:embed="rId26"/>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16 — The attribution engine. Four models over the same journeys.</w:t>
      </w:r>
    </w:p>
    <w:p>
      <w:r>
        <w:t>The decision service is the part of Module 3 that changed most after the interim stage. Every recommendation is now written to an append-only log together with the probability it was taken under, and ten per cent of decisions are drawn at random on purpose. Without that, the log records only what the current policy already believes, and no alternative policy can be evaluated from it.</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7" name="Picture 17"/>
            <wp:cNvGraphicFramePr>
              <a:graphicFrameLocks noChangeAspect="1"/>
            </wp:cNvGraphicFramePr>
            <a:graphic>
              <a:graphicData uri="http://schemas.openxmlformats.org/drawingml/2006/picture">
                <pic:pic>
                  <pic:nvPicPr>
                    <pic:cNvPr id="0" name="shot_code_propensity.png"/>
                    <pic:cNvPicPr/>
                  </pic:nvPicPr>
                  <pic:blipFill>
                    <a:blip r:embed="rId27"/>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17 — Logging a decision with its propensity, and the deliberate exploration branch.</w:t>
      </w:r>
    </w:p>
    <w:p>
      <w:pPr>
        <w:pStyle w:val="Heading3"/>
      </w:pPr>
      <w:r>
        <w:t>6.4.4 Module 4 — AI Content Refinery</w:t>
      </w:r>
    </w:p>
    <w:p>
      <w:r>
        <w:t>The crawler (`crawler.py`) fetches and cleans the site; the capability detector reads whole path segments and host labels rather than substrings, for reasons Section 7.3.10 explains; `knowledge_base.py` builds the business summary; `goal_tone.py` trains and selects the classifiers; `generator.py` produces platform-specific assets; `evaluation.py` computes semantic similarity and platform suitability; and `engagement.py` provides the engagement regressor.</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8" name="Picture 18"/>
            <wp:cNvGraphicFramePr>
              <a:graphicFrameLocks noChangeAspect="1"/>
            </wp:cNvGraphicFramePr>
            <a:graphic>
              <a:graphicData uri="http://schemas.openxmlformats.org/drawingml/2006/picture">
                <pic:pic>
                  <pic:nvPicPr>
                    <pic:cNvPr id="0" name="shot_code_goal_tone.png"/>
                    <pic:cNvPicPr/>
                  </pic:nvPicPr>
                  <pic:blipFill>
                    <a:blip r:embed="rId28"/>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18 — Model selection in goal_tone.py. Both representations are trained on the same split and compared, not assumed.</w:t>
      </w:r>
    </w:p>
    <w:p>
      <w:r>
        <w:t>The engagement regressor is trained with an explicit leakage guard: the outcome components from which the target is derived are excluded from the feature set by name. The guard iterates a sorted sequence rather than a set, because an unordered iteration made column order depend on the process hash seed and the reported score wobble between runs — a reproducibility defect described in Section 6.7.</w:t>
      </w:r>
    </w:p>
    <w:p>
      <w:pPr>
        <w:pStyle w:val="Heading2"/>
      </w:pPr>
      <w:r>
        <w:t>6.5 Integrated Platform Implementation</w:t>
      </w:r>
    </w:p>
    <w:p>
      <w:r>
        <w:t>The FastAPI application exposes routers over the four modules, with module logic wrapped in a `services/` layer so that HTTP concerns never leak into research code. The database schema lives in `api/schema.sql`; the tracking snippet is served from `api/static/mos.js`. Tenant isolation is implemented as a single middleware covering every site-scoped route rather than a check repeated in each handler — an isolation check that must be remembered in twenty places will eventually be forgotten in one.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9" name="Picture 19"/>
            <wp:cNvGraphicFramePr>
              <a:graphicFrameLocks noChangeAspect="1"/>
            </wp:cNvGraphicFramePr>
            <a:graphic>
              <a:graphicData uri="http://schemas.openxmlformats.org/drawingml/2006/picture">
                <pic:pic>
                  <pic:nvPicPr>
                    <pic:cNvPr id="0" name="shot_login.png"/>
                    <pic:cNvPicPr/>
                  </pic:nvPicPr>
                  <pic:blipFill>
                    <a:blip r:embed="rId29"/>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19 — Account creation, website registration and the snippet installation check.</w:t>
      </w:r>
    </w:p>
    <w:p>
      <w:r>
        <w:t>The dashboard is a Next.js application with seven authenticated pages. Every figure it renders carries a provenance badge derived from the rows behind it, so a reader can never mistake a dataset-derived chart for measured live behaviour.</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0" name="Picture 20"/>
            <wp:cNvGraphicFramePr>
              <a:graphicFrameLocks noChangeAspect="1"/>
            </wp:cNvGraphicFramePr>
            <a:graphic>
              <a:graphicData uri="http://schemas.openxmlformats.org/drawingml/2006/picture">
                <pic:pic>
                  <pic:nvPicPr>
                    <pic:cNvPr id="0" name="shot_dash_overview.png"/>
                    <pic:cNvPicPr/>
                  </pic:nvPicPr>
                  <pic:blipFill>
                    <a:blip r:embed="rId30"/>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20 — Dashboard, Overview page.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1" name="Picture 21"/>
            <wp:cNvGraphicFramePr>
              <a:graphicFrameLocks noChangeAspect="1"/>
            </wp:cNvGraphicFramePr>
            <a:graphic>
              <a:graphicData uri="http://schemas.openxmlformats.org/drawingml/2006/picture">
                <pic:pic>
                  <pic:nvPicPr>
                    <pic:cNvPr id="0" name="shot_dash_audience.png"/>
                    <pic:cNvPicPr/>
                  </pic:nvPicPr>
                  <pic:blipFill>
                    <a:blip r:embed="rId31"/>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21 — Dashboard, Audience page: the five segments with sizes, conversion rates and calibrated confidence.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2" name="Picture 22"/>
            <wp:cNvGraphicFramePr>
              <a:graphicFrameLocks noChangeAspect="1"/>
            </wp:cNvGraphicFramePr>
            <a:graphic>
              <a:graphicData uri="http://schemas.openxmlformats.org/drawingml/2006/picture">
                <pic:pic>
                  <pic:nvPicPr>
                    <pic:cNvPr id="0" name="shot_dash_campaigns.png"/>
                    <pic:cNvPicPr/>
                  </pic:nvPicPr>
                  <pic:blipFill>
                    <a:blip r:embed="rId32"/>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22 — Dashboard, Campaigns page: the three policies and their measured efficiency.</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3" name="Picture 23"/>
            <wp:cNvGraphicFramePr>
              <a:graphicFrameLocks noChangeAspect="1"/>
            </wp:cNvGraphicFramePr>
            <a:graphic>
              <a:graphicData uri="http://schemas.openxmlformats.org/drawingml/2006/picture">
                <pic:pic>
                  <pic:nvPicPr>
                    <pic:cNvPr id="0" name="shot_dash_analytics.png"/>
                    <pic:cNvPicPr/>
                  </pic:nvPicPr>
                  <pic:blipFill>
                    <a:blip r:embed="rId33"/>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23 — Dashboard, Analytics page: funnel, drop-off by segment and the four attribution models side by side.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4" name="Picture 24"/>
            <wp:cNvGraphicFramePr>
              <a:graphicFrameLocks noChangeAspect="1"/>
            </wp:cNvGraphicFramePr>
            <a:graphic>
              <a:graphicData uri="http://schemas.openxmlformats.org/drawingml/2006/picture">
                <pic:pic>
                  <pic:nvPicPr>
                    <pic:cNvPr id="0" name="shot_dash_content.png"/>
                    <pic:cNvPicPr/>
                  </pic:nvPicPr>
                  <pic:blipFill>
                    <a:blip r:embed="rId34"/>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24 — Dashboard, Content page: generated assets with their component scores.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5" name="Picture 25"/>
            <wp:cNvGraphicFramePr>
              <a:graphicFrameLocks noChangeAspect="1"/>
            </wp:cNvGraphicFramePr>
            <a:graphic>
              <a:graphicData uri="http://schemas.openxmlformats.org/drawingml/2006/picture">
                <pic:pic>
                  <pic:nvPicPr>
                    <pic:cNvPr id="0" name="shot_dash_plan.png"/>
                    <pic:cNvPicPr/>
                  </pic:nvPicPr>
                  <pic:blipFill>
                    <a:blip r:embed="rId35"/>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25 — Dashboard, Action Plan: who to contact, with what, on which platform, and why.</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6" name="Picture 26"/>
            <wp:cNvGraphicFramePr>
              <a:graphicFrameLocks noChangeAspect="1"/>
            </wp:cNvGraphicFramePr>
            <a:graphic>
              <a:graphicData uri="http://schemas.openxmlformats.org/drawingml/2006/picture">
                <pic:pic>
                  <pic:nvPicPr>
                    <pic:cNvPr id="0" name="shot_dash_research.png"/>
                    <pic:cNvPicPr/>
                  </pic:nvPicPr>
                  <pic:blipFill>
                    <a:blip r:embed="rId36"/>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26 — Dashboard, Research page. Generated at request time from disk and database, so it cannot drift from the system it describes.</w:t>
      </w:r>
    </w:p>
    <w:p>
      <w:r>
        <w:t>The whole system is reproducible from a clean checkout: `make setup` provisions dependencies, `make db` starts PostgreSQL, `make api`, `make web` and `make site` start the services, and `make demo` imports the audience and runs every module end to end.</w:t>
      </w:r>
    </w:p>
    <w:p>
      <w:pPr>
        <w:pStyle w:val="Heading2"/>
      </w:pPr>
      <w:r>
        <w:t>6.6 Research Infrastructure</w:t>
      </w:r>
    </w:p>
    <w:p>
      <w:r>
        <w:t>The experimental apparatus lives in `research/` and is the part of the implementation that makes Chapter 7 possible. Eleven experiments in `research/experiments/` each write their own CSV tables; `stats.py` provides the percentile bootstrap, the paired bootstrap with Wilcoxon signed-rank, exact McNemar, Wilson intervals and Cliff's delta; `figures.py` draws every figure from those tables; and `chapters.py` authors the prose once and renders it both to Markdown and into this report with the values interpolated.</w:t>
      </w:r>
    </w:p>
    <w:p>
      <w:pPr>
        <w:keepNext/>
        <w:keepLines/>
        <w:spacing w:before="360" w:after="120" w:line="240" w:lineRule="auto"/>
        <w:jc w:val="center"/>
      </w:pPr>
      <w:r>
        <w:drawing>
          <wp:inline xmlns:a="http://schemas.openxmlformats.org/drawingml/2006/main" xmlns:pic="http://schemas.openxmlformats.org/drawingml/2006/picture">
            <wp:extent cx="5486400" cy="2789352"/>
            <wp:docPr id="27" name="Picture 27"/>
            <wp:cNvGraphicFramePr>
              <a:graphicFrameLocks noChangeAspect="1"/>
            </wp:cNvGraphicFramePr>
            <a:graphic>
              <a:graphicData uri="http://schemas.openxmlformats.org/drawingml/2006/picture">
                <pic:pic>
                  <pic:nvPicPr>
                    <pic:cNvPr id="0" name="shot_code_experiment.png"/>
                    <pic:cNvPicPr/>
                  </pic:nvPicPr>
                  <pic:blipFill>
                    <a:blip r:embed="rId37"/>
                    <a:stretch>
                      <a:fillRect/>
                    </a:stretch>
                  </pic:blipFill>
                  <pic:spPr>
                    <a:xfrm>
                      <a:off x="0" y="0"/>
                      <a:ext cx="5486400" cy="2789352"/>
                    </a:xfrm>
                    <a:prstGeom prst="rect"/>
                  </pic:spPr>
                </pic:pic>
              </a:graphicData>
            </a:graphic>
          </wp:inline>
        </w:drawing>
      </w:r>
    </w:p>
    <w:p>
      <w:pPr>
        <w:pStyle w:val="Caption"/>
        <w:keepLines/>
        <w:spacing w:before="40" w:after="400" w:line="240" w:lineRule="auto"/>
      </w:pPr>
      <w:r>
        <w:rPr>
          <w:b w:val="0"/>
          <w:i w:val="0"/>
        </w:rPr>
        <w:t>Figure 27 — An experiment. Each writes its own tables; nothing is copied into the report by hand.</w:t>
      </w:r>
    </w:p>
    <w:p>
      <w:r>
        <w:t>A single command runs the lot. All randomness is seeded, confidence intervals use 10,000 bootstrap resamples and the policy comparison runs 30 independent seeds.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8" name="Picture 28"/>
            <wp:cNvGraphicFramePr>
              <a:graphicFrameLocks noChangeAspect="1"/>
            </wp:cNvGraphicFramePr>
            <a:graphic>
              <a:graphicData uri="http://schemas.openxmlformats.org/drawingml/2006/picture">
                <pic:pic>
                  <pic:nvPicPr>
                    <pic:cNvPr id="0" name="shot_make_research.png"/>
                    <pic:cNvPicPr/>
                  </pic:nvPicPr>
                  <pic:blipFill>
                    <a:blip r:embed="rId38"/>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28 — `make research` completing all eleven experiments and regenerating every table, figure and chapter in Chapter 7.</w:t>
      </w:r>
    </w:p>
    <w:p>
      <w:r>
        <w:t>One implementation detail is worth recording because it caused a real defect. Module 2 and Module 3 both ship a top-level package named `src`, so importing them in the same process is ambiguous; `module_loader.py` exists to load each by explicit path rather than letting import order decide which one wins.</w:t>
      </w:r>
    </w:p>
    <w:p>
      <w:pPr>
        <w:pStyle w:val="Heading2"/>
      </w:pPr>
      <w:r>
        <w:t>6.7 Defects Identified and Corrected in the Research Code</w:t>
      </w:r>
    </w:p>
    <w:p>
      <w:r>
        <w:t>Converting the interim-stage notebooks into a running system, and then subjecting that system to its own experiments, exposed a series of defects in the project's own code. Each had produced results that looked good and were not valid. They are reported here in full because the corrected figures are the ones used throughout Chapter 7, and because the pattern they form — every one of them inflated a result, and none produced an error — is itself a finding.</w:t>
      </w:r>
    </w:p>
    <w:p>
      <w:pPr>
        <w:pStyle w:val="TableCaption"/>
      </w:pPr>
      <w:r>
        <w:rPr>
          <w:b w:val="0"/>
          <w:i w:val="0"/>
        </w:rPr>
        <w:t>Table 13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the rule label among its inputs while the target was the hybrid consensus.</w:t>
            </w:r>
          </w:p>
        </w:tc>
        <w:tc>
          <w:tcPr>
            <w:tcW w:type="dxa" w:w="2167"/>
          </w:tcPr>
          <w:p>
            <w:pPr>
              <w:spacing w:after="40" w:line="240" w:lineRule="auto"/>
              <w:jc w:val="center"/>
            </w:pPr>
            <w:r/>
            <w:r>
              <w:rPr>
                <w:b w:val="0"/>
                <w:sz w:val="20"/>
              </w:rPr>
              <w:t>Certainty inflated by a factor of 150 — 450 customers at confidence 1.00 against 3 — while accuracy moved by 0.0013 (§7.3.2).</w:t>
            </w:r>
          </w:p>
        </w:tc>
        <w:tc>
          <w:tcPr>
            <w:tcW w:type="dxa" w:w="2167"/>
          </w:tcPr>
          <w:p>
            <w:pPr>
              <w:spacing w:after="40" w:line="240" w:lineRule="auto"/>
              <w:jc w:val="center"/>
            </w:pPr>
            <w:r/>
            <w:r>
              <w:rPr>
                <w:b w:val="0"/>
                <w:sz w:val="20"/>
              </w:rPr>
              <w:t>Rule label removed from the feature set; the honest accuracy and its interval reported instead.</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cold-start segment lost 36 of 163 customers on the dataset and went to zero on the live audience — the module's novel contribution erased by its own pipeline.</w:t>
            </w:r>
          </w:p>
        </w:tc>
        <w:tc>
          <w:tcPr>
            <w:tcW w:type="dxa" w:w="2167"/>
          </w:tcPr>
          <w:p>
            <w:pPr>
              <w:spacing w:after="40" w:line="240" w:lineRule="auto"/>
              <w:jc w:val="center"/>
            </w:pPr>
            <w:r/>
            <w:r>
              <w:rPr>
                <w:b w:val="0"/>
                <w:sz w:val="20"/>
              </w:rPr>
              <w:t>Cold start resolved immediately after unanimity, with a regression test.</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the outcome components from which its target was derived.</w:t>
            </w:r>
          </w:p>
        </w:tc>
        <w:tc>
          <w:tcPr>
            <w:tcW w:type="dxa" w:w="2167"/>
          </w:tcPr>
          <w:p>
            <w:pPr>
              <w:spacing w:after="40" w:line="240" w:lineRule="auto"/>
              <w:jc w:val="center"/>
            </w:pPr>
            <w:r/>
            <w:r>
              <w:rPr>
                <w:b w:val="0"/>
                <w:sz w:val="20"/>
              </w:rPr>
              <w:t>R² of 0.9901 was entirely leakage; the corrected value is −0.168 (§7.3.7).</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restoring the full corpus.</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w:t>
            </w:r>
          </w:p>
        </w:tc>
        <w:tc>
          <w:tcPr>
            <w:tcW w:type="dxa" w:w="2167"/>
          </w:tcPr>
          <w:p>
            <w:pPr>
              <w:spacing w:after="40" w:line="240" w:lineRule="auto"/>
              <w:jc w:val="center"/>
            </w:pPr>
            <w:r/>
            <w:r>
              <w:rPr>
                <w:b w:val="0"/>
                <w:sz w:val="20"/>
              </w:rPr>
              <w:t>Visual options defined; the selector asserts the declared type is satisfiable.</w:t>
            </w:r>
          </w:p>
        </w:tc>
      </w:tr>
      <w:tr>
        <w:tc>
          <w:tcPr>
            <w:tcW w:type="dxa" w:w="2167"/>
          </w:tcPr>
          <w:p>
            <w:pPr>
              <w:spacing w:after="40" w:line="240" w:lineRule="auto"/>
              <w:jc w:val="left"/>
            </w:pPr>
            <w:r/>
            <w:r>
              <w:rPr>
                <w:b w:val="0"/>
                <w:sz w:val="20"/>
              </w:rPr>
              <w:t>D7</w:t>
            </w:r>
          </w:p>
        </w:tc>
        <w:tc>
          <w:tcPr>
            <w:tcW w:type="dxa" w:w="2167"/>
          </w:tcPr>
          <w:p>
            <w:pPr>
              <w:spacing w:after="40" w:line="240" w:lineRule="auto"/>
              <w:jc w:val="center"/>
            </w:pPr>
            <w:r/>
            <w:r>
              <w:rPr>
                <w:b w:val="0"/>
                <w:sz w:val="20"/>
              </w:rPr>
              <w:t>The engagement leakage guard iterated a Python `set`, so column order depended on the process hash seed.</w:t>
            </w:r>
          </w:p>
        </w:tc>
        <w:tc>
          <w:tcPr>
            <w:tcW w:type="dxa" w:w="2167"/>
          </w:tcPr>
          <w:p>
            <w:pPr>
              <w:spacing w:after="40" w:line="240" w:lineRule="auto"/>
              <w:jc w:val="center"/>
            </w:pPr>
            <w:r/>
            <w:r>
              <w:rPr>
                <w:b w:val="0"/>
                <w:sz w:val="20"/>
              </w:rPr>
              <w:t>The reported R² wobbled between 0.9898 and 0.99 across processes — a result that could not be reproduced exactly.</w:t>
            </w:r>
          </w:p>
        </w:tc>
        <w:tc>
          <w:tcPr>
            <w:tcW w:type="dxa" w:w="2167"/>
          </w:tcPr>
          <w:p>
            <w:pPr>
              <w:spacing w:after="40" w:line="240" w:lineRule="auto"/>
              <w:jc w:val="center"/>
            </w:pPr>
            <w:r/>
            <w:r>
              <w:rPr>
                <w:b w:val="0"/>
                <w:sz w:val="20"/>
              </w:rPr>
              <w:t>Sorted iteration, with a subprocess test that varies PYTHONHASHSEED.</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and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made a result better than it truly was, and none produced an error message. D1 is the sharpest case — it barely moved accuracy while multiplying certainty by 150, so every test stayed green and the only symptom was a confidence column that looked impressive. That is why the integrity mechanisms of Section 5.5 were designed into the system rather than left as good intentions.</w:t>
      </w:r>
    </w:p>
    <w:p>
      <w:pPr>
        <w:pStyle w:val="Heading2"/>
      </w:pPr>
      <w:r>
        <w:t>6.8 Testing and Reproducibility</w:t>
      </w:r>
    </w:p>
    <w:p>
      <w:r>
        <w:t xml:space="preserve">The automated suite comprises </w:t>
      </w:r>
      <w:r>
        <w:rPr>
          <w:b/>
        </w:rPr>
        <w:t>260 collected tests</w:t>
      </w:r>
      <w:r>
        <w:t xml:space="preserve"> across the platform, Module 3 and the research layer, covering data contracts, API behaviour, tracking, segmentation, campaign actions, the action catalogue, decision logging, content generation, authentication, tenant isolation, the research importer, the statistics functions and the experiments themselves.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9" name="Picture 29"/>
            <wp:cNvGraphicFramePr>
              <a:graphicFrameLocks noChangeAspect="1"/>
            </wp:cNvGraphicFramePr>
            <a:graphic>
              <a:graphicData uri="http://schemas.openxmlformats.org/drawingml/2006/picture">
                <pic:pic>
                  <pic:nvPicPr>
                    <pic:cNvPr id="0" name="shot_make_test.png"/>
                    <pic:cNvPicPr/>
                  </pic:nvPicPr>
                  <pic:blipFill>
                    <a:blip r:embed="rId39"/>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29 — The test suite passing.</w:t>
      </w:r>
    </w:p>
    <w:p>
      <w:pPr>
        <w:pStyle w:val="TableCaption"/>
      </w:pPr>
      <w:r>
        <w:rPr>
          <w:b w:val="0"/>
          <w:i w:val="0"/>
        </w:rPr>
        <w:t>Table 14 — What the structural tests protect.</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Test</w:t>
            </w:r>
          </w:p>
        </w:tc>
        <w:tc>
          <w:tcPr>
            <w:tcW w:type="dxa" w:w="4334"/>
            <w:shd w:val="clear" w:color="auto" w:fill="E8EEF6"/>
          </w:tcPr>
          <w:p>
            <w:pPr>
              <w:spacing w:after="40" w:line="240" w:lineRule="auto"/>
              <w:jc w:val="center"/>
            </w:pPr>
            <w:r/>
            <w:r>
              <w:rPr>
                <w:b/>
                <w:sz w:val="20"/>
              </w:rPr>
              <w:t>Property protected</w:t>
            </w:r>
          </w:p>
        </w:tc>
      </w:tr>
      <w:tr>
        <w:tc>
          <w:tcPr>
            <w:tcW w:type="dxa" w:w="4334"/>
          </w:tcPr>
          <w:p>
            <w:pPr>
              <w:spacing w:after="40" w:line="240" w:lineRule="auto"/>
              <w:jc w:val="left"/>
            </w:pPr>
            <w:r/>
            <w:r>
              <w:rPr>
                <w:b w:val="0"/>
                <w:sz w:val="20"/>
              </w:rPr>
              <w:t>Provenance guard</w:t>
            </w:r>
          </w:p>
        </w:tc>
        <w:tc>
          <w:tcPr>
            <w:tcW w:type="dxa" w:w="4334"/>
          </w:tcPr>
          <w:p>
            <w:pPr>
              <w:spacing w:after="40" w:line="240" w:lineRule="auto"/>
              <w:jc w:val="center"/>
            </w:pPr>
            <w:r/>
            <w:r>
              <w:rPr>
                <w:b w:val="0"/>
                <w:sz w:val="20"/>
              </w:rPr>
              <w:t>A dataset-derived customer can never produce a row claiming live observation.</w:t>
            </w:r>
          </w:p>
        </w:tc>
      </w:tr>
      <w:tr>
        <w:tc>
          <w:tcPr>
            <w:tcW w:type="dxa" w:w="4334"/>
          </w:tcPr>
          <w:p>
            <w:pPr>
              <w:spacing w:after="40" w:line="240" w:lineRule="auto"/>
              <w:jc w:val="left"/>
            </w:pPr>
            <w:r/>
            <w:r>
              <w:rPr>
                <w:b w:val="0"/>
                <w:sz w:val="20"/>
              </w:rPr>
              <w:t>Import fidelity</w:t>
            </w:r>
          </w:p>
        </w:tc>
        <w:tc>
          <w:tcPr>
            <w:tcW w:type="dxa" w:w="4334"/>
          </w:tcPr>
          <w:p>
            <w:pPr>
              <w:spacing w:after="40" w:line="240" w:lineRule="auto"/>
              <w:jc w:val="center"/>
            </w:pPr>
            <w:r/>
            <w:r>
              <w:rPr>
                <w:b w:val="0"/>
                <w:sz w:val="20"/>
              </w:rPr>
              <w:t>Every preserved total matches the source CSV, and a re-import is byte-identical.</w:t>
            </w:r>
          </w:p>
        </w:tc>
      </w:tr>
      <w:tr>
        <w:tc>
          <w:tcPr>
            <w:tcW w:type="dxa" w:w="4334"/>
          </w:tcPr>
          <w:p>
            <w:pPr>
              <w:spacing w:after="40" w:line="240" w:lineRule="auto"/>
              <w:jc w:val="left"/>
            </w:pPr>
            <w:r/>
            <w:r>
              <w:rPr>
                <w:b w:val="0"/>
                <w:sz w:val="20"/>
              </w:rPr>
              <w:t>Numeric serialisation walk</w:t>
            </w:r>
          </w:p>
        </w:tc>
        <w:tc>
          <w:tcPr>
            <w:tcW w:type="dxa" w:w="4334"/>
          </w:tcPr>
          <w:p>
            <w:pPr>
              <w:spacing w:after="40" w:line="240" w:lineRule="auto"/>
              <w:jc w:val="center"/>
            </w:pPr>
            <w:r/>
            <w:r>
              <w:rPr>
                <w:b w:val="0"/>
                <w:sz w:val="20"/>
              </w:rPr>
              <w:t>Every API response returns numbers as numbers; PostgreSQL NUMERIC values reached the dashboard as JSON strings twice before this test existed.</w:t>
            </w:r>
          </w:p>
        </w:tc>
      </w:tr>
      <w:tr>
        <w:tc>
          <w:tcPr>
            <w:tcW w:type="dxa" w:w="4334"/>
          </w:tcPr>
          <w:p>
            <w:pPr>
              <w:spacing w:after="40" w:line="240" w:lineRule="auto"/>
              <w:jc w:val="left"/>
            </w:pPr>
            <w:r/>
            <w:r>
              <w:rPr>
                <w:b w:val="0"/>
                <w:sz w:val="20"/>
              </w:rPr>
              <w:t>Two-account isolation</w:t>
            </w:r>
          </w:p>
        </w:tc>
        <w:tc>
          <w:tcPr>
            <w:tcW w:type="dxa" w:w="4334"/>
          </w:tcPr>
          <w:p>
            <w:pPr>
              <w:spacing w:after="40" w:line="240" w:lineRule="auto"/>
              <w:jc w:val="center"/>
            </w:pPr>
            <w:r/>
            <w:r>
              <w:rPr>
                <w:b w:val="0"/>
                <w:sz w:val="20"/>
              </w:rPr>
              <w:t>One account probing another's site receives 404, not 403.</w:t>
            </w:r>
          </w:p>
        </w:tc>
      </w:tr>
      <w:tr>
        <w:tc>
          <w:tcPr>
            <w:tcW w:type="dxa" w:w="4334"/>
          </w:tcPr>
          <w:p>
            <w:pPr>
              <w:spacing w:after="40" w:line="240" w:lineRule="auto"/>
              <w:jc w:val="left"/>
            </w:pPr>
            <w:r/>
            <w:r>
              <w:rPr>
                <w:b w:val="0"/>
                <w:sz w:val="20"/>
              </w:rPr>
              <w:t>Hash-seed reproducibility</w:t>
            </w:r>
          </w:p>
        </w:tc>
        <w:tc>
          <w:tcPr>
            <w:tcW w:type="dxa" w:w="4334"/>
          </w:tcPr>
          <w:p>
            <w:pPr>
              <w:spacing w:after="40" w:line="240" w:lineRule="auto"/>
              <w:jc w:val="center"/>
            </w:pPr>
            <w:r/>
            <w:r>
              <w:rPr>
                <w:b w:val="0"/>
                <w:sz w:val="20"/>
              </w:rPr>
              <w:t>A subprocess run under a different PYTHONHASHSEED produces the same engagement result (defect D7).</w:t>
            </w:r>
          </w:p>
        </w:tc>
      </w:tr>
      <w:tr>
        <w:tc>
          <w:tcPr>
            <w:tcW w:type="dxa" w:w="4334"/>
          </w:tcPr>
          <w:p>
            <w:pPr>
              <w:spacing w:after="40" w:line="240" w:lineRule="auto"/>
              <w:jc w:val="left"/>
            </w:pPr>
            <w:r/>
            <w:r>
              <w:rPr>
                <w:b w:val="0"/>
                <w:sz w:val="20"/>
              </w:rPr>
              <w:t>One regression test per defect</w:t>
            </w:r>
          </w:p>
        </w:tc>
        <w:tc>
          <w:tcPr>
            <w:tcW w:type="dxa" w:w="4334"/>
          </w:tcPr>
          <w:p>
            <w:pPr>
              <w:spacing w:after="40" w:line="240" w:lineRule="auto"/>
              <w:jc w:val="center"/>
            </w:pPr>
            <w:r/>
            <w:r>
              <w:rPr>
                <w:b w:val="0"/>
                <w:sz w:val="20"/>
              </w:rPr>
              <w:t>Each row of Table 13 has a test that fails if the defect returns.</w:t>
            </w:r>
          </w:p>
        </w:tc>
      </w:tr>
    </w:tbl>
    <w:p>
      <w:pPr>
        <w:spacing w:after="120"/>
      </w:pPr>
    </w:p>
    <w:p>
      <w:pPr>
        <w:pStyle w:val="Heading2"/>
      </w:pPr>
      <w:r>
        <w:t>6.9 Summary</w:t>
      </w:r>
    </w:p>
    <w:p>
      <w:r>
        <w:t>All four modules are implemented, integrated behind a single API over a shared PostgreSQL database, exercised by 260 automated tests and reproducible from a clean checkout with a small number of commands. Seven defects in the research code were identified and corrected, each with a regression test, and the corrected figures are the ones evaluated in Chapter 7.</w:t>
      </w:r>
    </w:p>
    <w:p>
      <w:r>
        <w:br w:type="page"/>
      </w:r>
    </w:p>
    <w:p>
      <w:pPr>
        <w:pStyle w:val="Heading1"/>
      </w:pPr>
      <w:r>
        <w:t>CHAPTER 7 — EVALUATION</w:t>
      </w:r>
    </w:p>
    <w:p>
      <w:r>
        <w:t>This chapter is generated from the measured results. Every number, table and figure in it is produced by an experiment in `research/experiments/` and written to `research/results/results.json`; the prose is authored once in `research/chapters.py` and rendered into this report with the values interpolated. Re-running `make research` regenerates the whole chapter, so no figure here can drift away from the number it plots.</w:t>
      </w:r>
    </w:p>
    <w:p>
      <w:pPr>
        <w:pStyle w:val="Heading2"/>
      </w:pPr>
      <w:r>
        <w:t>7.1 Research Methodology</w:t>
      </w:r>
    </w:p>
    <w:p>
      <w:pPr>
        <w:pStyle w:val="Heading3"/>
      </w:pPr>
      <w:r>
        <w:t>7.1.1 What is being studied</w:t>
      </w:r>
    </w:p>
    <w:p>
      <w:r>
        <w:t>This project builds a closed-loop marketing framework for newly launched products, where almost no behavioural history exists. Four modules act on one audience: segmentation, campaign automation, analytics and decision support, and content generation. Each module was developed separately and evaluated on its own; the contribution of this stage of the work is that they now run as one system over a single audience, and that every claim about them is reproducible from one command.</w:t>
      </w:r>
    </w:p>
    <w:p>
      <w:pPr>
        <w:pStyle w:val="Heading3"/>
      </w:pPr>
      <w:r>
        <w:t>7.1.2 The audience, and what it is made of</w:t>
      </w:r>
    </w:p>
    <w:p>
      <w:r>
        <w:t xml:space="preserve">The study audience is the </w:t>
      </w:r>
      <w:r>
        <w:rPr>
          <w:b/>
        </w:rPr>
        <w:t>Digital Marketing Campaign</w:t>
      </w:r>
      <w:r>
        <w:t xml:space="preserve"> dataset — 8,000 customers with recorded website behaviour, email engagement, purchase history and a conversion outcome. Those customers are imported as the customer base of a demonstration e-commerce store, so that the same audience flows through all four modules exactly as a real one would.</w:t>
      </w:r>
    </w:p>
    <w:p>
      <w:r>
        <w:t xml:space="preserve">This is the single most important methodological point in the project, and it must be stated before any result is quoted. The dataset is real: real people, whose behaviour was really measured. But it was measured as </w:t>
      </w:r>
      <w:r>
        <w:rPr>
          <w:b/>
        </w:rPr>
        <w:t>per-customer totals</w:t>
      </w:r>
      <w:r>
        <w:t xml:space="preserve"> — 25 website visits, 5.5 pages per visit, 9 email opens — and not as an event log. Nobody recorded when visit 14 happened or which page it was.</w:t>
      </w:r>
    </w:p>
    <w:p>
      <w:pPr>
        <w:pStyle w:val="TableCaption"/>
      </w:pPr>
      <w:r>
        <w:rPr>
          <w:b w:val="0"/>
          <w:i w:val="0"/>
        </w:rPr>
        <w:t>Table 15 — What is measured data and what is reconstructed by the importer.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Quantity</w:t>
            </w:r>
          </w:p>
        </w:tc>
        <w:tc>
          <w:tcPr>
            <w:tcW w:type="dxa" w:w="2890"/>
            <w:shd w:val="clear" w:color="auto" w:fill="E8EEF6"/>
          </w:tcPr>
          <w:p>
            <w:pPr>
              <w:spacing w:after="40" w:line="240" w:lineRule="auto"/>
              <w:jc w:val="center"/>
            </w:pPr>
            <w:r/>
            <w:r>
              <w:rPr>
                <w:b/>
                <w:sz w:val="20"/>
              </w:rPr>
              <w:t>Status</w:t>
            </w:r>
          </w:p>
        </w:tc>
        <w:tc>
          <w:tcPr>
            <w:tcW w:type="dxa" w:w="2890"/>
            <w:shd w:val="clear" w:color="auto" w:fill="E8EEF6"/>
          </w:tcPr>
          <w:p>
            <w:pPr>
              <w:spacing w:after="40" w:line="240" w:lineRule="auto"/>
              <w:jc w:val="center"/>
            </w:pPr>
            <w:r/>
            <w:r>
              <w:rPr>
                <w:b/>
                <w:sz w:val="20"/>
              </w:rPr>
              <w:t>Source</w:t>
            </w:r>
          </w:p>
        </w:tc>
      </w:tr>
      <w:tr>
        <w:tc>
          <w:tcPr>
            <w:tcW w:type="dxa" w:w="2890"/>
          </w:tcPr>
          <w:p>
            <w:pPr>
              <w:spacing w:after="40" w:line="240" w:lineRule="auto"/>
              <w:jc w:val="left"/>
            </w:pPr>
            <w:r/>
            <w:r>
              <w:rPr>
                <w:b w:val="0"/>
                <w:sz w:val="20"/>
              </w:rPr>
              <w:t>Sessions, page views, time on site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WebsiteVisits, PagesPerVisit, TimeOnSite</w:t>
            </w:r>
          </w:p>
        </w:tc>
      </w:tr>
      <w:tr>
        <w:tc>
          <w:tcPr>
            <w:tcW w:type="dxa" w:w="2890"/>
          </w:tcPr>
          <w:p>
            <w:pPr>
              <w:spacing w:after="40" w:line="240" w:lineRule="auto"/>
              <w:jc w:val="left"/>
            </w:pPr>
            <w:r/>
            <w:r>
              <w:rPr>
                <w:b w:val="0"/>
                <w:sz w:val="20"/>
              </w:rPr>
              <w:t>On-site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ClickThroughRate × page views</w:t>
            </w:r>
          </w:p>
        </w:tc>
      </w:tr>
      <w:tr>
        <w:tc>
          <w:tcPr>
            <w:tcW w:type="dxa" w:w="2890"/>
          </w:tcPr>
          <w:p>
            <w:pPr>
              <w:spacing w:after="40" w:line="240" w:lineRule="auto"/>
              <w:jc w:val="left"/>
            </w:pPr>
            <w:r/>
            <w:r>
              <w:rPr>
                <w:b w:val="0"/>
                <w:sz w:val="20"/>
              </w:rPr>
              <w:t>Purchases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PreviousPurchases</w:t>
            </w:r>
          </w:p>
        </w:tc>
      </w:tr>
      <w:tr>
        <w:tc>
          <w:tcPr>
            <w:tcW w:type="dxa" w:w="2890"/>
          </w:tcPr>
          <w:p>
            <w:pPr>
              <w:spacing w:after="40" w:line="240" w:lineRule="auto"/>
              <w:jc w:val="left"/>
            </w:pPr>
            <w:r/>
            <w:r>
              <w:rPr>
                <w:b w:val="0"/>
                <w:sz w:val="20"/>
              </w:rPr>
              <w:t>Email opens and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EmailOpens, EmailClicks</w:t>
            </w:r>
          </w:p>
        </w:tc>
      </w:tr>
      <w:tr>
        <w:tc>
          <w:tcPr>
            <w:tcW w:type="dxa" w:w="2890"/>
          </w:tcPr>
          <w:p>
            <w:pPr>
              <w:spacing w:after="40" w:line="240" w:lineRule="auto"/>
              <w:jc w:val="left"/>
            </w:pPr>
            <w:r/>
            <w:r>
              <w:rPr>
                <w:b w:val="0"/>
                <w:sz w:val="20"/>
              </w:rPr>
              <w:t>Conversion outcome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Conversion</w:t>
            </w:r>
          </w:p>
        </w:tc>
      </w:tr>
      <w:tr>
        <w:tc>
          <w:tcPr>
            <w:tcW w:type="dxa" w:w="2890"/>
          </w:tcPr>
          <w:p>
            <w:pPr>
              <w:spacing w:after="40" w:line="240" w:lineRule="auto"/>
              <w:jc w:val="left"/>
            </w:pPr>
            <w:r/>
            <w:r>
              <w:rPr>
                <w:b w:val="0"/>
                <w:sz w:val="20"/>
              </w:rPr>
              <w:t>Acquisition channel</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CampaignChannel</w:t>
            </w:r>
          </w:p>
        </w:tc>
      </w:tr>
      <w:tr>
        <w:tc>
          <w:tcPr>
            <w:tcW w:type="dxa" w:w="2890"/>
          </w:tcPr>
          <w:p>
            <w:pPr>
              <w:spacing w:after="40" w:line="240" w:lineRule="auto"/>
              <w:jc w:val="left"/>
            </w:pPr>
            <w:r/>
            <w:r>
              <w:rPr>
                <w:b w:val="0"/>
                <w:sz w:val="20"/>
              </w:rPr>
              <w:t>Timestamp of each visit</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Spread over a 90-day window, seeded per customer</w:t>
            </w:r>
          </w:p>
        </w:tc>
      </w:tr>
      <w:tr>
        <w:tc>
          <w:tcPr>
            <w:tcW w:type="dxa" w:w="2890"/>
          </w:tcPr>
          <w:p>
            <w:pPr>
              <w:spacing w:after="40" w:line="240" w:lineRule="auto"/>
              <w:jc w:val="left"/>
            </w:pPr>
            <w:r/>
            <w:r>
              <w:rPr>
                <w:b w:val="0"/>
                <w:sz w:val="20"/>
              </w:rPr>
              <w:t>Which page each visit landed on</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Cycled through the store's real pages</w:t>
            </w:r>
          </w:p>
        </w:tc>
      </w:tr>
      <w:tr>
        <w:tc>
          <w:tcPr>
            <w:tcW w:type="dxa" w:w="2890"/>
          </w:tcPr>
          <w:p>
            <w:pPr>
              <w:spacing w:after="40" w:line="240" w:lineRule="auto"/>
              <w:jc w:val="left"/>
            </w:pPr>
            <w:r/>
            <w:r>
              <w:rPr>
                <w:b w:val="0"/>
                <w:sz w:val="20"/>
              </w:rPr>
              <w:t>Scroll depth</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Derived from dwell time</w:t>
            </w:r>
          </w:p>
        </w:tc>
      </w:tr>
      <w:tr>
        <w:tc>
          <w:tcPr>
            <w:tcW w:type="dxa" w:w="2890"/>
          </w:tcPr>
          <w:p>
            <w:pPr>
              <w:spacing w:after="40" w:line="240" w:lineRule="auto"/>
              <w:jc w:val="left"/>
            </w:pPr>
            <w:r/>
            <w:r>
              <w:rPr>
                <w:b w:val="0"/>
                <w:sz w:val="20"/>
              </w:rPr>
              <w:t>Order of email opens and clicks</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Interleaved across the window</w:t>
            </w:r>
          </w:p>
        </w:tc>
      </w:tr>
      <w:tr>
        <w:tc>
          <w:tcPr>
            <w:tcW w:type="dxa" w:w="2890"/>
          </w:tcPr>
          <w:p>
            <w:pPr>
              <w:spacing w:after="40" w:line="240" w:lineRule="auto"/>
              <w:jc w:val="left"/>
            </w:pPr>
            <w:r/>
            <w:r>
              <w:rPr>
                <w:b w:val="0"/>
                <w:sz w:val="20"/>
              </w:rPr>
              <w:t>Basket value of a purchase</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Drawn from the store's catalogue prices</w:t>
            </w:r>
          </w:p>
        </w:tc>
      </w:tr>
    </w:tbl>
    <w:p>
      <w:pPr>
        <w:spacing w:after="120"/>
      </w:pPr>
    </w:p>
    <w:p>
      <w:pPr>
        <w:pStyle w:val="NoteBox"/>
      </w:pPr>
      <w:r>
        <w:rPr>
          <w:b/>
        </w:rPr>
        <w:t>Consequence for the results.</w:t>
      </w:r>
      <w:r>
        <w:t xml:space="preserve"> Anything that depends only on the totals — segment membership, conversion rate by segment, funnel counts — rests on real measurements. Anything that depends on event </w:t>
      </w:r>
      <w:r>
        <w:rPr>
          <w:i/>
        </w:rPr>
        <w:t>order</w:t>
      </w:r>
      <w:r>
        <w:t xml:space="preserve"> or </w:t>
      </w:r>
      <w:r>
        <w:rPr>
          <w:i/>
        </w:rPr>
        <w:t>timing</w:t>
      </w:r>
      <w:r>
        <w:t xml:space="preserve"> — attribution paths, journey length, inter-event gaps — is a property of the reconstruction as much as of the data, and is reported as such throughout Chapter 3.</w:t>
      </w:r>
    </w:p>
    <w:p>
      <w:r>
        <w:t xml:space="preserve">To keep that distinction in the data rather than only in prose, the importer writes one event per </w:t>
      </w:r>
      <w:r>
        <w:rPr>
          <w:i/>
        </w:rPr>
        <w:t>visit</w:t>
      </w:r>
      <w:r>
        <w:t xml:space="preserve"> carrying that visit's totals, instead of one event per page view. A live browser reports one event per page and no count; the feature definition sums the two identically, so a single definition serves both without either pretending to be the other.</w:t>
      </w:r>
    </w:p>
    <w:p>
      <w:pPr>
        <w:pStyle w:val="Heading3"/>
      </w:pPr>
      <w:r>
        <w:t>7.1.3 Provenance is recorded, never asserted</w:t>
      </w:r>
    </w:p>
    <w:p>
      <w:r>
        <w:t xml:space="preserve">Imported customers and live browser sessions share one database. Every visitor and every funnel event therefore carries a `source` column with the value `dataset` or `live`, and that value is </w:t>
      </w:r>
      <w:r>
        <w:rPr>
          <w:b/>
        </w:rPr>
        <w:t>derived at write time from the visitor the event belongs to</w:t>
      </w:r>
      <w:r>
        <w:t xml:space="preserve"> — it can never be supplied by the caller. A test fails the build if a dataset-derived customer ever produces a row claiming to be live observation.</w:t>
      </w:r>
    </w:p>
    <w:p>
      <w:r>
        <w:t>Every figure in the dashboard carries the resulting label, and the analytics layer refuses to report attribution below five converting journeys rather than returning a number it cannot support.</w:t>
      </w:r>
    </w:p>
    <w:p>
      <w:pPr>
        <w:pStyle w:val="Heading3"/>
      </w:pPr>
      <w:r>
        <w:t>7.1.4 Reproducibility</w:t>
      </w:r>
    </w:p>
    <w:p>
      <w:r>
        <w:t>All randomness is seeded (seed 42). The importer is deterministic given the source CSV and idempotent on re-run. Confidence intervals use 10,000 bootstrap resamples, and the policy comparison runs 30 independent seeds. `make research` regenerates every table and every figure in this chapter and the two that follow.</w:t>
      </w:r>
    </w:p>
    <w:p>
      <w:pPr>
        <w:pStyle w:val="Heading2"/>
      </w:pPr>
      <w:r>
        <w:t>7.2 Experimental Setup and Metrics Used</w:t>
      </w:r>
    </w:p>
    <w:p>
      <w:pPr>
        <w:pStyle w:val="Heading3"/>
      </w:pPr>
      <w:r>
        <w:t>7.2.1 The experiments</w:t>
      </w:r>
    </w:p>
    <w:p>
      <w:r>
        <w:t>Eleven experiments cover the four modules. Each writes its tables to `research/results/`, and every figure in the next chapter is drawn from those tables rather than plotted by hand, so a chart cannot drift away from the number it shows.</w:t>
      </w:r>
    </w:p>
    <w:p>
      <w:pPr>
        <w:pStyle w:val="TableCaption"/>
      </w:pPr>
      <w:r>
        <w:rPr>
          <w:b w:val="0"/>
          <w:i w:val="0"/>
        </w:rPr>
        <w:t>Table 16 — The seven experiments.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seeds</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live journeys</w:t>
            </w:r>
          </w:p>
        </w:tc>
        <w:tc>
          <w:tcPr>
            <w:tcW w:type="dxa" w:w="2167"/>
          </w:tcPr>
          <w:p>
            <w:pPr>
              <w:spacing w:after="40" w:line="240" w:lineRule="auto"/>
              <w:jc w:val="center"/>
            </w:pPr>
            <w:r/>
            <w:r>
              <w:rPr>
                <w:b w:val="0"/>
                <w:sz w:val="20"/>
              </w:rPr>
              <w:t>MAE vs ground truth, TVD</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live audience</w:t>
            </w:r>
          </w:p>
        </w:tc>
        <w:tc>
          <w:tcPr>
            <w:tcW w:type="dxa" w:w="2167"/>
          </w:tcPr>
          <w:p>
            <w:pPr>
              <w:spacing w:after="40" w:line="240" w:lineRule="auto"/>
              <w:jc w:val="center"/>
            </w:pPr>
            <w:r/>
            <w:r>
              <w:rPr>
                <w:b w:val="0"/>
                <w:sz w:val="20"/>
              </w:rPr>
              <w:t>ROC-AUC, PR-AUC, Brier</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r>
        <w:tc>
          <w:tcPr>
            <w:tcW w:type="dxa" w:w="2167"/>
          </w:tcPr>
          <w:p>
            <w:pPr>
              <w:spacing w:after="40" w:line="240" w:lineRule="auto"/>
              <w:jc w:val="left"/>
            </w:pPr>
            <w:r/>
            <w:r>
              <w:rPr>
                <w:b w:val="0"/>
                <w:sz w:val="20"/>
              </w:rPr>
              <w:t>E9</w:t>
            </w:r>
          </w:p>
        </w:tc>
        <w:tc>
          <w:tcPr>
            <w:tcW w:type="dxa" w:w="2167"/>
          </w:tcPr>
          <w:p>
            <w:pPr>
              <w:spacing w:after="40" w:line="240" w:lineRule="auto"/>
              <w:jc w:val="center"/>
            </w:pPr>
            <w:r/>
            <w:r>
              <w:rPr>
                <w:b w:val="0"/>
                <w:sz w:val="20"/>
              </w:rPr>
              <w:t>Does the decision log make the policy learnable?</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Estimator bias, RMSE</w:t>
            </w:r>
          </w:p>
        </w:tc>
      </w:tr>
      <w:tr>
        <w:tc>
          <w:tcPr>
            <w:tcW w:type="dxa" w:w="2167"/>
          </w:tcPr>
          <w:p>
            <w:pPr>
              <w:spacing w:after="40" w:line="240" w:lineRule="auto"/>
              <w:jc w:val="left"/>
            </w:pPr>
            <w:r/>
            <w:r>
              <w:rPr>
                <w:b w:val="0"/>
                <w:sz w:val="20"/>
              </w:rPr>
              <w:t>E10</w:t>
            </w:r>
          </w:p>
        </w:tc>
        <w:tc>
          <w:tcPr>
            <w:tcW w:type="dxa" w:w="2167"/>
          </w:tcPr>
          <w:p>
            <w:pPr>
              <w:spacing w:after="40" w:line="240" w:lineRule="auto"/>
              <w:jc w:val="center"/>
            </w:pPr>
            <w:r/>
            <w:r>
              <w:rPr>
                <w:b w:val="0"/>
                <w:sz w:val="20"/>
              </w:rPr>
              <w:t>Can the system read what a website can do?</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Agreement, precision, recall</w:t>
            </w:r>
          </w:p>
        </w:tc>
      </w:tr>
      <w:tr>
        <w:tc>
          <w:tcPr>
            <w:tcW w:type="dxa" w:w="2167"/>
          </w:tcPr>
          <w:p>
            <w:pPr>
              <w:spacing w:after="40" w:line="240" w:lineRule="auto"/>
              <w:jc w:val="left"/>
            </w:pPr>
            <w:r/>
            <w:r>
              <w:rPr>
                <w:b w:val="0"/>
                <w:sz w:val="20"/>
              </w:rPr>
              <w:t>E11</w:t>
            </w:r>
          </w:p>
        </w:tc>
        <w:tc>
          <w:tcPr>
            <w:tcW w:type="dxa" w:w="2167"/>
          </w:tcPr>
          <w:p>
            <w:pPr>
              <w:spacing w:after="40" w:line="240" w:lineRule="auto"/>
              <w:jc w:val="center"/>
            </w:pPr>
            <w:r/>
            <w:r>
              <w:rPr>
                <w:b w:val="0"/>
                <w:sz w:val="20"/>
              </w:rPr>
              <w:t>What a per-website action set costs in data</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RMSE, decisions required</w:t>
            </w:r>
          </w:p>
        </w:tc>
      </w:tr>
    </w:tbl>
    <w:p>
      <w:pPr>
        <w:spacing w:after="120"/>
      </w:pPr>
    </w:p>
    <w:p>
      <w:pPr>
        <w:pStyle w:val="Heading3"/>
      </w:pPr>
      <w:r>
        <w:t>7.2.2 Choice of statistics</w:t>
      </w:r>
    </w:p>
    <w:p>
      <w:r>
        <w:t>Four tools are used, each chosen because it makes the fewest assumptions the data can violate.</w:t>
      </w:r>
    </w:p>
    <w:p>
      <w:pPr>
        <w:pStyle w:val="ListBullet"/>
        <w:spacing w:after="80" w:line="312" w:lineRule="auto"/>
        <w:jc w:val="both"/>
      </w:pPr>
      <w:r>
        <w:rPr>
          <w:b/>
        </w:rPr>
        <w:t>Percentile bootstrap</w:t>
      </w:r>
      <w:r>
        <w:t xml:space="preserve"> rather than a normal-theory interval. Conversion separation, silhouette and macro-F1 are not means and have no closed-form standard error; resampling makes no distributional claim at all.</w:t>
      </w:r>
    </w:p>
    <w:p>
      <w:pPr>
        <w:pStyle w:val="ListBullet"/>
        <w:spacing w:after="80" w:line="312" w:lineRule="auto"/>
        <w:jc w:val="both"/>
      </w:pPr>
      <w:r>
        <w:rPr>
          <w:b/>
        </w:rPr>
        <w:t>Paired bootstrap and Wilcoxon signed-rank</w:t>
      </w:r>
      <w:r>
        <w:t xml:space="preserve"> for the policy comparison. Each seed puts the same 8,000 customers through all three policies, so the runs are paired; ignoring that wastes power and overstates the p-value.</w:t>
      </w:r>
    </w:p>
    <w:p>
      <w:pPr>
        <w:pStyle w:val="ListBullet"/>
        <w:spacing w:after="80" w:line="312" w:lineRule="auto"/>
        <w:jc w:val="both"/>
      </w:pPr>
      <w:r>
        <w:rPr>
          <w:b/>
        </w:rPr>
        <w:t>Exact McNemar</w:t>
      </w:r>
      <w:r>
        <w:t xml:space="preserve"> for two classifiers on one test set. Only the disagreements carry information, and with roughly a hundred test rows the exact binomial is correct where the asymptotic approximation is not.</w:t>
      </w:r>
    </w:p>
    <w:p>
      <w:pPr>
        <w:pStyle w:val="ListBullet"/>
        <w:spacing w:after="80" w:line="312" w:lineRule="auto"/>
        <w:jc w:val="both"/>
      </w:pPr>
      <w:r>
        <w:rPr>
          <w:b/>
        </w:rPr>
        <w:t>Cliff's delta</w:t>
      </w:r>
      <w:r>
        <w:t xml:space="preserve"> alongside every p-value. With thirty seeds almost any difference reaches significance; the effect size is what says whether it matters.</w:t>
      </w:r>
    </w:p>
    <w:p>
      <w:pPr>
        <w:pStyle w:val="Heading3"/>
      </w:pPr>
      <w:r>
        <w:t>7.2.3 Metrics, and why not the obvious ones</w:t>
      </w:r>
    </w:p>
    <w:p>
      <w:pPr>
        <w:pStyle w:val="ListBullet"/>
        <w:spacing w:after="80" w:line="312" w:lineRule="auto"/>
        <w:jc w:val="both"/>
      </w:pPr>
      <w:r>
        <w:rPr>
          <w:b/>
        </w:rPr>
        <w:t>Conversion separation</w:t>
      </w:r>
      <w:r>
        <w:t xml:space="preserve">, not cluster quality, for segmentation. Conversion is used only to </w:t>
      </w:r>
      <w:r>
        <w:rPr>
          <w:i/>
        </w:rPr>
        <w:t>evaluate</w:t>
      </w:r>
      <w:r>
        <w:t xml:space="preserve"> segments — never as a clustering feature and never as a rule input — so a segmentation that separates it has found something it was not told.</w:t>
      </w:r>
    </w:p>
    <w:p>
      <w:pPr>
        <w:pStyle w:val="ListBullet"/>
        <w:spacing w:after="80" w:line="312" w:lineRule="auto"/>
        <w:jc w:val="both"/>
      </w:pPr>
      <w:r>
        <w:rPr>
          <w:b/>
        </w:rPr>
        <w:t>Conversions per 1,000 sends</w:t>
      </w:r>
      <w:r>
        <w:t>, not conversion rate, for the policy comparison. User-level conversion rises simply by sending more messages, which would hand the win to the policy that sends most rather than the one that sends best.</w:t>
      </w:r>
    </w:p>
    <w:p>
      <w:pPr>
        <w:pStyle w:val="ListBullet"/>
        <w:spacing w:after="80" w:line="312" w:lineRule="auto"/>
        <w:jc w:val="both"/>
      </w:pPr>
      <w:r>
        <w:rPr>
          <w:b/>
        </w:rPr>
        <w:t>Macro-F1</w:t>
      </w:r>
      <w:r>
        <w:t>, not accuracy, for goal and tone. The majority class is 59% of the goal corpus, so accuracy flatters a model that handles rare classes badly — and the rare classes are the ones a marketer would want detected.</w:t>
      </w:r>
    </w:p>
    <w:p>
      <w:pPr>
        <w:pStyle w:val="ListBullet"/>
        <w:spacing w:after="80" w:line="312" w:lineRule="auto"/>
        <w:jc w:val="both"/>
      </w:pPr>
      <w:r>
        <w:rPr>
          <w:b/>
        </w:rPr>
        <w:t>Spearman</w:t>
      </w:r>
      <w:r>
        <w:t>, not R², for engagement. The model exists to rank candidate captions, not to predict an engagement rate in absolute terms, and rank correlation is what ranking needs.</w:t>
      </w:r>
    </w:p>
    <w:p>
      <w:pPr>
        <w:pStyle w:val="Heading2"/>
      </w:pPr>
      <w:r>
        <w:t>7.3 Results</w:t>
      </w:r>
    </w:p>
    <w:p>
      <w:pPr>
        <w:pStyle w:val="Heading3"/>
      </w:pPr>
      <w:r>
        <w:t>7.3.1 Segmentation — the hybrid against its components</w:t>
      </w:r>
    </w:p>
    <w:p>
      <w:pPr>
        <w:pStyle w:val="TableCaption"/>
      </w:pPr>
      <w:r>
        <w:rPr>
          <w:b w:val="0"/>
          <w:i w:val="0"/>
        </w:rPr>
        <w:t>Table 17 — Each method scored on the same 8,000 customers, with 95% bootstrap intervals.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Method</w:t>
            </w:r>
          </w:p>
        </w:tc>
        <w:tc>
          <w:tcPr>
            <w:tcW w:type="dxa" w:w="1734"/>
            <w:shd w:val="clear" w:color="auto" w:fill="E8EEF6"/>
          </w:tcPr>
          <w:p>
            <w:pPr>
              <w:spacing w:after="40" w:line="240" w:lineRule="auto"/>
              <w:jc w:val="center"/>
            </w:pPr>
            <w:r/>
            <w:r>
              <w:rPr>
                <w:b/>
                <w:sz w:val="20"/>
              </w:rPr>
              <w:t>Segments</w:t>
            </w:r>
          </w:p>
        </w:tc>
        <w:tc>
          <w:tcPr>
            <w:tcW w:type="dxa" w:w="1734"/>
            <w:shd w:val="clear" w:color="auto" w:fill="E8EEF6"/>
          </w:tcPr>
          <w:p>
            <w:pPr>
              <w:spacing w:after="40" w:line="240" w:lineRule="auto"/>
              <w:jc w:val="center"/>
            </w:pPr>
            <w:r/>
            <w:r>
              <w:rPr>
                <w:b/>
                <w:sz w:val="20"/>
              </w:rPr>
              <w:t>Separation</w:t>
            </w:r>
          </w:p>
        </w:tc>
        <w:tc>
          <w:tcPr>
            <w:tcW w:type="dxa" w:w="1734"/>
            <w:shd w:val="clear" w:color="auto" w:fill="E8EEF6"/>
          </w:tcPr>
          <w:p>
            <w:pPr>
              <w:spacing w:after="40" w:line="240" w:lineRule="auto"/>
              <w:jc w:val="center"/>
            </w:pPr>
            <w:r/>
            <w:r>
              <w:rPr>
                <w:b/>
                <w:sz w:val="20"/>
              </w:rPr>
              <w:t>95% CI</w:t>
            </w:r>
          </w:p>
        </w:tc>
        <w:tc>
          <w:tcPr>
            <w:tcW w:type="dxa" w:w="1734"/>
            <w:shd w:val="clear" w:color="auto" w:fill="E8EEF6"/>
          </w:tcPr>
          <w:p>
            <w:pPr>
              <w:spacing w:after="40" w:line="240" w:lineRule="auto"/>
              <w:jc w:val="center"/>
            </w:pPr>
            <w:r/>
            <w:r>
              <w:rPr>
                <w:b/>
                <w:sz w:val="20"/>
              </w:rPr>
              <w:t>Cold-start segment</w:t>
            </w:r>
          </w:p>
        </w:tc>
      </w:tr>
      <w:tr>
        <w:tc>
          <w:tcPr>
            <w:tcW w:type="dxa" w:w="1734"/>
          </w:tcPr>
          <w:p>
            <w:pPr>
              <w:spacing w:after="40" w:line="240" w:lineRule="auto"/>
              <w:jc w:val="left"/>
            </w:pPr>
            <w:r/>
            <w:r>
              <w:rPr>
                <w:b w:val="0"/>
                <w:sz w:val="20"/>
              </w:rPr>
              <w:t>rules only</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0.3837</w:t>
            </w:r>
          </w:p>
        </w:tc>
        <w:tc>
          <w:tcPr>
            <w:tcW w:type="dxa" w:w="1734"/>
          </w:tcPr>
          <w:p>
            <w:pPr>
              <w:spacing w:after="40" w:line="240" w:lineRule="auto"/>
              <w:jc w:val="center"/>
            </w:pPr>
            <w:r/>
            <w:r>
              <w:rPr>
                <w:b w:val="0"/>
                <w:sz w:val="20"/>
              </w:rPr>
              <w:t>[0.309, 0.464]</w:t>
            </w:r>
          </w:p>
        </w:tc>
        <w:tc>
          <w:tcPr>
            <w:tcW w:type="dxa" w:w="1734"/>
          </w:tcPr>
          <w:p>
            <w:pPr>
              <w:spacing w:after="40" w:line="240" w:lineRule="auto"/>
              <w:jc w:val="center"/>
            </w:pPr>
            <w:r/>
            <w:r>
              <w:rPr>
                <w:b w:val="0"/>
                <w:sz w:val="20"/>
              </w:rPr>
              <w:t>yes</w:t>
            </w:r>
          </w:p>
        </w:tc>
      </w:tr>
      <w:tr>
        <w:tc>
          <w:tcPr>
            <w:tcW w:type="dxa" w:w="1734"/>
          </w:tcPr>
          <w:p>
            <w:pPr>
              <w:spacing w:after="40" w:line="240" w:lineRule="auto"/>
              <w:jc w:val="left"/>
            </w:pPr>
            <w:r/>
            <w:r>
              <w:rPr>
                <w:b w:val="0"/>
                <w:sz w:val="20"/>
              </w:rPr>
              <w:t>k-means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0.0693</w:t>
            </w:r>
          </w:p>
        </w:tc>
        <w:tc>
          <w:tcPr>
            <w:tcW w:type="dxa" w:w="1734"/>
          </w:tcPr>
          <w:p>
            <w:pPr>
              <w:spacing w:after="40" w:line="240" w:lineRule="auto"/>
              <w:jc w:val="center"/>
            </w:pPr>
            <w:r/>
            <w:r>
              <w:rPr>
                <w:b w:val="0"/>
                <w:sz w:val="20"/>
              </w:rPr>
              <w:t>[0.049, 0.090]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hierarchical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0.0343</w:t>
            </w:r>
          </w:p>
        </w:tc>
        <w:tc>
          <w:tcPr>
            <w:tcW w:type="dxa" w:w="1734"/>
          </w:tcPr>
          <w:p>
            <w:pPr>
              <w:spacing w:after="40" w:line="240" w:lineRule="auto"/>
              <w:jc w:val="center"/>
            </w:pPr>
            <w:r/>
            <w:r>
              <w:rPr>
                <w:b w:val="0"/>
                <w:sz w:val="20"/>
              </w:rPr>
              <w:t>[0.019, 0.059]</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hybrid (vote)</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0.3838</w:t>
            </w:r>
          </w:p>
        </w:tc>
        <w:tc>
          <w:tcPr>
            <w:tcW w:type="dxa" w:w="1734"/>
          </w:tcPr>
          <w:p>
            <w:pPr>
              <w:spacing w:after="40" w:line="240" w:lineRule="auto"/>
              <w:jc w:val="center"/>
            </w:pPr>
            <w:r/>
            <w:r>
              <w:rPr>
                <w:b w:val="0"/>
                <w:sz w:val="20"/>
              </w:rPr>
              <w:t>[0.307, 0.463]</w:t>
            </w:r>
          </w:p>
        </w:tc>
        <w:tc>
          <w:tcPr>
            <w:tcW w:type="dxa" w:w="1734"/>
          </w:tcPr>
          <w:p>
            <w:pPr>
              <w:spacing w:after="40" w:line="240" w:lineRule="auto"/>
              <w:jc w:val="center"/>
            </w:pPr>
            <w:r/>
            <w:r>
              <w:rPr>
                <w:b w:val="0"/>
                <w:sz w:val="20"/>
              </w:rPr>
              <w:t>yes</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823921"/>
            <wp:docPr id="30" name="Picture 30"/>
            <wp:cNvGraphicFramePr>
              <a:graphicFrameLocks noChangeAspect="1"/>
            </wp:cNvGraphicFramePr>
            <a:graphic>
              <a:graphicData uri="http://schemas.openxmlformats.org/drawingml/2006/picture">
                <pic:pic>
                  <pic:nvPicPr>
                    <pic:cNvPr id="0" name="fig_e1_segmentation_ablation.png"/>
                    <pic:cNvPicPr/>
                  </pic:nvPicPr>
                  <pic:blipFill>
                    <a:blip r:embed="rId40"/>
                    <a:stretch>
                      <a:fillRect/>
                    </a:stretch>
                  </pic:blipFill>
                  <pic:spPr>
                    <a:xfrm>
                      <a:off x="0" y="0"/>
                      <a:ext cx="5486400" cy="2823921"/>
                    </a:xfrm>
                    <a:prstGeom prst="rect"/>
                  </pic:spPr>
                </pic:pic>
              </a:graphicData>
            </a:graphic>
          </wp:inline>
        </w:drawing>
      </w:r>
    </w:p>
    <w:p>
      <w:pPr>
        <w:pStyle w:val="Caption"/>
        <w:keepLines/>
        <w:spacing w:before="40" w:after="400" w:line="240" w:lineRule="auto"/>
      </w:pPr>
      <w:r>
        <w:rPr>
          <w:b w:val="0"/>
          <w:i w:val="0"/>
        </w:rPr>
        <w:t>Figure 30 — Conversion separation by method. The hybrid and the rules are indistinguishable; clustering alone separates almost nothing.</w:t>
      </w:r>
    </w:p>
    <w:p>
      <w:r>
        <w:t>The hybrid separates conversion by 0.3838, against 0.3837 for the rules alone. The difference is within noise. Clustering on its own reaches 0.0343.</w:t>
      </w:r>
    </w:p>
    <w:p>
      <w:pPr>
        <w:pStyle w:val="NoteBox"/>
      </w:pPr>
      <w:r>
        <w:rPr>
          <w:b/>
        </w:rPr>
        <w:t>This is a negative result, and it is reported as the headline rather than buried.</w:t>
      </w:r>
      <w:r>
        <w:t xml:space="preserve"> On the separation metric the clustering contributes nothing. The hybrid earns its place in the system on different grounds — it produces a calibrated confidence from the level of agreement between three independent methods, and the vote is what makes cold start explicit — but it does not separate conversion better than a handful of interpretable rules.</w:t>
      </w:r>
    </w:p>
    <w:p>
      <w:r>
        <w:t>Silhouette is 0.0869. The clusters overlap heavily in feature space, and all three methods disagree for 35.3% of customers. The segments are commercially useful without being geometrically clean, and reporting only the separation would hide that.</w:t>
      </w:r>
    </w:p>
    <w:p>
      <w:pPr>
        <w:keepNext/>
        <w:keepLines/>
        <w:spacing w:before="360" w:after="120" w:line="240" w:lineRule="auto"/>
        <w:jc w:val="center"/>
      </w:pPr>
      <w:r>
        <w:drawing>
          <wp:inline xmlns:a="http://schemas.openxmlformats.org/drawingml/2006/main" xmlns:pic="http://schemas.openxmlformats.org/drawingml/2006/picture">
            <wp:extent cx="5486400" cy="2165684"/>
            <wp:docPr id="31" name="Picture 31"/>
            <wp:cNvGraphicFramePr>
              <a:graphicFrameLocks noChangeAspect="1"/>
            </wp:cNvGraphicFramePr>
            <a:graphic>
              <a:graphicData uri="http://schemas.openxmlformats.org/drawingml/2006/picture">
                <pic:pic>
                  <pic:nvPicPr>
                    <pic:cNvPr id="0" name="fig_e1_segment_profile.png"/>
                    <pic:cNvPicPr/>
                  </pic:nvPicPr>
                  <pic:blipFill>
                    <a:blip r:embed="rId41"/>
                    <a:stretch>
                      <a:fillRect/>
                    </a:stretch>
                  </pic:blipFill>
                  <pic:spPr>
                    <a:xfrm>
                      <a:off x="0" y="0"/>
                      <a:ext cx="5486400" cy="2165684"/>
                    </a:xfrm>
                    <a:prstGeom prst="rect"/>
                  </pic:spPr>
                </pic:pic>
              </a:graphicData>
            </a:graphic>
          </wp:inline>
        </w:drawing>
      </w:r>
    </w:p>
    <w:p>
      <w:pPr>
        <w:pStyle w:val="Caption"/>
        <w:keepLines/>
        <w:spacing w:before="40" w:after="400" w:line="240" w:lineRule="auto"/>
      </w:pPr>
      <w:r>
        <w:rPr>
          <w:b w:val="0"/>
          <w:i w:val="0"/>
        </w:rPr>
        <w:t>Figure 31 — Segment sizes and conversion rate per segment.</w:t>
      </w:r>
    </w:p>
    <w:p>
      <w:pPr>
        <w:pStyle w:val="Heading3"/>
      </w:pPr>
      <w:r>
        <w:t>7.3.2 Two defects, reproduced and measured</w:t>
      </w:r>
    </w:p>
    <w:p>
      <w:pPr>
        <w:pStyle w:val="Heading4"/>
      </w:pPr>
      <w:r>
        <w:t>7.3.2.1 A segment deleted by its own vote</w:t>
      </w:r>
    </w:p>
    <w:p>
      <w:r>
        <w:t xml:space="preserve">The original agreement vote tested whether the two clusterings agreed </w:t>
      </w:r>
      <w:r>
        <w:rPr>
          <w:i/>
        </w:rPr>
        <w:t>before</w:t>
      </w:r>
      <w:r>
        <w:t xml:space="preserve"> it tested whether the rules had identified a cold-start customer. Clustering cannot represent “there is not enough evidence about this person” — it must place everyone somewhere — so whenever the two clusterings happened to agree, they overruled the rules. Of 163 cold-start customers the rules detect, that ordering keeps 127; on the live audience the segment went to zero. Novel Contribution 1 was being erased from its own output.</w:t>
      </w:r>
    </w:p>
    <w:p>
      <w:r>
        <w:t>Resolving cold start immediately after unanimity keeps all 163. Those customers convert at 53.4% against 88.4% for everyone else, so the segment the original code discarded is the one with the most distinctive behaviour in the dataset.</w:t>
      </w:r>
    </w:p>
    <w:p>
      <w:pPr>
        <w:pStyle w:val="NoteBox"/>
      </w:pPr>
      <w:r>
        <w:t xml:space="preserve">The general principle, and the one worth defending in a viva: </w:t>
      </w:r>
      <w:r>
        <w:rPr>
          <w:b/>
        </w:rPr>
        <w:t>a method that cannot represent a finding does not get a vote on it.</w:t>
      </w:r>
    </w:p>
    <w:p>
      <w:pPr>
        <w:pStyle w:val="Heading4"/>
      </w:pPr>
      <w:r>
        <w:t>7.3.2.2 Target leakage in the confidence model</w:t>
      </w:r>
    </w:p>
    <w:p>
      <w:r>
        <w:t>The Random Forest was trained with the rule label among its input features while the target was the hybrid consensus — so it was largely reading off its own answer. Reproducing both versions on the same split shows accuracy barely moves (0.9213 against 0.9200), but certainty changes by a factor of 150: 450 customers emerge at confidence 1.00 with the rule label among the inputs, against 3 without it.</w:t>
      </w:r>
    </w:p>
    <w:p>
      <w:r>
        <w:t>Accuracy is not what the defect corrupts. The confidence attached to every downstream decision is — and a model whose accuracy is honest while its confidence is not will be trusted in exactly the cases where it should not be. That is also why the defect survived review: nothing fails, no test goes red, and the only symptom is a confidence column that looks impressive.</w:t>
      </w:r>
    </w:p>
    <w:p>
      <w:pPr>
        <w:keepNext/>
        <w:keepLines/>
        <w:spacing w:before="360" w:after="120" w:line="240" w:lineRule="auto"/>
        <w:jc w:val="center"/>
      </w:pPr>
      <w:r>
        <w:drawing>
          <wp:inline xmlns:a="http://schemas.openxmlformats.org/drawingml/2006/main" xmlns:pic="http://schemas.openxmlformats.org/drawingml/2006/picture">
            <wp:extent cx="5486400" cy="1987686"/>
            <wp:docPr id="32" name="Picture 32"/>
            <wp:cNvGraphicFramePr>
              <a:graphicFrameLocks noChangeAspect="1"/>
            </wp:cNvGraphicFramePr>
            <a:graphic>
              <a:graphicData uri="http://schemas.openxmlformats.org/drawingml/2006/picture">
                <pic:pic>
                  <pic:nvPicPr>
                    <pic:cNvPr id="0" name="fig_e2_defects.png"/>
                    <pic:cNvPicPr/>
                  </pic:nvPicPr>
                  <pic:blipFill>
                    <a:blip r:embed="rId42"/>
                    <a:stretch>
                      <a:fillRect/>
                    </a:stretch>
                  </pic:blipFill>
                  <pic:spPr>
                    <a:xfrm>
                      <a:off x="0" y="0"/>
                      <a:ext cx="5486400" cy="1987686"/>
                    </a:xfrm>
                    <a:prstGeom prst="rect"/>
                  </pic:spPr>
                </pic:pic>
              </a:graphicData>
            </a:graphic>
          </wp:inline>
        </w:drawing>
      </w:r>
    </w:p>
    <w:p>
      <w:pPr>
        <w:pStyle w:val="Caption"/>
        <w:keepLines/>
        <w:spacing w:before="40" w:after="400" w:line="240" w:lineRule="auto"/>
      </w:pPr>
      <w:r>
        <w:rPr>
          <w:b w:val="0"/>
          <w:i w:val="0"/>
        </w:rPr>
        <w:t>Figure 32 — Both defects reproduced against their fixes.</w:t>
      </w:r>
    </w:p>
    <w:p>
      <w:pPr>
        <w:pStyle w:val="Heading3"/>
      </w:pPr>
      <w:r>
        <w:t>7.3.3 Automation policies — outcome against cost</w:t>
      </w:r>
    </w:p>
    <w:p>
      <w:pPr>
        <w:pStyle w:val="TableCaption"/>
      </w:pPr>
      <w:r>
        <w:rPr>
          <w:b w:val="0"/>
          <w:i w:val="0"/>
        </w:rPr>
        <w:t>Table 18 — Policy comparison over 30 paired seeds on the Module 2 simulator.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Policy</w:t>
            </w:r>
          </w:p>
        </w:tc>
        <w:tc>
          <w:tcPr>
            <w:tcW w:type="dxa" w:w="1734"/>
            <w:shd w:val="clear" w:color="auto" w:fill="E8EEF6"/>
          </w:tcPr>
          <w:p>
            <w:pPr>
              <w:spacing w:after="40" w:line="240" w:lineRule="auto"/>
              <w:jc w:val="center"/>
            </w:pPr>
            <w:r/>
            <w:r>
              <w:rPr>
                <w:b/>
                <w:sz w:val="20"/>
              </w:rPr>
              <w:t>Conv. per 1,000 sends</w:t>
            </w:r>
          </w:p>
        </w:tc>
        <w:tc>
          <w:tcPr>
            <w:tcW w:type="dxa" w:w="1734"/>
            <w:shd w:val="clear" w:color="auto" w:fill="E8EEF6"/>
          </w:tcPr>
          <w:p>
            <w:pPr>
              <w:spacing w:after="40" w:line="240" w:lineRule="auto"/>
              <w:jc w:val="center"/>
            </w:pPr>
            <w:r/>
            <w:r>
              <w:rPr>
                <w:b/>
                <w:sz w:val="20"/>
              </w:rPr>
              <w:t>95% range</w:t>
            </w:r>
          </w:p>
        </w:tc>
        <w:tc>
          <w:tcPr>
            <w:tcW w:type="dxa" w:w="1734"/>
            <w:shd w:val="clear" w:color="auto" w:fill="E8EEF6"/>
          </w:tcPr>
          <w:p>
            <w:pPr>
              <w:spacing w:after="40" w:line="240" w:lineRule="auto"/>
              <w:jc w:val="center"/>
            </w:pPr>
            <w:r/>
            <w:r>
              <w:rPr>
                <w:b/>
                <w:sz w:val="20"/>
              </w:rPr>
              <w:t>Messages/user</w:t>
            </w:r>
          </w:p>
        </w:tc>
        <w:tc>
          <w:tcPr>
            <w:tcW w:type="dxa" w:w="1734"/>
            <w:shd w:val="clear" w:color="auto" w:fill="E8EEF6"/>
          </w:tcPr>
          <w:p>
            <w:pPr>
              <w:spacing w:after="40" w:line="240" w:lineRule="auto"/>
              <w:jc w:val="center"/>
            </w:pPr>
            <w:r/>
            <w:r>
              <w:rPr>
                <w:b/>
                <w:sz w:val="20"/>
              </w:rPr>
              <w:t>Decision rules</w:t>
            </w:r>
          </w:p>
        </w:tc>
      </w:tr>
      <w:tr>
        <w:tc>
          <w:tcPr>
            <w:tcW w:type="dxa" w:w="1734"/>
          </w:tcPr>
          <w:p>
            <w:pPr>
              <w:spacing w:after="40" w:line="240" w:lineRule="auto"/>
              <w:jc w:val="left"/>
            </w:pPr>
            <w:r/>
            <w:r>
              <w:rPr>
                <w:b w:val="0"/>
                <w:sz w:val="20"/>
              </w:rPr>
              <w:t>fixed</w:t>
            </w:r>
          </w:p>
        </w:tc>
        <w:tc>
          <w:tcPr>
            <w:tcW w:type="dxa" w:w="1734"/>
          </w:tcPr>
          <w:p>
            <w:pPr>
              <w:spacing w:after="40" w:line="240" w:lineRule="auto"/>
              <w:jc w:val="center"/>
            </w:pPr>
            <w:r/>
            <w:r>
              <w:rPr>
                <w:b w:val="0"/>
                <w:sz w:val="20"/>
              </w:rPr>
              <w:t>7.15</w:t>
            </w:r>
          </w:p>
        </w:tc>
        <w:tc>
          <w:tcPr>
            <w:tcW w:type="dxa" w:w="1734"/>
          </w:tcPr>
          <w:p>
            <w:pPr>
              <w:spacing w:after="40" w:line="240" w:lineRule="auto"/>
              <w:jc w:val="center"/>
            </w:pPr>
            <w:r/>
            <w:r>
              <w:rPr>
                <w:b w:val="0"/>
                <w:sz w:val="20"/>
              </w:rPr>
              <w:t>[6.75, 7.49]</w:t>
            </w:r>
          </w:p>
        </w:tc>
        <w:tc>
          <w:tcPr>
            <w:tcW w:type="dxa" w:w="1734"/>
          </w:tcPr>
          <w:p>
            <w:pPr>
              <w:spacing w:after="40" w:line="240" w:lineRule="auto"/>
              <w:jc w:val="center"/>
            </w:pPr>
            <w:r/>
            <w:r>
              <w:rPr>
                <w:b w:val="0"/>
                <w:sz w:val="20"/>
              </w:rPr>
              <w:t>4.0</w:t>
            </w:r>
          </w:p>
        </w:tc>
        <w:tc>
          <w:tcPr>
            <w:tcW w:type="dxa" w:w="1734"/>
          </w:tcPr>
          <w:p>
            <w:pPr>
              <w:spacing w:after="40" w:line="240" w:lineRule="auto"/>
              <w:jc w:val="center"/>
            </w:pPr>
            <w:r/>
            <w:r>
              <w:rPr>
                <w:b w:val="0"/>
                <w:sz w:val="20"/>
              </w:rPr>
              <w:t>1</w:t>
            </w:r>
          </w:p>
        </w:tc>
      </w:tr>
      <w:tr>
        <w:tc>
          <w:tcPr>
            <w:tcW w:type="dxa" w:w="1734"/>
          </w:tcPr>
          <w:p>
            <w:pPr>
              <w:spacing w:after="40" w:line="240" w:lineRule="auto"/>
              <w:jc w:val="left"/>
            </w:pPr>
            <w:r/>
            <w:r>
              <w:rPr>
                <w:b w:val="0"/>
                <w:sz w:val="20"/>
              </w:rPr>
              <w:t>trigger</w:t>
            </w:r>
          </w:p>
        </w:tc>
        <w:tc>
          <w:tcPr>
            <w:tcW w:type="dxa" w:w="1734"/>
          </w:tcPr>
          <w:p>
            <w:pPr>
              <w:spacing w:after="40" w:line="240" w:lineRule="auto"/>
              <w:jc w:val="center"/>
            </w:pPr>
            <w:r/>
            <w:r>
              <w:rPr>
                <w:b w:val="0"/>
                <w:sz w:val="20"/>
              </w:rPr>
              <w:t>10.45</w:t>
            </w:r>
          </w:p>
        </w:tc>
        <w:tc>
          <w:tcPr>
            <w:tcW w:type="dxa" w:w="1734"/>
          </w:tcPr>
          <w:p>
            <w:pPr>
              <w:spacing w:after="40" w:line="240" w:lineRule="auto"/>
              <w:jc w:val="center"/>
            </w:pPr>
            <w:r/>
            <w:r>
              <w:rPr>
                <w:b w:val="0"/>
                <w:sz w:val="20"/>
              </w:rPr>
              <w:t>[9.62, 11.17]</w:t>
            </w:r>
          </w:p>
        </w:tc>
        <w:tc>
          <w:tcPr>
            <w:tcW w:type="dxa" w:w="1734"/>
          </w:tcPr>
          <w:p>
            <w:pPr>
              <w:spacing w:after="40" w:line="240" w:lineRule="auto"/>
              <w:jc w:val="center"/>
            </w:pPr>
            <w:r/>
            <w:r>
              <w:rPr>
                <w:b w:val="0"/>
                <w:sz w:val="20"/>
              </w:rPr>
              <w:t>1.32</w:t>
            </w:r>
          </w:p>
        </w:tc>
        <w:tc>
          <w:tcPr>
            <w:tcW w:type="dxa" w:w="1734"/>
          </w:tcPr>
          <w:p>
            <w:pPr>
              <w:spacing w:after="40" w:line="240" w:lineRule="auto"/>
              <w:jc w:val="center"/>
            </w:pPr>
            <w:r/>
            <w:r>
              <w:rPr>
                <w:b w:val="0"/>
                <w:sz w:val="20"/>
              </w:rPr>
              <w:t>4</w:t>
            </w:r>
          </w:p>
        </w:tc>
      </w:tr>
      <w:tr>
        <w:tc>
          <w:tcPr>
            <w:tcW w:type="dxa" w:w="1734"/>
          </w:tcPr>
          <w:p>
            <w:pPr>
              <w:spacing w:after="40" w:line="240" w:lineRule="auto"/>
              <w:jc w:val="left"/>
            </w:pPr>
            <w:r/>
            <w:r>
              <w:rPr>
                <w:b w:val="0"/>
                <w:sz w:val="20"/>
              </w:rPr>
              <w:t>hybrid</w:t>
            </w:r>
          </w:p>
        </w:tc>
        <w:tc>
          <w:tcPr>
            <w:tcW w:type="dxa" w:w="1734"/>
          </w:tcPr>
          <w:p>
            <w:pPr>
              <w:spacing w:after="40" w:line="240" w:lineRule="auto"/>
              <w:jc w:val="center"/>
            </w:pPr>
            <w:r/>
            <w:r>
              <w:rPr>
                <w:b w:val="0"/>
                <w:sz w:val="20"/>
              </w:rPr>
              <w:t>7.99</w:t>
            </w:r>
          </w:p>
        </w:tc>
        <w:tc>
          <w:tcPr>
            <w:tcW w:type="dxa" w:w="1734"/>
          </w:tcPr>
          <w:p>
            <w:pPr>
              <w:spacing w:after="40" w:line="240" w:lineRule="auto"/>
              <w:jc w:val="center"/>
            </w:pPr>
            <w:r/>
            <w:r>
              <w:rPr>
                <w:b w:val="0"/>
                <w:sz w:val="20"/>
              </w:rPr>
              <w:t>[7.45, 8.41]</w:t>
            </w:r>
          </w:p>
        </w:tc>
        <w:tc>
          <w:tcPr>
            <w:tcW w:type="dxa" w:w="1734"/>
          </w:tcPr>
          <w:p>
            <w:pPr>
              <w:spacing w:after="40" w:line="240" w:lineRule="auto"/>
              <w:jc w:val="center"/>
            </w:pPr>
            <w:r/>
            <w:r>
              <w:rPr>
                <w:b w:val="0"/>
                <w:sz w:val="20"/>
              </w:rPr>
              <w:t>3.05</w:t>
            </w:r>
          </w:p>
        </w:tc>
        <w:tc>
          <w:tcPr>
            <w:tcW w:type="dxa" w:w="1734"/>
          </w:tcPr>
          <w:p>
            <w:pPr>
              <w:spacing w:after="40" w:line="240" w:lineRule="auto"/>
              <w:jc w:val="center"/>
            </w:pPr>
            <w:r/>
            <w:r>
              <w:rPr>
                <w:b w:val="0"/>
                <w:sz w:val="20"/>
              </w:rPr>
              <w:t>9</w:t>
            </w:r>
          </w:p>
        </w:tc>
      </w:tr>
    </w:tbl>
    <w:p>
      <w:pPr>
        <w:spacing w:after="120"/>
      </w:pPr>
    </w:p>
    <w:p>
      <w:pPr>
        <w:pStyle w:val="TableCaption"/>
      </w:pPr>
      <w:r>
        <w:rPr>
          <w:b w:val="0"/>
          <w:i w:val="0"/>
        </w:rPr>
        <w:t>Table 19 — Head-to-head, paired by seed.</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Comparison</w:t>
            </w:r>
          </w:p>
        </w:tc>
        <w:tc>
          <w:tcPr>
            <w:tcW w:type="dxa" w:w="1445"/>
            <w:shd w:val="clear" w:color="auto" w:fill="E8EEF6"/>
          </w:tcPr>
          <w:p>
            <w:pPr>
              <w:spacing w:after="40" w:line="240" w:lineRule="auto"/>
              <w:jc w:val="center"/>
            </w:pPr>
            <w:r/>
            <w:r>
              <w:rPr>
                <w:b/>
                <w:sz w:val="20"/>
              </w:rPr>
              <w:t>Mean difference</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Wilcoxon p</w:t>
            </w:r>
          </w:p>
        </w:tc>
        <w:tc>
          <w:tcPr>
            <w:tcW w:type="dxa" w:w="1445"/>
            <w:shd w:val="clear" w:color="auto" w:fill="E8EEF6"/>
          </w:tcPr>
          <w:p>
            <w:pPr>
              <w:spacing w:after="40" w:line="240" w:lineRule="auto"/>
              <w:jc w:val="center"/>
            </w:pPr>
            <w:r/>
            <w:r>
              <w:rPr>
                <w:b/>
                <w:sz w:val="20"/>
              </w:rPr>
              <w:t>Cliff's δ</w:t>
            </w:r>
          </w:p>
        </w:tc>
        <w:tc>
          <w:tcPr>
            <w:tcW w:type="dxa" w:w="1445"/>
            <w:shd w:val="clear" w:color="auto" w:fill="E8EEF6"/>
          </w:tcPr>
          <w:p>
            <w:pPr>
              <w:spacing w:after="40" w:line="240" w:lineRule="auto"/>
              <w:jc w:val="center"/>
            </w:pPr>
            <w:r/>
            <w:r>
              <w:rPr>
                <w:b/>
                <w:sz w:val="20"/>
              </w:rPr>
              <w:t>Extra rules</w:t>
            </w:r>
          </w:p>
        </w:tc>
      </w:tr>
      <w:tr>
        <w:tc>
          <w:tcPr>
            <w:tcW w:type="dxa" w:w="1445"/>
          </w:tcPr>
          <w:p>
            <w:pPr>
              <w:spacing w:after="40" w:line="240" w:lineRule="auto"/>
              <w:jc w:val="left"/>
            </w:pPr>
            <w:r/>
            <w:r>
              <w:rPr>
                <w:b w:val="0"/>
                <w:sz w:val="20"/>
              </w:rPr>
              <w:t>hybrid − fixed</w:t>
            </w:r>
          </w:p>
        </w:tc>
        <w:tc>
          <w:tcPr>
            <w:tcW w:type="dxa" w:w="1445"/>
          </w:tcPr>
          <w:p>
            <w:pPr>
              <w:spacing w:after="40" w:line="240" w:lineRule="auto"/>
              <w:jc w:val="center"/>
            </w:pPr>
            <w:r/>
            <w:r>
              <w:rPr>
                <w:b w:val="0"/>
                <w:sz w:val="20"/>
              </w:rPr>
              <w:t>0.837</w:t>
            </w:r>
          </w:p>
        </w:tc>
        <w:tc>
          <w:tcPr>
            <w:tcW w:type="dxa" w:w="1445"/>
          </w:tcPr>
          <w:p>
            <w:pPr>
              <w:spacing w:after="40" w:line="240" w:lineRule="auto"/>
              <w:jc w:val="center"/>
            </w:pPr>
            <w:r/>
            <w:r>
              <w:rPr>
                <w:b w:val="0"/>
                <w:sz w:val="20"/>
              </w:rPr>
              <w:t>[0.727, 0.944]</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0.991</w:t>
            </w:r>
          </w:p>
        </w:tc>
        <w:tc>
          <w:tcPr>
            <w:tcW w:type="dxa" w:w="1445"/>
          </w:tcPr>
          <w:p>
            <w:pPr>
              <w:spacing w:after="40" w:line="240" w:lineRule="auto"/>
              <w:jc w:val="center"/>
            </w:pPr>
            <w:r/>
            <w:r>
              <w:rPr>
                <w:b w:val="0"/>
                <w:sz w:val="20"/>
              </w:rPr>
              <w:t>8</w:t>
            </w:r>
          </w:p>
        </w:tc>
      </w:tr>
      <w:tr>
        <w:tc>
          <w:tcPr>
            <w:tcW w:type="dxa" w:w="1445"/>
          </w:tcPr>
          <w:p>
            <w:pPr>
              <w:spacing w:after="40" w:line="240" w:lineRule="auto"/>
              <w:jc w:val="left"/>
            </w:pPr>
            <w:r/>
            <w:r>
              <w:rPr>
                <w:b w:val="0"/>
                <w:sz w:val="20"/>
              </w:rPr>
              <w:t>hybrid − trigger</w:t>
            </w:r>
          </w:p>
        </w:tc>
        <w:tc>
          <w:tcPr>
            <w:tcW w:type="dxa" w:w="1445"/>
          </w:tcPr>
          <w:p>
            <w:pPr>
              <w:spacing w:after="40" w:line="240" w:lineRule="auto"/>
              <w:jc w:val="center"/>
            </w:pPr>
            <w:r/>
            <w:r>
              <w:rPr>
                <w:b w:val="0"/>
                <w:sz w:val="20"/>
              </w:rPr>
              <w:t>-2.462</w:t>
            </w:r>
          </w:p>
        </w:tc>
        <w:tc>
          <w:tcPr>
            <w:tcW w:type="dxa" w:w="1445"/>
          </w:tcPr>
          <w:p>
            <w:pPr>
              <w:spacing w:after="40" w:line="240" w:lineRule="auto"/>
              <w:jc w:val="center"/>
            </w:pPr>
            <w:r/>
            <w:r>
              <w:rPr>
                <w:b w:val="0"/>
                <w:sz w:val="20"/>
              </w:rPr>
              <w:t>[-2.574, -2.347]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5</w:t>
            </w:r>
          </w:p>
        </w:tc>
      </w:tr>
      <w:tr>
        <w:tc>
          <w:tcPr>
            <w:tcW w:type="dxa" w:w="1445"/>
          </w:tcPr>
          <w:p>
            <w:pPr>
              <w:spacing w:after="40" w:line="240" w:lineRule="auto"/>
              <w:jc w:val="left"/>
            </w:pPr>
            <w:r/>
            <w:r>
              <w:rPr>
                <w:b w:val="0"/>
                <w:sz w:val="20"/>
              </w:rPr>
              <w:t>trigger − fixed</w:t>
            </w:r>
          </w:p>
        </w:tc>
        <w:tc>
          <w:tcPr>
            <w:tcW w:type="dxa" w:w="1445"/>
          </w:tcPr>
          <w:p>
            <w:pPr>
              <w:spacing w:after="40" w:line="240" w:lineRule="auto"/>
              <w:jc w:val="center"/>
            </w:pPr>
            <w:r/>
            <w:r>
              <w:rPr>
                <w:b w:val="0"/>
                <w:sz w:val="20"/>
              </w:rPr>
              <w:t>3.299</w:t>
            </w:r>
          </w:p>
        </w:tc>
        <w:tc>
          <w:tcPr>
            <w:tcW w:type="dxa" w:w="1445"/>
          </w:tcPr>
          <w:p>
            <w:pPr>
              <w:spacing w:after="40" w:line="240" w:lineRule="auto"/>
              <w:jc w:val="center"/>
            </w:pPr>
            <w:r/>
            <w:r>
              <w:rPr>
                <w:b w:val="0"/>
                <w:sz w:val="20"/>
              </w:rPr>
              <w:t>[3.146, 3.447]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3</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293849"/>
            <wp:docPr id="33" name="Picture 33"/>
            <wp:cNvGraphicFramePr>
              <a:graphicFrameLocks noChangeAspect="1"/>
            </wp:cNvGraphicFramePr>
            <a:graphic>
              <a:graphicData uri="http://schemas.openxmlformats.org/drawingml/2006/picture">
                <pic:pic>
                  <pic:nvPicPr>
                    <pic:cNvPr id="0" name="fig_e3_policy_comparison.png"/>
                    <pic:cNvPicPr/>
                  </pic:nvPicPr>
                  <pic:blipFill>
                    <a:blip r:embed="rId43"/>
                    <a:stretch>
                      <a:fillRect/>
                    </a:stretch>
                  </pic:blipFill>
                  <pic:spPr>
                    <a:xfrm>
                      <a:off x="0" y="0"/>
                      <a:ext cx="5486400" cy="2293849"/>
                    </a:xfrm>
                    <a:prstGeom prst="rect"/>
                  </pic:spPr>
                </pic:pic>
              </a:graphicData>
            </a:graphic>
          </wp:inline>
        </w:drawing>
      </w:r>
    </w:p>
    <w:p>
      <w:pPr>
        <w:pStyle w:val="Caption"/>
        <w:keepLines/>
        <w:spacing w:before="40" w:after="400" w:line="240" w:lineRule="auto"/>
      </w:pPr>
      <w:r>
        <w:rPr>
          <w:b w:val="0"/>
          <w:i w:val="0"/>
        </w:rPr>
        <w:t>Figure 33 — Efficiency across seeds, and what each policy costs to run.</w:t>
      </w:r>
    </w:p>
    <w:p>
      <w:pPr>
        <w:pStyle w:val="TableCaption"/>
      </w:pPr>
      <w:r>
        <w:rPr>
          <w:b w:val="0"/>
          <w:i w:val="0"/>
        </w:rPr>
        <w:t>Table 20 — The same three policies measured on the imported audience in the running system.</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Policy</w:t>
            </w:r>
          </w:p>
        </w:tc>
        <w:tc>
          <w:tcPr>
            <w:tcW w:type="dxa" w:w="1445"/>
            <w:shd w:val="clear" w:color="auto" w:fill="E8EEF6"/>
          </w:tcPr>
          <w:p>
            <w:pPr>
              <w:spacing w:after="40" w:line="240" w:lineRule="auto"/>
              <w:jc w:val="center"/>
            </w:pPr>
            <w:r/>
            <w:r>
              <w:rPr>
                <w:b/>
                <w:sz w:val="20"/>
              </w:rPr>
              <w:t>Sent</w:t>
            </w:r>
          </w:p>
        </w:tc>
        <w:tc>
          <w:tcPr>
            <w:tcW w:type="dxa" w:w="1445"/>
            <w:shd w:val="clear" w:color="auto" w:fill="E8EEF6"/>
          </w:tcPr>
          <w:p>
            <w:pPr>
              <w:spacing w:after="40" w:line="240" w:lineRule="auto"/>
              <w:jc w:val="center"/>
            </w:pPr>
            <w:r/>
            <w:r>
              <w:rPr>
                <w:b/>
                <w:sz w:val="20"/>
              </w:rPr>
              <w:t>Clicks</w:t>
            </w:r>
          </w:p>
        </w:tc>
        <w:tc>
          <w:tcPr>
            <w:tcW w:type="dxa" w:w="1445"/>
            <w:shd w:val="clear" w:color="auto" w:fill="E8EEF6"/>
          </w:tcPr>
          <w:p>
            <w:pPr>
              <w:spacing w:after="40" w:line="240" w:lineRule="auto"/>
              <w:jc w:val="center"/>
            </w:pPr>
            <w:r/>
            <w:r>
              <w:rPr>
                <w:b/>
                <w:sz w:val="20"/>
              </w:rPr>
              <w:t>Conversions</w:t>
            </w:r>
          </w:p>
        </w:tc>
        <w:tc>
          <w:tcPr>
            <w:tcW w:type="dxa" w:w="1445"/>
            <w:shd w:val="clear" w:color="auto" w:fill="E8EEF6"/>
          </w:tcPr>
          <w:p>
            <w:pPr>
              <w:spacing w:after="40" w:line="240" w:lineRule="auto"/>
              <w:jc w:val="center"/>
            </w:pPr>
            <w:r/>
            <w:r>
              <w:rPr>
                <w:b/>
                <w:sz w:val="20"/>
              </w:rPr>
              <w:t>Conv. per 1,000 sends</w:t>
            </w:r>
          </w:p>
        </w:tc>
        <w:tc>
          <w:tcPr>
            <w:tcW w:type="dxa" w:w="1445"/>
            <w:shd w:val="clear" w:color="auto" w:fill="E8EEF6"/>
          </w:tcPr>
          <w:p>
            <w:pPr>
              <w:spacing w:after="40" w:line="240" w:lineRule="auto"/>
              <w:jc w:val="center"/>
            </w:pPr>
            <w:r/>
            <w:r>
              <w:rPr>
                <w:b/>
                <w:sz w:val="20"/>
              </w:rPr>
              <w:t>Rules</w:t>
            </w:r>
          </w:p>
        </w:tc>
      </w:tr>
      <w:tr>
        <w:tc>
          <w:tcPr>
            <w:tcW w:type="dxa" w:w="1445"/>
          </w:tcPr>
          <w:p>
            <w:pPr>
              <w:spacing w:after="40" w:line="240" w:lineRule="auto"/>
              <w:jc w:val="left"/>
            </w:pPr>
            <w:r/>
            <w:r>
              <w:rPr>
                <w:b w:val="0"/>
                <w:sz w:val="20"/>
              </w:rPr>
              <w:t>fixed</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144</w:t>
            </w:r>
          </w:p>
        </w:tc>
        <w:tc>
          <w:tcPr>
            <w:tcW w:type="dxa" w:w="1445"/>
          </w:tcPr>
          <w:p>
            <w:pPr>
              <w:spacing w:after="40" w:line="240" w:lineRule="auto"/>
              <w:jc w:val="center"/>
            </w:pPr>
            <w:r/>
            <w:r>
              <w:rPr>
                <w:b w:val="0"/>
                <w:sz w:val="20"/>
              </w:rPr>
              <w:t>36</w:t>
            </w:r>
          </w:p>
        </w:tc>
        <w:tc>
          <w:tcPr>
            <w:tcW w:type="dxa" w:w="1445"/>
          </w:tcPr>
          <w:p>
            <w:pPr>
              <w:spacing w:after="40" w:line="240" w:lineRule="auto"/>
              <w:jc w:val="center"/>
            </w:pPr>
            <w:r/>
            <w:r>
              <w:rPr>
                <w:b w:val="0"/>
                <w:sz w:val="20"/>
              </w:rPr>
              <w:t>72.0</w:t>
            </w:r>
          </w:p>
        </w:tc>
        <w:tc>
          <w:tcPr>
            <w:tcW w:type="dxa" w:w="1445"/>
          </w:tcPr>
          <w:p>
            <w:pPr>
              <w:spacing w:after="40" w:line="240" w:lineRule="auto"/>
              <w:jc w:val="center"/>
            </w:pPr>
            <w:r/>
            <w:r>
              <w:rPr>
                <w:b w:val="0"/>
                <w:sz w:val="20"/>
              </w:rPr>
              <w:t>1</w:t>
            </w:r>
          </w:p>
        </w:tc>
      </w:tr>
      <w:tr>
        <w:tc>
          <w:tcPr>
            <w:tcW w:type="dxa" w:w="1445"/>
          </w:tcPr>
          <w:p>
            <w:pPr>
              <w:spacing w:after="40" w:line="240" w:lineRule="auto"/>
              <w:jc w:val="left"/>
            </w:pPr>
            <w:r/>
            <w:r>
              <w:rPr>
                <w:b w:val="0"/>
                <w:sz w:val="20"/>
              </w:rPr>
              <w:t>trigger</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111</w:t>
            </w:r>
          </w:p>
        </w:tc>
        <w:tc>
          <w:tcPr>
            <w:tcW w:type="dxa" w:w="1445"/>
          </w:tcPr>
          <w:p>
            <w:pPr>
              <w:spacing w:after="40" w:line="240" w:lineRule="auto"/>
              <w:jc w:val="center"/>
            </w:pPr>
            <w:r/>
            <w:r>
              <w:rPr>
                <w:b w:val="0"/>
                <w:sz w:val="20"/>
              </w:rPr>
              <w:t>44</w:t>
            </w:r>
          </w:p>
        </w:tc>
        <w:tc>
          <w:tcPr>
            <w:tcW w:type="dxa" w:w="1445"/>
          </w:tcPr>
          <w:p>
            <w:pPr>
              <w:spacing w:after="40" w:line="240" w:lineRule="auto"/>
              <w:jc w:val="center"/>
            </w:pPr>
            <w:r/>
            <w:r>
              <w:rPr>
                <w:b w:val="0"/>
                <w:sz w:val="20"/>
              </w:rPr>
              <w:t>110.0</w:t>
            </w:r>
          </w:p>
        </w:tc>
        <w:tc>
          <w:tcPr>
            <w:tcW w:type="dxa" w:w="1445"/>
          </w:tcPr>
          <w:p>
            <w:pPr>
              <w:spacing w:after="40" w:line="240" w:lineRule="auto"/>
              <w:jc w:val="center"/>
            </w:pPr>
            <w:r/>
            <w:r>
              <w:rPr>
                <w:b w:val="0"/>
                <w:sz w:val="20"/>
              </w:rPr>
              <w:t>4</w:t>
            </w:r>
          </w:p>
        </w:tc>
      </w:tr>
      <w:tr>
        <w:tc>
          <w:tcPr>
            <w:tcW w:type="dxa" w:w="1445"/>
          </w:tcPr>
          <w:p>
            <w:pPr>
              <w:spacing w:after="40" w:line="240" w:lineRule="auto"/>
              <w:jc w:val="left"/>
            </w:pPr>
            <w:r/>
            <w:r>
              <w:rPr>
                <w:b w:val="0"/>
                <w:sz w:val="20"/>
              </w:rPr>
              <w:t>hybrid</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109</w:t>
            </w:r>
          </w:p>
        </w:tc>
        <w:tc>
          <w:tcPr>
            <w:tcW w:type="dxa" w:w="1445"/>
          </w:tcPr>
          <w:p>
            <w:pPr>
              <w:spacing w:after="40" w:line="240" w:lineRule="auto"/>
              <w:jc w:val="center"/>
            </w:pPr>
            <w:r/>
            <w:r>
              <w:rPr>
                <w:b w:val="0"/>
                <w:sz w:val="20"/>
              </w:rPr>
              <w:t>42</w:t>
            </w:r>
          </w:p>
        </w:tc>
        <w:tc>
          <w:tcPr>
            <w:tcW w:type="dxa" w:w="1445"/>
          </w:tcPr>
          <w:p>
            <w:pPr>
              <w:spacing w:after="40" w:line="240" w:lineRule="auto"/>
              <w:jc w:val="center"/>
            </w:pPr>
            <w:r/>
            <w:r>
              <w:rPr>
                <w:b w:val="0"/>
                <w:sz w:val="20"/>
              </w:rPr>
              <w:t>105.0</w:t>
            </w:r>
          </w:p>
        </w:tc>
        <w:tc>
          <w:tcPr>
            <w:tcW w:type="dxa" w:w="1445"/>
          </w:tcPr>
          <w:p>
            <w:pPr>
              <w:spacing w:after="40" w:line="240" w:lineRule="auto"/>
              <w:jc w:val="center"/>
            </w:pPr>
            <w:r/>
            <w:r>
              <w:rPr>
                <w:b w:val="0"/>
                <w:sz w:val="20"/>
              </w:rPr>
              <w:t>8</w:t>
            </w:r>
          </w:p>
        </w:tc>
      </w:tr>
    </w:tbl>
    <w:p>
      <w:pPr>
        <w:spacing w:after="120"/>
      </w:pPr>
    </w:p>
    <w:p>
      <w:pPr>
        <w:pStyle w:val="NoteBox"/>
      </w:pPr>
      <w:r>
        <w:rPr>
          <w:b/>
        </w:rPr>
        <w:t>The simulation and the live build disagree about which policy wins.</w:t>
      </w:r>
      <w:r>
        <w:t xml:space="preserve"> Both metrics are volume-controlled, so the difference lies in how response is modelled — the simulator's segment-level propensities against per-customer rates drawn from each customer's own recorded email history. Neither is an observation of real people reacting. The ranking is evidently not robust to that choice, and that instability is the result. Quoting whichever run supports the preferred conclusion would be the one genuinely dishonest option available here.</w:t>
      </w:r>
    </w:p>
    <w:p>
      <w:pPr>
        <w:keepNext/>
        <w:keepLines/>
        <w:spacing w:before="360" w:after="120" w:line="240" w:lineRule="auto"/>
        <w:jc w:val="center"/>
      </w:pPr>
      <w:r>
        <w:drawing>
          <wp:inline xmlns:a="http://schemas.openxmlformats.org/drawingml/2006/main" xmlns:pic="http://schemas.openxmlformats.org/drawingml/2006/picture">
            <wp:extent cx="5486400" cy="2924070"/>
            <wp:docPr id="34" name="Picture 34"/>
            <wp:cNvGraphicFramePr>
              <a:graphicFrameLocks noChangeAspect="1"/>
            </wp:cNvGraphicFramePr>
            <a:graphic>
              <a:graphicData uri="http://schemas.openxmlformats.org/drawingml/2006/picture">
                <pic:pic>
                  <pic:nvPicPr>
                    <pic:cNvPr id="0" name="fig_e3_sparsity.png"/>
                    <pic:cNvPicPr/>
                  </pic:nvPicPr>
                  <pic:blipFill>
                    <a:blip r:embed="rId44"/>
                    <a:stretch>
                      <a:fillRect/>
                    </a:stretch>
                  </pic:blipFill>
                  <pic:spPr>
                    <a:xfrm>
                      <a:off x="0" y="0"/>
                      <a:ext cx="5486400" cy="2924070"/>
                    </a:xfrm>
                    <a:prstGeom prst="rect"/>
                  </pic:spPr>
                </pic:pic>
              </a:graphicData>
            </a:graphic>
          </wp:inline>
        </w:drawing>
      </w:r>
    </w:p>
    <w:p>
      <w:pPr>
        <w:pStyle w:val="Caption"/>
        <w:keepLines/>
        <w:spacing w:before="40" w:after="400" w:line="240" w:lineRule="auto"/>
      </w:pPr>
      <w:r>
        <w:rPr>
          <w:b w:val="0"/>
          <w:i w:val="0"/>
        </w:rPr>
        <w:t>Figure 34 — Efficiency as the behavioural signal is suppressed. A policy that reacts to behaviour should degrade as behaviour stops being observable.</w:t>
      </w:r>
    </w:p>
    <w:p>
      <w:pPr>
        <w:pStyle w:val="Heading3"/>
      </w:pPr>
      <w:r>
        <w:t>7.3.4 Attribution — four models, four answers</w:t>
      </w:r>
    </w:p>
    <w:p>
      <w:pPr>
        <w:pStyle w:val="TableCaption"/>
      </w:pPr>
      <w:r>
        <w:rPr>
          <w:b w:val="0"/>
          <w:i w:val="0"/>
        </w:rPr>
        <w:t>Table 21 — Attribution models scored against known channel influence on simulated journeys.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MAE</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Channels</w:t>
            </w:r>
          </w:p>
        </w:tc>
      </w:tr>
      <w:tr>
        <w:tc>
          <w:tcPr>
            <w:tcW w:type="dxa" w:w="2167"/>
          </w:tcPr>
          <w:p>
            <w:pPr>
              <w:spacing w:after="40" w:line="240" w:lineRule="auto"/>
              <w:jc w:val="left"/>
            </w:pPr>
            <w:r/>
            <w:r>
              <w:rPr>
                <w:b w:val="0"/>
                <w:sz w:val="20"/>
              </w:rPr>
              <w:t>first_touch</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[0.0112, 0.0268]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linear</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[0.0086, 0.0292]</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last_touch</w:t>
            </w:r>
          </w:p>
        </w:tc>
        <w:tc>
          <w:tcPr>
            <w:tcW w:type="dxa" w:w="2167"/>
          </w:tcPr>
          <w:p>
            <w:pPr>
              <w:spacing w:after="40" w:line="240" w:lineRule="auto"/>
              <w:jc w:val="center"/>
            </w:pPr>
            <w:r/>
            <w:r>
              <w:rPr>
                <w:b w:val="0"/>
                <w:sz w:val="20"/>
              </w:rPr>
              <w:t>0.026</w:t>
            </w:r>
          </w:p>
        </w:tc>
        <w:tc>
          <w:tcPr>
            <w:tcW w:type="dxa" w:w="2167"/>
          </w:tcPr>
          <w:p>
            <w:pPr>
              <w:spacing w:after="40" w:line="240" w:lineRule="auto"/>
              <w:jc w:val="center"/>
            </w:pPr>
            <w:r/>
            <w:r>
              <w:rPr>
                <w:b w:val="0"/>
                <w:sz w:val="20"/>
              </w:rPr>
              <w:t>[0.0094, 0.0448]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markov</w:t>
            </w:r>
          </w:p>
        </w:tc>
        <w:tc>
          <w:tcPr>
            <w:tcW w:type="dxa" w:w="2167"/>
          </w:tcPr>
          <w:p>
            <w:pPr>
              <w:spacing w:after="40" w:line="240" w:lineRule="auto"/>
              <w:jc w:val="center"/>
            </w:pPr>
            <w:r/>
            <w:r>
              <w:rPr>
                <w:b w:val="0"/>
                <w:sz w:val="20"/>
              </w:rPr>
              <w:t>0.0525</w:t>
            </w:r>
          </w:p>
        </w:tc>
        <w:tc>
          <w:tcPr>
            <w:tcW w:type="dxa" w:w="2167"/>
          </w:tcPr>
          <w:p>
            <w:pPr>
              <w:spacing w:after="40" w:line="240" w:lineRule="auto"/>
              <w:jc w:val="center"/>
            </w:pPr>
            <w:r/>
            <w:r>
              <w:rPr>
                <w:b w:val="0"/>
                <w:sz w:val="20"/>
              </w:rPr>
              <w:t>[0.0345, 0.0791]</w:t>
            </w:r>
          </w:p>
        </w:tc>
        <w:tc>
          <w:tcPr>
            <w:tcW w:type="dxa" w:w="2167"/>
          </w:tcPr>
          <w:p>
            <w:pPr>
              <w:spacing w:after="40" w:line="240" w:lineRule="auto"/>
              <w:jc w:val="center"/>
            </w:pPr>
            <w:r/>
            <w:r>
              <w:rPr>
                <w:b w:val="0"/>
                <w:sz w:val="20"/>
              </w:rPr>
              <w:t>5</w:t>
            </w:r>
          </w:p>
        </w:tc>
      </w:tr>
    </w:tbl>
    <w:p>
      <w:pPr>
        <w:spacing w:after="120"/>
      </w:pPr>
    </w:p>
    <w:p>
      <w:r>
        <w:t>On the live journeys of 7,811 converting customers the models disagree over 68% of all attributed credit at the widest pair, and 35% on average. Last-touch hands the great majority of credit to email; first-touch spreads it almost evenly across the acquisition channels.</w:t>
      </w:r>
    </w:p>
    <w:p>
      <w:pPr>
        <w:pStyle w:val="NoteBox"/>
      </w:pPr>
      <w:r>
        <w:t>A company reading only its last-touch dashboard would conclude that email is responsible for nearly everything, and would cut the acquisition spend that built the audience email later converted. The disagreement between models is not a defect in one of them — it is the finding.</w:t>
      </w:r>
    </w:p>
    <w:p>
      <w:r>
        <w:t>20% of converting journeys have a single touchpoint. On those, every model agrees by arithmetic, and that agreement must never be read as corroboration.</w:t>
      </w:r>
    </w:p>
    <w:p>
      <w:pPr>
        <w:keepNext/>
        <w:keepLines/>
        <w:spacing w:before="360" w:after="120" w:line="240" w:lineRule="auto"/>
        <w:jc w:val="center"/>
      </w:pPr>
      <w:r>
        <w:drawing>
          <wp:inline xmlns:a="http://schemas.openxmlformats.org/drawingml/2006/main" xmlns:pic="http://schemas.openxmlformats.org/drawingml/2006/picture">
            <wp:extent cx="5486400" cy="1938670"/>
            <wp:docPr id="35" name="Picture 35"/>
            <wp:cNvGraphicFramePr>
              <a:graphicFrameLocks noChangeAspect="1"/>
            </wp:cNvGraphicFramePr>
            <a:graphic>
              <a:graphicData uri="http://schemas.openxmlformats.org/drawingml/2006/picture">
                <pic:pic>
                  <pic:nvPicPr>
                    <pic:cNvPr id="0" name="fig_e4_attribution.png"/>
                    <pic:cNvPicPr/>
                  </pic:nvPicPr>
                  <pic:blipFill>
                    <a:blip r:embed="rId45"/>
                    <a:stretch>
                      <a:fillRect/>
                    </a:stretch>
                  </pic:blipFill>
                  <pic:spPr>
                    <a:xfrm>
                      <a:off x="0" y="0"/>
                      <a:ext cx="5486400" cy="1938670"/>
                    </a:xfrm>
                    <a:prstGeom prst="rect"/>
                  </pic:spPr>
                </pic:pic>
              </a:graphicData>
            </a:graphic>
          </wp:inline>
        </w:drawing>
      </w:r>
    </w:p>
    <w:p>
      <w:pPr>
        <w:pStyle w:val="Caption"/>
        <w:keepLines/>
        <w:spacing w:before="40" w:after="400" w:line="240" w:lineRule="auto"/>
      </w:pPr>
      <w:r>
        <w:rPr>
          <w:b w:val="0"/>
          <w:i w:val="0"/>
        </w:rPr>
        <w:t>Figure 35 — The same journeys under four attribution models, and their error where ground truth exists.</w:t>
      </w:r>
    </w:p>
    <w:p>
      <w:pPr>
        <w:pStyle w:val="Heading3"/>
      </w:pPr>
      <w:r>
        <w:t>7.3.5 Prediction, and what the move to another audience costs</w:t>
      </w:r>
    </w:p>
    <w:p>
      <w:pPr>
        <w:pStyle w:val="TableCaption"/>
      </w:pPr>
      <w:r>
        <w:rPr>
          <w:b w:val="0"/>
          <w:i w:val="0"/>
        </w:rPr>
        <w:t>Table 22 — Conversion and drop-off classifiers against a baseline, fitted on Module 3's simulator.</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ROC-AUC</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PR-AUC</w:t>
            </w:r>
          </w:p>
        </w:tc>
        <w:tc>
          <w:tcPr>
            <w:tcW w:type="dxa" w:w="1445"/>
            <w:shd w:val="clear" w:color="auto" w:fill="E8EEF6"/>
          </w:tcPr>
          <w:p>
            <w:pPr>
              <w:spacing w:after="40" w:line="240" w:lineRule="auto"/>
              <w:jc w:val="center"/>
            </w:pPr>
            <w:r/>
            <w:r>
              <w:rPr>
                <w:b/>
                <w:sz w:val="20"/>
              </w:rPr>
              <w:t>Brier</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0.4983</w:t>
            </w:r>
          </w:p>
        </w:tc>
        <w:tc>
          <w:tcPr>
            <w:tcW w:type="dxa" w:w="1445"/>
          </w:tcPr>
          <w:p>
            <w:pPr>
              <w:spacing w:after="40" w:line="240" w:lineRule="auto"/>
              <w:jc w:val="center"/>
            </w:pPr>
            <w:r/>
            <w:r>
              <w:rPr>
                <w:b w:val="0"/>
                <w:sz w:val="20"/>
              </w:rPr>
              <w:t>[0.4772, 0.5221]</w:t>
            </w:r>
          </w:p>
        </w:tc>
        <w:tc>
          <w:tcPr>
            <w:tcW w:type="dxa" w:w="1445"/>
          </w:tcPr>
          <w:p>
            <w:pPr>
              <w:spacing w:after="40" w:line="240" w:lineRule="auto"/>
              <w:jc w:val="center"/>
            </w:pPr>
            <w:r/>
            <w:r>
              <w:rPr>
                <w:b w:val="0"/>
                <w:sz w:val="20"/>
              </w:rPr>
              <w:t>0.1147</w:t>
            </w:r>
          </w:p>
        </w:tc>
        <w:tc>
          <w:tcPr>
            <w:tcW w:type="dxa" w:w="1445"/>
          </w:tcPr>
          <w:p>
            <w:pPr>
              <w:spacing w:after="40" w:line="240" w:lineRule="auto"/>
              <w:jc w:val="center"/>
            </w:pPr>
            <w:r/>
            <w:r>
              <w:rPr>
                <w:b w:val="0"/>
                <w:sz w:val="20"/>
              </w:rPr>
              <w:t>0.205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0.9651</w:t>
            </w:r>
          </w:p>
        </w:tc>
        <w:tc>
          <w:tcPr>
            <w:tcW w:type="dxa" w:w="1445"/>
          </w:tcPr>
          <w:p>
            <w:pPr>
              <w:spacing w:after="40" w:line="240" w:lineRule="auto"/>
              <w:jc w:val="center"/>
            </w:pPr>
            <w:r/>
            <w:r>
              <w:rPr>
                <w:b w:val="0"/>
                <w:sz w:val="20"/>
              </w:rPr>
              <w:t>[0.9541, 0.9743]</w:t>
            </w:r>
          </w:p>
        </w:tc>
        <w:tc>
          <w:tcPr>
            <w:tcW w:type="dxa" w:w="1445"/>
          </w:tcPr>
          <w:p>
            <w:pPr>
              <w:spacing w:after="40" w:line="240" w:lineRule="auto"/>
              <w:jc w:val="center"/>
            </w:pPr>
            <w:r/>
            <w:r>
              <w:rPr>
                <w:b w:val="0"/>
                <w:sz w:val="20"/>
              </w:rPr>
              <w:t>0.8371</w:t>
            </w:r>
          </w:p>
        </w:tc>
        <w:tc>
          <w:tcPr>
            <w:tcW w:type="dxa" w:w="1445"/>
          </w:tcPr>
          <w:p>
            <w:pPr>
              <w:spacing w:after="40" w:line="240" w:lineRule="auto"/>
              <w:jc w:val="center"/>
            </w:pPr>
            <w:r/>
            <w:r>
              <w:rPr>
                <w:b w:val="0"/>
                <w:sz w:val="20"/>
              </w:rPr>
              <w:t>0.0409</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0.9722</w:t>
            </w:r>
          </w:p>
        </w:tc>
        <w:tc>
          <w:tcPr>
            <w:tcW w:type="dxa" w:w="1445"/>
          </w:tcPr>
          <w:p>
            <w:pPr>
              <w:spacing w:after="40" w:line="240" w:lineRule="auto"/>
              <w:jc w:val="center"/>
            </w:pPr>
            <w:r/>
            <w:r>
              <w:rPr>
                <w:b w:val="0"/>
                <w:sz w:val="20"/>
              </w:rPr>
              <w:t>[0.9642, 0.9793]</w:t>
            </w:r>
          </w:p>
        </w:tc>
        <w:tc>
          <w:tcPr>
            <w:tcW w:type="dxa" w:w="1445"/>
          </w:tcPr>
          <w:p>
            <w:pPr>
              <w:spacing w:after="40" w:line="240" w:lineRule="auto"/>
              <w:jc w:val="center"/>
            </w:pPr>
            <w:r/>
            <w:r>
              <w:rPr>
                <w:b w:val="0"/>
                <w:sz w:val="20"/>
              </w:rPr>
              <w:t>0.8667</w:t>
            </w:r>
          </w:p>
        </w:tc>
        <w:tc>
          <w:tcPr>
            <w:tcW w:type="dxa" w:w="1445"/>
          </w:tcPr>
          <w:p>
            <w:pPr>
              <w:spacing w:after="40" w:line="240" w:lineRule="auto"/>
              <w:jc w:val="center"/>
            </w:pPr>
            <w:r/>
            <w:r>
              <w:rPr>
                <w:b w:val="0"/>
                <w:sz w:val="20"/>
              </w:rPr>
              <w:t>0.0375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0.9725</w:t>
            </w:r>
          </w:p>
        </w:tc>
        <w:tc>
          <w:tcPr>
            <w:tcW w:type="dxa" w:w="1445"/>
          </w:tcPr>
          <w:p>
            <w:pPr>
              <w:spacing w:after="40" w:line="240" w:lineRule="auto"/>
              <w:jc w:val="center"/>
            </w:pPr>
            <w:r/>
            <w:r>
              <w:rPr>
                <w:b w:val="0"/>
                <w:sz w:val="20"/>
              </w:rPr>
              <w:t>[0.9654, 0.9793]</w:t>
            </w:r>
          </w:p>
        </w:tc>
        <w:tc>
          <w:tcPr>
            <w:tcW w:type="dxa" w:w="1445"/>
          </w:tcPr>
          <w:p>
            <w:pPr>
              <w:spacing w:after="40" w:line="240" w:lineRule="auto"/>
              <w:jc w:val="center"/>
            </w:pPr>
            <w:r/>
            <w:r>
              <w:rPr>
                <w:b w:val="0"/>
                <w:sz w:val="20"/>
              </w:rPr>
              <w:t>0.8624</w:t>
            </w:r>
          </w:p>
        </w:tc>
        <w:tc>
          <w:tcPr>
            <w:tcW w:type="dxa" w:w="1445"/>
          </w:tcPr>
          <w:p>
            <w:pPr>
              <w:spacing w:after="40" w:line="240" w:lineRule="auto"/>
              <w:jc w:val="center"/>
            </w:pPr>
            <w:r/>
            <w:r>
              <w:rPr>
                <w:b w:val="0"/>
                <w:sz w:val="20"/>
              </w:rPr>
              <w:t>0.038</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0.4898</w:t>
            </w:r>
          </w:p>
        </w:tc>
        <w:tc>
          <w:tcPr>
            <w:tcW w:type="dxa" w:w="1445"/>
          </w:tcPr>
          <w:p>
            <w:pPr>
              <w:spacing w:after="40" w:line="240" w:lineRule="auto"/>
              <w:jc w:val="center"/>
            </w:pPr>
            <w:r/>
            <w:r>
              <w:rPr>
                <w:b w:val="0"/>
                <w:sz w:val="20"/>
              </w:rPr>
              <w:t>[0.4687, 0.5107]</w:t>
            </w:r>
          </w:p>
        </w:tc>
        <w:tc>
          <w:tcPr>
            <w:tcW w:type="dxa" w:w="1445"/>
          </w:tcPr>
          <w:p>
            <w:pPr>
              <w:spacing w:after="40" w:line="240" w:lineRule="auto"/>
              <w:jc w:val="center"/>
            </w:pPr>
            <w:r/>
            <w:r>
              <w:rPr>
                <w:b w:val="0"/>
                <w:sz w:val="20"/>
              </w:rPr>
              <w:t>0.6328</w:t>
            </w:r>
          </w:p>
        </w:tc>
        <w:tc>
          <w:tcPr>
            <w:tcW w:type="dxa" w:w="1445"/>
          </w:tcPr>
          <w:p>
            <w:pPr>
              <w:spacing w:after="40" w:line="240" w:lineRule="auto"/>
              <w:jc w:val="center"/>
            </w:pPr>
            <w:r/>
            <w:r>
              <w:rPr>
                <w:b w:val="0"/>
                <w:sz w:val="20"/>
              </w:rPr>
              <w:t>0.4715</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0.9306</w:t>
            </w:r>
          </w:p>
        </w:tc>
        <w:tc>
          <w:tcPr>
            <w:tcW w:type="dxa" w:w="1445"/>
          </w:tcPr>
          <w:p>
            <w:pPr>
              <w:spacing w:after="40" w:line="240" w:lineRule="auto"/>
              <w:jc w:val="center"/>
            </w:pPr>
            <w:r/>
            <w:r>
              <w:rPr>
                <w:b w:val="0"/>
                <w:sz w:val="20"/>
              </w:rPr>
              <w:t>[0.9168, 0.9442]</w:t>
            </w:r>
          </w:p>
        </w:tc>
        <w:tc>
          <w:tcPr>
            <w:tcW w:type="dxa" w:w="1445"/>
          </w:tcPr>
          <w:p>
            <w:pPr>
              <w:spacing w:after="40" w:line="240" w:lineRule="auto"/>
              <w:jc w:val="center"/>
            </w:pPr>
            <w:r/>
            <w:r>
              <w:rPr>
                <w:b w:val="0"/>
                <w:sz w:val="20"/>
              </w:rPr>
              <w:t>0.9377</w:t>
            </w:r>
          </w:p>
        </w:tc>
        <w:tc>
          <w:tcPr>
            <w:tcW w:type="dxa" w:w="1445"/>
          </w:tcPr>
          <w:p>
            <w:pPr>
              <w:spacing w:after="40" w:line="240" w:lineRule="auto"/>
              <w:jc w:val="center"/>
            </w:pPr>
            <w:r/>
            <w:r>
              <w:rPr>
                <w:b w:val="0"/>
                <w:sz w:val="20"/>
              </w:rPr>
              <w:t>0.0829</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0.9876</w:t>
            </w:r>
          </w:p>
        </w:tc>
        <w:tc>
          <w:tcPr>
            <w:tcW w:type="dxa" w:w="1445"/>
          </w:tcPr>
          <w:p>
            <w:pPr>
              <w:spacing w:after="40" w:line="240" w:lineRule="auto"/>
              <w:jc w:val="center"/>
            </w:pPr>
            <w:r/>
            <w:r>
              <w:rPr>
                <w:b w:val="0"/>
                <w:sz w:val="20"/>
              </w:rPr>
              <w:t>[0.9829, 0.9915]</w:t>
            </w:r>
          </w:p>
        </w:tc>
        <w:tc>
          <w:tcPr>
            <w:tcW w:type="dxa" w:w="1445"/>
          </w:tcPr>
          <w:p>
            <w:pPr>
              <w:spacing w:after="40" w:line="240" w:lineRule="auto"/>
              <w:jc w:val="center"/>
            </w:pPr>
            <w:r/>
            <w:r>
              <w:rPr>
                <w:b w:val="0"/>
                <w:sz w:val="20"/>
              </w:rPr>
              <w:t>0.9917</w:t>
            </w:r>
          </w:p>
        </w:tc>
        <w:tc>
          <w:tcPr>
            <w:tcW w:type="dxa" w:w="1445"/>
          </w:tcPr>
          <w:p>
            <w:pPr>
              <w:spacing w:after="40" w:line="240" w:lineRule="auto"/>
              <w:jc w:val="center"/>
            </w:pPr>
            <w:r/>
            <w:r>
              <w:rPr>
                <w:b w:val="0"/>
                <w:sz w:val="20"/>
              </w:rPr>
              <w:t>0.0362</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0.99</w:t>
            </w:r>
          </w:p>
        </w:tc>
        <w:tc>
          <w:tcPr>
            <w:tcW w:type="dxa" w:w="1445"/>
          </w:tcPr>
          <w:p>
            <w:pPr>
              <w:spacing w:after="40" w:line="240" w:lineRule="auto"/>
              <w:jc w:val="center"/>
            </w:pPr>
            <w:r/>
            <w:r>
              <w:rPr>
                <w:b w:val="0"/>
                <w:sz w:val="20"/>
              </w:rPr>
              <w:t>[0.9867, 0.9929]</w:t>
            </w:r>
          </w:p>
        </w:tc>
        <w:tc>
          <w:tcPr>
            <w:tcW w:type="dxa" w:w="1445"/>
          </w:tcPr>
          <w:p>
            <w:pPr>
              <w:spacing w:after="40" w:line="240" w:lineRule="auto"/>
              <w:jc w:val="center"/>
            </w:pPr>
            <w:r/>
            <w:r>
              <w:rPr>
                <w:b w:val="0"/>
                <w:sz w:val="20"/>
              </w:rPr>
              <w:t>0.9941</w:t>
            </w:r>
          </w:p>
        </w:tc>
        <w:tc>
          <w:tcPr>
            <w:tcW w:type="dxa" w:w="1445"/>
          </w:tcPr>
          <w:p>
            <w:pPr>
              <w:spacing w:after="40" w:line="240" w:lineRule="auto"/>
              <w:jc w:val="center"/>
            </w:pPr>
            <w:r/>
            <w:r>
              <w:rPr>
                <w:b w:val="0"/>
                <w:sz w:val="20"/>
              </w:rPr>
              <w:t>0.0355</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098391"/>
            <wp:docPr id="36" name="Picture 36"/>
            <wp:cNvGraphicFramePr>
              <a:graphicFrameLocks noChangeAspect="1"/>
            </wp:cNvGraphicFramePr>
            <a:graphic>
              <a:graphicData uri="http://schemas.openxmlformats.org/drawingml/2006/picture">
                <pic:pic>
                  <pic:nvPicPr>
                    <pic:cNvPr id="0" name="fig_e5_prediction.png"/>
                    <pic:cNvPicPr/>
                  </pic:nvPicPr>
                  <pic:blipFill>
                    <a:blip r:embed="rId46"/>
                    <a:stretch>
                      <a:fillRect/>
                    </a:stretch>
                  </pic:blipFill>
                  <pic:spPr>
                    <a:xfrm>
                      <a:off x="0" y="0"/>
                      <a:ext cx="5486400" cy="2098391"/>
                    </a:xfrm>
                    <a:prstGeom prst="rect"/>
                  </pic:spPr>
                </pic:pic>
              </a:graphicData>
            </a:graphic>
          </wp:inline>
        </w:drawing>
      </w:r>
    </w:p>
    <w:p>
      <w:pPr>
        <w:pStyle w:val="Caption"/>
        <w:keepLines/>
        <w:spacing w:before="40" w:after="400" w:line="240" w:lineRule="auto"/>
      </w:pPr>
      <w:r>
        <w:rPr>
          <w:b w:val="0"/>
          <w:i w:val="0"/>
        </w:rPr>
        <w:t>Figure 36 — Discrimination against a stratified baseline, with bootstrap intervals.</w:t>
      </w:r>
    </w:p>
    <w:p>
      <w:pPr>
        <w:pStyle w:val="TableCaption"/>
      </w:pPr>
      <w:r>
        <w:rPr>
          <w:b w:val="0"/>
          <w:i w:val="0"/>
        </w:rPr>
        <w:t>Table 23 — The same models applied to the imported audience — a different distribution from the one they were fitted on.</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Prediction</w:t>
            </w:r>
          </w:p>
        </w:tc>
        <w:tc>
          <w:tcPr>
            <w:tcW w:type="dxa" w:w="1734"/>
            <w:shd w:val="clear" w:color="auto" w:fill="E8EEF6"/>
          </w:tcPr>
          <w:p>
            <w:pPr>
              <w:spacing w:after="40" w:line="240" w:lineRule="auto"/>
              <w:jc w:val="center"/>
            </w:pPr>
            <w:r/>
            <w:r>
              <w:rPr>
                <w:b/>
                <w:sz w:val="20"/>
              </w:rPr>
              <w:t>Min</w:t>
            </w:r>
          </w:p>
        </w:tc>
        <w:tc>
          <w:tcPr>
            <w:tcW w:type="dxa" w:w="1734"/>
            <w:shd w:val="clear" w:color="auto" w:fill="E8EEF6"/>
          </w:tcPr>
          <w:p>
            <w:pPr>
              <w:spacing w:after="40" w:line="240" w:lineRule="auto"/>
              <w:jc w:val="center"/>
            </w:pPr>
            <w:r/>
            <w:r>
              <w:rPr>
                <w:b/>
                <w:sz w:val="20"/>
              </w:rPr>
              <w:t>Median</w:t>
            </w:r>
          </w:p>
        </w:tc>
        <w:tc>
          <w:tcPr>
            <w:tcW w:type="dxa" w:w="1734"/>
            <w:shd w:val="clear" w:color="auto" w:fill="E8EEF6"/>
          </w:tcPr>
          <w:p>
            <w:pPr>
              <w:spacing w:after="40" w:line="240" w:lineRule="auto"/>
              <w:jc w:val="center"/>
            </w:pPr>
            <w:r/>
            <w:r>
              <w:rPr>
                <w:b/>
                <w:sz w:val="20"/>
              </w:rPr>
              <w:t>Max</w:t>
            </w:r>
          </w:p>
        </w:tc>
        <w:tc>
          <w:tcPr>
            <w:tcW w:type="dxa" w:w="1734"/>
            <w:shd w:val="clear" w:color="auto" w:fill="E8EEF6"/>
          </w:tcPr>
          <w:p>
            <w:pPr>
              <w:spacing w:after="40" w:line="240" w:lineRule="auto"/>
              <w:jc w:val="center"/>
            </w:pPr>
            <w:r/>
            <w:r>
              <w:rPr>
                <w:b/>
                <w:sz w:val="20"/>
              </w:rPr>
              <w:t>Above threshold</w:t>
            </w:r>
          </w:p>
        </w:tc>
      </w:tr>
      <w:tr>
        <w:tc>
          <w:tcPr>
            <w:tcW w:type="dxa" w:w="1734"/>
          </w:tcPr>
          <w:p>
            <w:pPr>
              <w:spacing w:after="40" w:line="240" w:lineRule="auto"/>
              <w:jc w:val="left"/>
            </w:pPr>
            <w:r/>
            <w:r>
              <w:rPr>
                <w:b w:val="0"/>
                <w:sz w:val="20"/>
              </w:rPr>
              <w:t>conversion</w:t>
            </w:r>
          </w:p>
        </w:tc>
        <w:tc>
          <w:tcPr>
            <w:tcW w:type="dxa" w:w="1734"/>
          </w:tcPr>
          <w:p>
            <w:pPr>
              <w:spacing w:after="40" w:line="240" w:lineRule="auto"/>
              <w:jc w:val="center"/>
            </w:pPr>
            <w:r/>
            <w:r>
              <w:rPr>
                <w:b w:val="0"/>
                <w:sz w:val="20"/>
              </w:rPr>
              <w:t>0.0103</w:t>
            </w:r>
          </w:p>
        </w:tc>
        <w:tc>
          <w:tcPr>
            <w:tcW w:type="dxa" w:w="1734"/>
          </w:tcPr>
          <w:p>
            <w:pPr>
              <w:spacing w:after="40" w:line="240" w:lineRule="auto"/>
              <w:jc w:val="center"/>
            </w:pPr>
            <w:r/>
            <w:r>
              <w:rPr>
                <w:b w:val="0"/>
                <w:sz w:val="20"/>
              </w:rPr>
              <w:t>0.9126</w:t>
            </w:r>
          </w:p>
        </w:tc>
        <w:tc>
          <w:tcPr>
            <w:tcW w:type="dxa" w:w="1734"/>
          </w:tcPr>
          <w:p>
            <w:pPr>
              <w:spacing w:after="40" w:line="240" w:lineRule="auto"/>
              <w:jc w:val="center"/>
            </w:pPr>
            <w:r/>
            <w:r>
              <w:rPr>
                <w:b w:val="0"/>
                <w:sz w:val="20"/>
              </w:rPr>
              <w:t>0.9956</w:t>
            </w:r>
          </w:p>
        </w:tc>
        <w:tc>
          <w:tcPr>
            <w:tcW w:type="dxa" w:w="1734"/>
          </w:tcPr>
          <w:p>
            <w:pPr>
              <w:spacing w:after="40" w:line="240" w:lineRule="auto"/>
              <w:jc w:val="center"/>
            </w:pPr>
            <w:r/>
            <w:r>
              <w:rPr>
                <w:b w:val="0"/>
                <w:sz w:val="20"/>
              </w:rPr>
              <w:t>5606 of 8000 (≥ 0.5)</w:t>
            </w:r>
          </w:p>
        </w:tc>
      </w:tr>
      <w:tr>
        <w:tc>
          <w:tcPr>
            <w:tcW w:type="dxa" w:w="1734"/>
          </w:tcPr>
          <w:p>
            <w:pPr>
              <w:spacing w:after="40" w:line="240" w:lineRule="auto"/>
              <w:jc w:val="left"/>
            </w:pPr>
            <w:r/>
            <w:r>
              <w:rPr>
                <w:b w:val="0"/>
                <w:sz w:val="20"/>
              </w:rPr>
              <w:t>drop-off risk</w:t>
            </w:r>
          </w:p>
        </w:tc>
        <w:tc>
          <w:tcPr>
            <w:tcW w:type="dxa" w:w="1734"/>
          </w:tcPr>
          <w:p>
            <w:pPr>
              <w:spacing w:after="40" w:line="240" w:lineRule="auto"/>
              <w:jc w:val="center"/>
            </w:pPr>
            <w:r/>
            <w:r>
              <w:rPr>
                <w:b w:val="0"/>
                <w:sz w:val="20"/>
              </w:rPr>
              <w:t>0.0006</w:t>
            </w:r>
          </w:p>
        </w:tc>
        <w:tc>
          <w:tcPr>
            <w:tcW w:type="dxa" w:w="1734"/>
          </w:tcPr>
          <w:p>
            <w:pPr>
              <w:spacing w:after="40" w:line="240" w:lineRule="auto"/>
              <w:jc w:val="center"/>
            </w:pPr>
            <w:r/>
            <w:r>
              <w:rPr>
                <w:b w:val="0"/>
                <w:sz w:val="20"/>
              </w:rPr>
              <w:t>0.0441</w:t>
            </w:r>
          </w:p>
        </w:tc>
        <w:tc>
          <w:tcPr>
            <w:tcW w:type="dxa" w:w="1734"/>
          </w:tcPr>
          <w:p>
            <w:pPr>
              <w:spacing w:after="40" w:line="240" w:lineRule="auto"/>
              <w:jc w:val="center"/>
            </w:pPr>
            <w:r/>
            <w:r>
              <w:rPr>
                <w:b w:val="0"/>
                <w:sz w:val="20"/>
              </w:rPr>
              <w:t>0.9911</w:t>
            </w:r>
          </w:p>
        </w:tc>
        <w:tc>
          <w:tcPr>
            <w:tcW w:type="dxa" w:w="1734"/>
          </w:tcPr>
          <w:p>
            <w:pPr>
              <w:spacing w:after="40" w:line="240" w:lineRule="auto"/>
              <w:jc w:val="center"/>
            </w:pPr>
            <w:r/>
            <w:r>
              <w:rPr>
                <w:b w:val="0"/>
                <w:sz w:val="20"/>
              </w:rPr>
              <w:t>911 of 8000 (≥ 0.6)</w:t>
            </w:r>
          </w:p>
        </w:tc>
      </w:tr>
    </w:tbl>
    <w:p>
      <w:pPr>
        <w:spacing w:after="120"/>
      </w:pPr>
    </w:p>
    <w:p>
      <w:r>
        <w:t>The models discriminate well on the distribution they were fitted on. Applying them to another audience is a transfer across distributions: the ranking remains usable, the absolute probabilities are not calibrated for it, and any threshold set on the training distribution should be treated as arbitrary here. The system raises a calibration warning rather than reporting a confident number when the prediction distribution is degenerate.</w:t>
      </w:r>
    </w:p>
    <w:p>
      <w:pPr>
        <w:pStyle w:val="Heading3"/>
      </w:pPr>
      <w:r>
        <w:t>7.3.6 Goal and tone — the simpler model wins, and it matters which metric says so</w:t>
      </w:r>
    </w:p>
    <w:p>
      <w:pPr>
        <w:pStyle w:val="TableCaption"/>
      </w:pPr>
      <w:r>
        <w:rPr>
          <w:b w:val="0"/>
          <w:i w:val="0"/>
        </w:rPr>
        <w:t>Table 24 — Classifier comparison. Accuracy and macro-F1 tell different stories.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Macro-F1</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0.5877</w:t>
            </w:r>
          </w:p>
        </w:tc>
        <w:tc>
          <w:tcPr>
            <w:tcW w:type="dxa" w:w="1445"/>
          </w:tcPr>
          <w:p>
            <w:pPr>
              <w:spacing w:after="40" w:line="240" w:lineRule="auto"/>
              <w:jc w:val="center"/>
            </w:pPr>
            <w:r/>
            <w:r>
              <w:rPr>
                <w:b w:val="0"/>
                <w:sz w:val="20"/>
              </w:rPr>
              <w:t>0.1481</w:t>
            </w:r>
          </w:p>
        </w:tc>
        <w:tc>
          <w:tcPr>
            <w:tcW w:type="dxa" w:w="1445"/>
          </w:tcPr>
          <w:p>
            <w:pPr>
              <w:spacing w:after="40" w:line="240" w:lineRule="auto"/>
              <w:jc w:val="center"/>
            </w:pPr>
            <w:r/>
            <w:r>
              <w:rPr>
                <w:b w:val="0"/>
                <w:sz w:val="20"/>
              </w:rPr>
              <w:t>0.4351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0.4998</w:t>
            </w:r>
          </w:p>
        </w:tc>
        <w:tc>
          <w:tcPr>
            <w:tcW w:type="dxa" w:w="1445"/>
          </w:tcPr>
          <w:p>
            <w:pPr>
              <w:spacing w:after="40" w:line="240" w:lineRule="auto"/>
              <w:jc w:val="center"/>
            </w:pPr>
            <w:r/>
            <w:r>
              <w:rPr>
                <w:b w:val="0"/>
                <w:sz w:val="20"/>
              </w:rPr>
              <w:t>0.7628</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0.4042</w:t>
            </w:r>
          </w:p>
        </w:tc>
        <w:tc>
          <w:tcPr>
            <w:tcW w:type="dxa" w:w="1445"/>
          </w:tcPr>
          <w:p>
            <w:pPr>
              <w:spacing w:after="40" w:line="240" w:lineRule="auto"/>
              <w:jc w:val="center"/>
            </w:pPr>
            <w:r/>
            <w:r>
              <w:rPr>
                <w:b w:val="0"/>
                <w:sz w:val="20"/>
              </w:rPr>
              <w:t>0.7391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0.3864</w:t>
            </w:r>
          </w:p>
        </w:tc>
        <w:tc>
          <w:tcPr>
            <w:tcW w:type="dxa" w:w="1445"/>
          </w:tcPr>
          <w:p>
            <w:pPr>
              <w:spacing w:after="40" w:line="240" w:lineRule="auto"/>
              <w:jc w:val="center"/>
            </w:pPr>
            <w:r/>
            <w:r>
              <w:rPr>
                <w:b w:val="0"/>
                <w:sz w:val="20"/>
              </w:rPr>
              <w:t>0.1115</w:t>
            </w:r>
          </w:p>
        </w:tc>
        <w:tc>
          <w:tcPr>
            <w:tcW w:type="dxa" w:w="1445"/>
          </w:tcPr>
          <w:p>
            <w:pPr>
              <w:spacing w:after="40" w:line="240" w:lineRule="auto"/>
              <w:jc w:val="center"/>
            </w:pPr>
            <w:r/>
            <w:r>
              <w:rPr>
                <w:b w:val="0"/>
                <w:sz w:val="20"/>
              </w:rPr>
              <w:t>0.2154</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0.8182</w:t>
            </w:r>
          </w:p>
        </w:tc>
        <w:tc>
          <w:tcPr>
            <w:tcW w:type="dxa" w:w="1445"/>
          </w:tcPr>
          <w:p>
            <w:pPr>
              <w:spacing w:after="40" w:line="240" w:lineRule="auto"/>
              <w:jc w:val="center"/>
            </w:pPr>
            <w:r/>
            <w:r>
              <w:rPr>
                <w:b w:val="0"/>
                <w:sz w:val="20"/>
              </w:rPr>
              <w:t>0.7315</w:t>
            </w:r>
          </w:p>
        </w:tc>
        <w:tc>
          <w:tcPr>
            <w:tcW w:type="dxa" w:w="1445"/>
          </w:tcPr>
          <w:p>
            <w:pPr>
              <w:spacing w:after="40" w:line="240" w:lineRule="auto"/>
              <w:jc w:val="center"/>
            </w:pPr>
            <w:r/>
            <w:r>
              <w:rPr>
                <w:b w:val="0"/>
                <w:sz w:val="20"/>
              </w:rPr>
              <w:t>0.8153</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0.7727</w:t>
            </w:r>
          </w:p>
        </w:tc>
        <w:tc>
          <w:tcPr>
            <w:tcW w:type="dxa" w:w="1445"/>
          </w:tcPr>
          <w:p>
            <w:pPr>
              <w:spacing w:after="40" w:line="240" w:lineRule="auto"/>
              <w:jc w:val="center"/>
            </w:pPr>
            <w:r/>
            <w:r>
              <w:rPr>
                <w:b w:val="0"/>
                <w:sz w:val="20"/>
              </w:rPr>
              <w:t>0.5912</w:t>
            </w:r>
          </w:p>
        </w:tc>
        <w:tc>
          <w:tcPr>
            <w:tcW w:type="dxa" w:w="1445"/>
          </w:tcPr>
          <w:p>
            <w:pPr>
              <w:spacing w:after="40" w:line="240" w:lineRule="auto"/>
              <w:jc w:val="center"/>
            </w:pPr>
            <w:r/>
            <w:r>
              <w:rPr>
                <w:b w:val="0"/>
                <w:sz w:val="20"/>
              </w:rPr>
              <w:t>0.7482</w:t>
            </w:r>
          </w:p>
        </w:tc>
        <w:tc>
          <w:tcPr>
            <w:tcW w:type="dxa" w:w="1445"/>
          </w:tcPr>
          <w:p>
            <w:pPr>
              <w:spacing w:after="40" w:line="240" w:lineRule="auto"/>
              <w:jc w:val="center"/>
            </w:pPr>
            <w:r/>
            <w:r>
              <w:rPr>
                <w:b w:val="0"/>
                <w:sz w:val="20"/>
              </w:rPr>
              <w:t>44</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1965085"/>
            <wp:docPr id="37" name="Picture 37"/>
            <wp:cNvGraphicFramePr>
              <a:graphicFrameLocks noChangeAspect="1"/>
            </wp:cNvGraphicFramePr>
            <a:graphic>
              <a:graphicData uri="http://schemas.openxmlformats.org/drawingml/2006/picture">
                <pic:pic>
                  <pic:nvPicPr>
                    <pic:cNvPr id="0" name="fig_e6_goal_tone.png"/>
                    <pic:cNvPicPr/>
                  </pic:nvPicPr>
                  <pic:blipFill>
                    <a:blip r:embed="rId47"/>
                    <a:stretch>
                      <a:fillRect/>
                    </a:stretch>
                  </pic:blipFill>
                  <pic:spPr>
                    <a:xfrm>
                      <a:off x="0" y="0"/>
                      <a:ext cx="5486400" cy="1965085"/>
                    </a:xfrm>
                    <a:prstGeom prst="rect"/>
                  </pic:spPr>
                </pic:pic>
              </a:graphicData>
            </a:graphic>
          </wp:inline>
        </w:drawing>
      </w:r>
    </w:p>
    <w:p>
      <w:pPr>
        <w:pStyle w:val="Caption"/>
        <w:keepLines/>
        <w:spacing w:before="40" w:after="400" w:line="240" w:lineRule="auto"/>
      </w:pPr>
      <w:r>
        <w:rPr>
          <w:b w:val="0"/>
          <w:i w:val="0"/>
        </w:rPr>
        <w:t>Figure 37 — Accuracy against macro-F1, with the majority-class baseline marked.</w:t>
      </w:r>
    </w:p>
    <w:p>
      <w:pPr>
        <w:pStyle w:val="TableCaption"/>
      </w:pPr>
      <w:r>
        <w:rPr>
          <w:b w:val="0"/>
          <w:i w:val="0"/>
        </w:rPr>
        <w:t>Table 25 — Exact McNemar between the two approaches on the same test rows.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Target</w:t>
            </w:r>
          </w:p>
        </w:tc>
        <w:tc>
          <w:tcPr>
            <w:tcW w:type="dxa" w:w="2167"/>
            <w:shd w:val="clear" w:color="auto" w:fill="E8EEF6"/>
          </w:tcPr>
          <w:p>
            <w:pPr>
              <w:spacing w:after="40" w:line="240" w:lineRule="auto"/>
              <w:jc w:val="center"/>
            </w:pPr>
            <w:r/>
            <w:r>
              <w:rPr>
                <w:b/>
                <w:sz w:val="20"/>
              </w:rPr>
              <w:t>TF-IDF right, SBERT wrong</w:t>
            </w:r>
          </w:p>
        </w:tc>
        <w:tc>
          <w:tcPr>
            <w:tcW w:type="dxa" w:w="2167"/>
            <w:shd w:val="clear" w:color="auto" w:fill="E8EEF6"/>
          </w:tcPr>
          <w:p>
            <w:pPr>
              <w:spacing w:after="40" w:line="240" w:lineRule="auto"/>
              <w:jc w:val="center"/>
            </w:pPr>
            <w:r/>
            <w:r>
              <w:rPr>
                <w:b/>
                <w:sz w:val="20"/>
              </w:rPr>
              <w:t>SBERT right, TF-IDF wrong</w:t>
            </w:r>
          </w:p>
        </w:tc>
        <w:tc>
          <w:tcPr>
            <w:tcW w:type="dxa" w:w="2167"/>
            <w:shd w:val="clear" w:color="auto" w:fill="E8EEF6"/>
          </w:tcPr>
          <w:p>
            <w:pPr>
              <w:spacing w:after="40" w:line="240" w:lineRule="auto"/>
              <w:jc w:val="center"/>
            </w:pPr>
            <w:r/>
            <w:r>
              <w:rPr>
                <w:b/>
                <w:sz w:val="20"/>
              </w:rPr>
              <w:t>p</w:t>
            </w:r>
          </w:p>
        </w:tc>
      </w:tr>
      <w:tr>
        <w:tc>
          <w:tcPr>
            <w:tcW w:type="dxa" w:w="2167"/>
          </w:tcPr>
          <w:p>
            <w:pPr>
              <w:spacing w:after="40" w:line="240" w:lineRule="auto"/>
              <w:jc w:val="left"/>
            </w:pPr>
            <w:r/>
            <w:r>
              <w:rPr>
                <w:b w:val="0"/>
                <w:sz w:val="20"/>
              </w:rPr>
              <w:t>campaign_goal</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1.000</w:t>
            </w:r>
          </w:p>
        </w:tc>
      </w:tr>
      <w:tr>
        <w:tc>
          <w:tcPr>
            <w:tcW w:type="dxa" w:w="2167"/>
          </w:tcPr>
          <w:p>
            <w:pPr>
              <w:spacing w:after="40" w:line="240" w:lineRule="auto"/>
              <w:jc w:val="left"/>
            </w:pPr>
            <w:r/>
            <w:r>
              <w:rPr>
                <w:b w:val="0"/>
                <w:sz w:val="20"/>
              </w:rPr>
              <w:t>tone</w:t>
            </w:r>
          </w:p>
        </w:tc>
        <w:tc>
          <w:tcPr>
            <w:tcW w:type="dxa" w:w="2167"/>
          </w:tcPr>
          <w:p>
            <w:pPr>
              <w:spacing w:after="40" w:line="240" w:lineRule="auto"/>
              <w:jc w:val="center"/>
            </w:pPr>
            <w:r/>
            <w:r>
              <w:rPr>
                <w:b w:val="0"/>
                <w:sz w:val="20"/>
              </w:rPr>
              <w:t>5</w:t>
            </w:r>
          </w:p>
        </w:tc>
        <w:tc>
          <w:tcPr>
            <w:tcW w:type="dxa" w:w="2167"/>
          </w:tcPr>
          <w:p>
            <w:pPr>
              <w:spacing w:after="40" w:line="240" w:lineRule="auto"/>
              <w:jc w:val="center"/>
            </w:pPr>
            <w:r/>
            <w:r>
              <w:rPr>
                <w:b w:val="0"/>
                <w:sz w:val="20"/>
              </w:rPr>
              <w:t>3</w:t>
            </w:r>
          </w:p>
        </w:tc>
        <w:tc>
          <w:tcPr>
            <w:tcW w:type="dxa" w:w="2167"/>
          </w:tcPr>
          <w:p>
            <w:pPr>
              <w:spacing w:after="40" w:line="240" w:lineRule="auto"/>
              <w:jc w:val="center"/>
            </w:pPr>
            <w:r/>
            <w:r>
              <w:rPr>
                <w:b w:val="0"/>
                <w:sz w:val="20"/>
              </w:rPr>
              <w:t>0.727</w:t>
            </w:r>
          </w:p>
        </w:tc>
      </w:tr>
    </w:tbl>
    <w:p>
      <w:pPr>
        <w:spacing w:after="120"/>
      </w:pPr>
    </w:p>
    <w:p>
      <w:pPr>
        <w:pStyle w:val="NoteBox"/>
      </w:pPr>
      <w:r>
        <w:t>Neither comparison is significant. The two approaches are statistically indistinguishable on this corpus, so selecting TF-IDF is a decision about cost, speed and interpretability rather than about accuracy — which is a stronger and more defensible claim than asserting the simpler model is more accurate.</w:t>
      </w:r>
    </w:p>
    <w:p>
      <w:pPr>
        <w:pStyle w:val="Heading3"/>
      </w:pPr>
      <w:r>
        <w:t>7.3.7 Engagement — a leak, and a dataset with no signal</w:t>
      </w:r>
    </w:p>
    <w:p>
      <w:pPr>
        <w:pStyle w:val="TableCaption"/>
      </w:pPr>
      <w:r>
        <w:rPr>
          <w:b w:val="0"/>
          <w:i w:val="0"/>
        </w:rPr>
        <w:t>Table 26 — The engagement regressor with and without the outcome columns among its features.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Feature set</w:t>
            </w:r>
          </w:p>
        </w:tc>
        <w:tc>
          <w:tcPr>
            <w:tcW w:type="dxa" w:w="1734"/>
            <w:shd w:val="clear" w:color="auto" w:fill="E8EEF6"/>
          </w:tcPr>
          <w:p>
            <w:pPr>
              <w:spacing w:after="40" w:line="240" w:lineRule="auto"/>
              <w:jc w:val="center"/>
            </w:pPr>
            <w:r/>
            <w:r>
              <w:rPr>
                <w:b/>
                <w:sz w:val="20"/>
              </w:rPr>
              <w:t>Features</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w:t>
            </w:r>
          </w:p>
        </w:tc>
        <w:tc>
          <w:tcPr>
            <w:tcW w:type="dxa" w:w="1734"/>
            <w:shd w:val="clear" w:color="auto" w:fill="E8EEF6"/>
          </w:tcPr>
          <w:p>
            <w:pPr>
              <w:spacing w:after="40" w:line="240" w:lineRule="auto"/>
              <w:jc w:val="center"/>
            </w:pPr>
            <w:r/>
            <w:r>
              <w:rPr>
                <w:b/>
                <w:sz w:val="20"/>
              </w:rPr>
              <w:t>MAE</w:t>
            </w:r>
          </w:p>
        </w:tc>
      </w:tr>
      <w:tr>
        <w:tc>
          <w:tcPr>
            <w:tcW w:type="dxa" w:w="1734"/>
          </w:tcPr>
          <w:p>
            <w:pPr>
              <w:spacing w:after="40" w:line="240" w:lineRule="auto"/>
              <w:jc w:val="left"/>
            </w:pPr>
            <w:r/>
            <w:r>
              <w:rPr>
                <w:b w:val="0"/>
                <w:sz w:val="20"/>
              </w:rPr>
              <w:t>with outcome columns (original)</w:t>
            </w:r>
          </w:p>
        </w:tc>
        <w:tc>
          <w:tcPr>
            <w:tcW w:type="dxa" w:w="1734"/>
          </w:tcPr>
          <w:p>
            <w:pPr>
              <w:spacing w:after="40" w:line="240" w:lineRule="auto"/>
              <w:jc w:val="center"/>
            </w:pPr>
            <w:r/>
            <w:r>
              <w:rPr>
                <w:b w:val="0"/>
                <w:sz w:val="20"/>
              </w:rPr>
              <w:t>17</w:t>
            </w:r>
          </w:p>
        </w:tc>
        <w:tc>
          <w:tcPr>
            <w:tcW w:type="dxa" w:w="1734"/>
          </w:tcPr>
          <w:p>
            <w:pPr>
              <w:spacing w:after="40" w:line="240" w:lineRule="auto"/>
              <w:jc w:val="center"/>
            </w:pPr>
            <w:r/>
            <w:r>
              <w:rPr>
                <w:b w:val="0"/>
                <w:sz w:val="20"/>
              </w:rPr>
              <w:t>0.9901</w:t>
            </w:r>
          </w:p>
        </w:tc>
        <w:tc>
          <w:tcPr>
            <w:tcW w:type="dxa" w:w="1734"/>
          </w:tcPr>
          <w:p>
            <w:pPr>
              <w:spacing w:after="40" w:line="240" w:lineRule="auto"/>
              <w:jc w:val="center"/>
            </w:pPr>
            <w:r/>
            <w:r>
              <w:rPr>
                <w:b w:val="0"/>
                <w:sz w:val="20"/>
              </w:rPr>
              <w:t>0.9977</w:t>
            </w:r>
          </w:p>
        </w:tc>
        <w:tc>
          <w:tcPr>
            <w:tcW w:type="dxa" w:w="1734"/>
          </w:tcPr>
          <w:p>
            <w:pPr>
              <w:spacing w:after="40" w:line="240" w:lineRule="auto"/>
              <w:jc w:val="center"/>
            </w:pPr>
            <w:r/>
            <w:r>
              <w:rPr>
                <w:b w:val="0"/>
                <w:sz w:val="20"/>
              </w:rPr>
              <w:t>0.01847</w:t>
            </w:r>
          </w:p>
        </w:tc>
      </w:tr>
      <w:tr>
        <w:tc>
          <w:tcPr>
            <w:tcW w:type="dxa" w:w="1734"/>
          </w:tcPr>
          <w:p>
            <w:pPr>
              <w:spacing w:after="40" w:line="240" w:lineRule="auto"/>
              <w:jc w:val="left"/>
            </w:pPr>
            <w:r/>
            <w:r>
              <w:rPr>
                <w:b w:val="0"/>
                <w:sz w:val="20"/>
              </w:rPr>
              <w:t>text features only (corrected)</w:t>
            </w:r>
          </w:p>
        </w:tc>
        <w:tc>
          <w:tcPr>
            <w:tcW w:type="dxa" w:w="1734"/>
          </w:tcPr>
          <w:p>
            <w:pPr>
              <w:spacing w:after="40" w:line="240" w:lineRule="auto"/>
              <w:jc w:val="center"/>
            </w:pPr>
            <w:r/>
            <w:r>
              <w:rPr>
                <w:b w:val="0"/>
                <w:sz w:val="20"/>
              </w:rPr>
              <w:t>13</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w:t>
            </w:r>
          </w:p>
        </w:tc>
        <w:tc>
          <w:tcPr>
            <w:tcW w:type="dxa" w:w="1734"/>
          </w:tcPr>
          <w:p>
            <w:pPr>
              <w:spacing w:after="40" w:line="240" w:lineRule="auto"/>
              <w:jc w:val="center"/>
            </w:pPr>
            <w:r/>
            <w:r>
              <w:rPr>
                <w:b w:val="0"/>
                <w:sz w:val="20"/>
              </w:rPr>
              <w:t>0.39307</w:t>
            </w:r>
          </w:p>
        </w:tc>
      </w:tr>
      <w:tr>
        <w:tc>
          <w:tcPr>
            <w:tcW w:type="dxa" w:w="1734"/>
          </w:tcPr>
          <w:p>
            <w:pPr>
              <w:spacing w:after="40" w:line="240" w:lineRule="auto"/>
              <w:jc w:val="left"/>
            </w:pPr>
            <w:r/>
            <w:r>
              <w:rPr>
                <w:b w:val="0"/>
                <w:sz w:val="20"/>
              </w:rPr>
              <w:t>baseline (predict the mean)</w:t>
            </w:r>
          </w:p>
        </w:tc>
        <w:tc>
          <w:tcPr>
            <w:tcW w:type="dxa" w:w="1734"/>
          </w:tcPr>
          <w:p>
            <w:pPr>
              <w:spacing w:after="40" w:line="240" w:lineRule="auto"/>
              <w:jc w:val="center"/>
            </w:pPr>
            <w:r/>
            <w:r>
              <w:rPr>
                <w:b w:val="0"/>
                <w:sz w:val="20"/>
              </w:rPr>
              <w:t>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0.32783</w:t>
            </w:r>
          </w:p>
        </w:tc>
      </w:tr>
    </w:tbl>
    <w:p>
      <w:pPr>
        <w:spacing w:after="120"/>
      </w:pPr>
    </w:p>
    <w:p>
      <w:r>
        <w:t>With the outcome columns present the model reports R² = 0.9901. Removing them gives R² = -0.1676 [-0.4081, -0.0715] and a rank correlation of 0.0120 [-0.0276, 0.0539] — an interval spanning zero, so no ranking skill is demonstrated on held-out data.</w:t>
      </w:r>
    </w:p>
    <w:p>
      <w:r>
        <w:t>The failure was invisible in training and fatal in use. A caption that has not been posted has no like count, so at prediction time those columns were filled with zeros — far outside anything the model had seen — and the score driving 45% of every content ranking became noise. Its weight was reduced to 0.20 once the honest number was known.</w:t>
      </w:r>
    </w:p>
    <w:p>
      <w:r>
        <w:t>Testing each of the 8 text features against the target individually, 0 survive Holm–Bonferroni correction. This is a property of the dataset rather than a modelling failure: no model can extract a signal that is not there, and the correct response is to reduce the weight the score carries rather than to keep tuning.</w:t>
      </w:r>
    </w:p>
    <w:p>
      <w:pPr>
        <w:keepNext/>
        <w:keepLines/>
        <w:spacing w:before="360" w:after="120" w:line="240" w:lineRule="auto"/>
        <w:jc w:val="center"/>
      </w:pPr>
      <w:r>
        <w:drawing>
          <wp:inline xmlns:a="http://schemas.openxmlformats.org/drawingml/2006/main" xmlns:pic="http://schemas.openxmlformats.org/drawingml/2006/picture">
            <wp:extent cx="5486400" cy="2293849"/>
            <wp:docPr id="38" name="Picture 38"/>
            <wp:cNvGraphicFramePr>
              <a:graphicFrameLocks noChangeAspect="1"/>
            </wp:cNvGraphicFramePr>
            <a:graphic>
              <a:graphicData uri="http://schemas.openxmlformats.org/drawingml/2006/picture">
                <pic:pic>
                  <pic:nvPicPr>
                    <pic:cNvPr id="0" name="fig_e7_engagement.png"/>
                    <pic:cNvPicPr/>
                  </pic:nvPicPr>
                  <pic:blipFill>
                    <a:blip r:embed="rId48"/>
                    <a:stretch>
                      <a:fillRect/>
                    </a:stretch>
                  </pic:blipFill>
                  <pic:spPr>
                    <a:xfrm>
                      <a:off x="0" y="0"/>
                      <a:ext cx="5486400" cy="2293849"/>
                    </a:xfrm>
                    <a:prstGeom prst="rect"/>
                  </pic:spPr>
                </pic:pic>
              </a:graphicData>
            </a:graphic>
          </wp:inline>
        </w:drawing>
      </w:r>
    </w:p>
    <w:p>
      <w:pPr>
        <w:pStyle w:val="Caption"/>
        <w:keepLines/>
        <w:spacing w:before="40" w:after="400" w:line="240" w:lineRule="auto"/>
      </w:pPr>
      <w:r>
        <w:rPr>
          <w:b w:val="0"/>
          <w:i w:val="0"/>
        </w:rPr>
        <w:t>Figure 38 — The leak, and the absence of text signal.</w:t>
      </w:r>
    </w:p>
    <w:p>
      <w:pPr>
        <w:pStyle w:val="Heading3"/>
      </w:pPr>
      <w:r>
        <w:t>7.3.8 Who to target is not who will convert</w:t>
      </w:r>
    </w:p>
    <w:p>
      <w:r>
        <w:t xml:space="preserve">The recommender ranks customers by predicted conversion and gives the strongest action to the top of that ranking. That is the intuitive thing to do and it answers the wrong question. What matters is not who will convert but for whom the action </w:t>
      </w:r>
      <w:r>
        <w:rPr>
          <w:i/>
        </w:rPr>
        <w:t>changes</w:t>
      </w:r>
      <w:r>
        <w:t xml:space="preserve"> whether they convert — a customer certain to buy anyway gains nothing from a discount, and the discount is wasted on them.</w:t>
      </w:r>
    </w:p>
    <w:p>
      <w:r>
        <w:t xml:space="preserve">Answering that needs counterfactuals, and this project's own audience cannot supply any: every imported customer received one treatment, nobody recorded which, and no comparable customer received an alternative. No model can recover a causal effect from data where the cause never varied. The experiment therefore moves to the </w:t>
      </w:r>
      <w:r>
        <w:rPr>
          <w:b/>
        </w:rPr>
        <w:t>Hillstrom MineThatData</w:t>
      </w:r>
      <w:r>
        <w:t xml:space="preserve"> dataset — 64,000 customers randomly assigned to one of three arms (mens email, womens email, no email) with observed visits. Random assignment is what makes the counterfactual estimable.</w:t>
      </w:r>
    </w:p>
    <w:p>
      <w:pPr>
        <w:pStyle w:val="TableCaption"/>
      </w:pPr>
      <w:r>
        <w:rPr>
          <w:b w:val="0"/>
          <w:i w:val="0"/>
        </w:rPr>
        <w:t>Table 27 — Targeting policies scored on held-out customers. Qini is incremental responders above random targeting; the final column is what a 30% email budget buys.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Policy</w:t>
            </w:r>
          </w:p>
        </w:tc>
        <w:tc>
          <w:tcPr>
            <w:tcW w:type="dxa" w:w="2167"/>
            <w:shd w:val="clear" w:color="auto" w:fill="E8EEF6"/>
          </w:tcPr>
          <w:p>
            <w:pPr>
              <w:spacing w:after="40" w:line="240" w:lineRule="auto"/>
              <w:jc w:val="center"/>
            </w:pPr>
            <w:r/>
            <w:r>
              <w:rPr>
                <w:b/>
                <w:sz w:val="20"/>
              </w:rPr>
              <w:t>Qini</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Extra visits per 1,000 targeted</w:t>
            </w:r>
          </w:p>
        </w:tc>
      </w:tr>
      <w:tr>
        <w:tc>
          <w:tcPr>
            <w:tcW w:type="dxa" w:w="2167"/>
          </w:tcPr>
          <w:p>
            <w:pPr>
              <w:spacing w:after="40" w:line="240" w:lineRule="auto"/>
              <w:jc w:val="left"/>
            </w:pPr>
            <w:r/>
            <w:r>
              <w:rPr>
                <w:b w:val="0"/>
                <w:sz w:val="20"/>
              </w:rPr>
              <w:t>uplift (S-learner)</w:t>
            </w:r>
          </w:p>
        </w:tc>
        <w:tc>
          <w:tcPr>
            <w:tcW w:type="dxa" w:w="2167"/>
          </w:tcPr>
          <w:p>
            <w:pPr>
              <w:spacing w:after="40" w:line="240" w:lineRule="auto"/>
              <w:jc w:val="center"/>
            </w:pPr>
            <w:r/>
            <w:r>
              <w:rPr>
                <w:b w:val="0"/>
                <w:sz w:val="20"/>
              </w:rPr>
              <w:t>93.62</w:t>
            </w:r>
          </w:p>
        </w:tc>
        <w:tc>
          <w:tcPr>
            <w:tcW w:type="dxa" w:w="2167"/>
          </w:tcPr>
          <w:p>
            <w:pPr>
              <w:spacing w:after="40" w:line="240" w:lineRule="auto"/>
              <w:jc w:val="center"/>
            </w:pPr>
            <w:r/>
            <w:r>
              <w:rPr>
                <w:b w:val="0"/>
                <w:sz w:val="20"/>
              </w:rPr>
              <w:t>[56.11, 129.76]</w:t>
            </w:r>
          </w:p>
        </w:tc>
        <w:tc>
          <w:tcPr>
            <w:tcW w:type="dxa" w:w="2167"/>
          </w:tcPr>
          <w:p>
            <w:pPr>
              <w:spacing w:after="40" w:line="240" w:lineRule="auto"/>
              <w:jc w:val="center"/>
            </w:pPr>
            <w:r/>
            <w:r>
              <w:rPr>
                <w:b w:val="0"/>
                <w:sz w:val="20"/>
              </w:rPr>
              <w:t>103.45</w:t>
            </w:r>
          </w:p>
        </w:tc>
      </w:tr>
      <w:tr>
        <w:tc>
          <w:tcPr>
            <w:tcW w:type="dxa" w:w="2167"/>
          </w:tcPr>
          <w:p>
            <w:pPr>
              <w:spacing w:after="40" w:line="240" w:lineRule="auto"/>
              <w:jc w:val="left"/>
            </w:pPr>
            <w:r/>
            <w:r>
              <w:rPr>
                <w:b w:val="0"/>
                <w:sz w:val="20"/>
              </w:rPr>
              <w:t>predicted response (current policy)</w:t>
            </w:r>
          </w:p>
        </w:tc>
        <w:tc>
          <w:tcPr>
            <w:tcW w:type="dxa" w:w="2167"/>
          </w:tcPr>
          <w:p>
            <w:pPr>
              <w:spacing w:after="40" w:line="240" w:lineRule="auto"/>
              <w:jc w:val="center"/>
            </w:pPr>
            <w:r/>
            <w:r>
              <w:rPr>
                <w:b w:val="0"/>
                <w:sz w:val="20"/>
              </w:rPr>
              <w:t>75.91</w:t>
            </w:r>
          </w:p>
        </w:tc>
        <w:tc>
          <w:tcPr>
            <w:tcW w:type="dxa" w:w="2167"/>
          </w:tcPr>
          <w:p>
            <w:pPr>
              <w:spacing w:after="40" w:line="240" w:lineRule="auto"/>
              <w:jc w:val="center"/>
            </w:pPr>
            <w:r/>
            <w:r>
              <w:rPr>
                <w:b w:val="0"/>
                <w:sz w:val="20"/>
              </w:rPr>
              <w:t>[38.8, 109.98]</w:t>
            </w:r>
          </w:p>
        </w:tc>
        <w:tc>
          <w:tcPr>
            <w:tcW w:type="dxa" w:w="2167"/>
          </w:tcPr>
          <w:p>
            <w:pPr>
              <w:spacing w:after="40" w:line="240" w:lineRule="auto"/>
              <w:jc w:val="center"/>
            </w:pPr>
            <w:r/>
            <w:r>
              <w:rPr>
                <w:b w:val="0"/>
                <w:sz w:val="20"/>
              </w:rPr>
              <w:t>91.26</w:t>
            </w:r>
          </w:p>
        </w:tc>
      </w:tr>
      <w:tr>
        <w:tc>
          <w:tcPr>
            <w:tcW w:type="dxa" w:w="2167"/>
          </w:tcPr>
          <w:p>
            <w:pPr>
              <w:spacing w:after="40" w:line="240" w:lineRule="auto"/>
              <w:jc w:val="left"/>
            </w:pPr>
            <w:r/>
            <w:r>
              <w:rPr>
                <w:b w:val="0"/>
                <w:sz w:val="20"/>
              </w:rPr>
              <w:t>uplift (T-learner)</w:t>
            </w:r>
          </w:p>
        </w:tc>
        <w:tc>
          <w:tcPr>
            <w:tcW w:type="dxa" w:w="2167"/>
          </w:tcPr>
          <w:p>
            <w:pPr>
              <w:spacing w:after="40" w:line="240" w:lineRule="auto"/>
              <w:jc w:val="center"/>
            </w:pPr>
            <w:r/>
            <w:r>
              <w:rPr>
                <w:b w:val="0"/>
                <w:sz w:val="20"/>
              </w:rPr>
              <w:t>70.36</w:t>
            </w:r>
          </w:p>
        </w:tc>
        <w:tc>
          <w:tcPr>
            <w:tcW w:type="dxa" w:w="2167"/>
          </w:tcPr>
          <w:p>
            <w:pPr>
              <w:spacing w:after="40" w:line="240" w:lineRule="auto"/>
              <w:jc w:val="center"/>
            </w:pPr>
            <w:r/>
            <w:r>
              <w:rPr>
                <w:b w:val="0"/>
                <w:sz w:val="20"/>
              </w:rPr>
              <w:t>[30.19, 112.29]</w:t>
            </w:r>
          </w:p>
        </w:tc>
        <w:tc>
          <w:tcPr>
            <w:tcW w:type="dxa" w:w="2167"/>
          </w:tcPr>
          <w:p>
            <w:pPr>
              <w:spacing w:after="40" w:line="240" w:lineRule="auto"/>
              <w:jc w:val="center"/>
            </w:pPr>
            <w:r/>
            <w:r>
              <w:rPr>
                <w:b w:val="0"/>
                <w:sz w:val="20"/>
              </w:rPr>
              <w:t>92.0</w:t>
            </w:r>
          </w:p>
        </w:tc>
      </w:tr>
      <w:tr>
        <w:tc>
          <w:tcPr>
            <w:tcW w:type="dxa" w:w="2167"/>
          </w:tcPr>
          <w:p>
            <w:pPr>
              <w:spacing w:after="40" w:line="240" w:lineRule="auto"/>
              <w:jc w:val="left"/>
            </w:pPr>
            <w:r/>
            <w:r>
              <w:rPr>
                <w:b w:val="0"/>
                <w:sz w:val="20"/>
              </w:rPr>
              <w:t>random targeting</w:t>
            </w:r>
          </w:p>
        </w:tc>
        <w:tc>
          <w:tcPr>
            <w:tcW w:type="dxa" w:w="2167"/>
          </w:tcPr>
          <w:p>
            <w:pPr>
              <w:spacing w:after="40" w:line="240" w:lineRule="auto"/>
              <w:jc w:val="center"/>
            </w:pPr>
            <w:r/>
            <w:r>
              <w:rPr>
                <w:b w:val="0"/>
                <w:sz w:val="20"/>
              </w:rPr>
              <w:t>-9.75</w:t>
            </w:r>
          </w:p>
        </w:tc>
        <w:tc>
          <w:tcPr>
            <w:tcW w:type="dxa" w:w="2167"/>
          </w:tcPr>
          <w:p>
            <w:pPr>
              <w:spacing w:after="40" w:line="240" w:lineRule="auto"/>
              <w:jc w:val="center"/>
            </w:pPr>
            <w:r/>
            <w:r>
              <w:rPr>
                <w:b w:val="0"/>
                <w:sz w:val="20"/>
              </w:rPr>
              <w:t>[-48.65, 26.95]</w:t>
            </w:r>
          </w:p>
        </w:tc>
        <w:tc>
          <w:tcPr>
            <w:tcW w:type="dxa" w:w="2167"/>
          </w:tcPr>
          <w:p>
            <w:pPr>
              <w:spacing w:after="40" w:line="240" w:lineRule="auto"/>
              <w:jc w:val="center"/>
            </w:pPr>
            <w:r/>
            <w:r>
              <w:rPr>
                <w:b w:val="0"/>
                <w:sz w:val="20"/>
              </w:rPr>
              <w:t>57.76</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360919"/>
            <wp:docPr id="39" name="Picture 39"/>
            <wp:cNvGraphicFramePr>
              <a:graphicFrameLocks noChangeAspect="1"/>
            </wp:cNvGraphicFramePr>
            <a:graphic>
              <a:graphicData uri="http://schemas.openxmlformats.org/drawingml/2006/picture">
                <pic:pic>
                  <pic:nvPicPr>
                    <pic:cNvPr id="0" name="fig_e8_uplift.png"/>
                    <pic:cNvPicPr/>
                  </pic:nvPicPr>
                  <pic:blipFill>
                    <a:blip r:embed="rId49"/>
                    <a:stretch>
                      <a:fillRect/>
                    </a:stretch>
                  </pic:blipFill>
                  <pic:spPr>
                    <a:xfrm>
                      <a:off x="0" y="0"/>
                      <a:ext cx="5486400" cy="2360919"/>
                    </a:xfrm>
                    <a:prstGeom prst="rect"/>
                  </pic:spPr>
                </pic:pic>
              </a:graphicData>
            </a:graphic>
          </wp:inline>
        </w:drawing>
      </w:r>
    </w:p>
    <w:p>
      <w:pPr>
        <w:pStyle w:val="Caption"/>
        <w:keepLines/>
        <w:spacing w:before="40" w:after="400" w:line="240" w:lineRule="auto"/>
      </w:pPr>
      <w:r>
        <w:rPr>
          <w:b w:val="0"/>
          <w:i w:val="0"/>
        </w:rPr>
        <w:t>Figure 39 — Qini curves and what each policy buys at a fixed budget.</w:t>
      </w:r>
    </w:p>
    <w:p>
      <w:r>
        <w:t>Ranking by uplift and ranking by predicted response select substantially different people: the two scores correlate at Spearman 0.40, and at a 30% budget the two policies share only 56% of their chosen customers — so about 44% of the list would be emailed by one and not the other.</w:t>
      </w:r>
    </w:p>
    <w:p>
      <w:pPr>
        <w:pStyle w:val="NoteBox"/>
      </w:pPr>
      <w:r>
        <w:rPr>
          <w:b/>
        </w:rPr>
        <w:t>What this does and does not establish.</w:t>
      </w:r>
      <w:r>
        <w:t xml:space="preserve"> The best uplift learner buys more incremental visits than the current policy, but their Qini intervals overlap, so the ordering of the two is not established on this split. The two uplift learners also disagree with each other, one of them falling below the current policy — so “use uplift modelling” is not a conclusion on its own. What the data does support is the weaker and more useful claim: these are different policies that target different people, and the difference is large enough to matter.</w:t>
      </w:r>
    </w:p>
    <w:p>
      <w:pPr>
        <w:pStyle w:val="TableCaption"/>
      </w:pPr>
      <w:r>
        <w:rPr>
          <w:b w:val="0"/>
          <w:i w:val="0"/>
        </w:rPr>
        <w:t>Table 28 — The three-arm version: which action each customer should receive, rather than whether to act.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Assigned action</w:t>
            </w:r>
          </w:p>
        </w:tc>
        <w:tc>
          <w:tcPr>
            <w:tcW w:type="dxa" w:w="2167"/>
            <w:shd w:val="clear" w:color="auto" w:fill="E8EEF6"/>
          </w:tcPr>
          <w:p>
            <w:pPr>
              <w:spacing w:after="40" w:line="240" w:lineRule="auto"/>
              <w:jc w:val="center"/>
            </w:pPr>
            <w:r/>
            <w:r>
              <w:rPr>
                <w:b/>
                <w:sz w:val="20"/>
              </w:rPr>
              <w:t>Customers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Observed uplift per 1,000</w:t>
            </w:r>
          </w:p>
        </w:tc>
      </w:tr>
      <w:tr>
        <w:tc>
          <w:tcPr>
            <w:tcW w:type="dxa" w:w="2167"/>
          </w:tcPr>
          <w:p>
            <w:pPr>
              <w:spacing w:after="40" w:line="240" w:lineRule="auto"/>
              <w:jc w:val="left"/>
            </w:pPr>
            <w:r/>
            <w:r>
              <w:rPr>
                <w:b w:val="0"/>
                <w:sz w:val="20"/>
              </w:rPr>
              <w:t>Mens E-Mail</w:t>
            </w:r>
          </w:p>
        </w:tc>
        <w:tc>
          <w:tcPr>
            <w:tcW w:type="dxa" w:w="2167"/>
          </w:tcPr>
          <w:p>
            <w:pPr>
              <w:spacing w:after="40" w:line="240" w:lineRule="auto"/>
              <w:jc w:val="center"/>
            </w:pPr>
            <w:r/>
            <w:r>
              <w:rPr>
                <w:b w:val="0"/>
                <w:sz w:val="20"/>
              </w:rPr>
              <w:t>13601</w:t>
            </w:r>
          </w:p>
        </w:tc>
        <w:tc>
          <w:tcPr>
            <w:tcW w:type="dxa" w:w="2167"/>
          </w:tcPr>
          <w:p>
            <w:pPr>
              <w:spacing w:after="40" w:line="240" w:lineRule="auto"/>
              <w:jc w:val="center"/>
            </w:pPr>
            <w:r/>
            <w:r>
              <w:rPr>
                <w:b w:val="0"/>
                <w:sz w:val="20"/>
              </w:rPr>
              <w:t>70.8%</w:t>
            </w:r>
          </w:p>
        </w:tc>
        <w:tc>
          <w:tcPr>
            <w:tcW w:type="dxa" w:w="2167"/>
          </w:tcPr>
          <w:p>
            <w:pPr>
              <w:spacing w:after="40" w:line="240" w:lineRule="auto"/>
              <w:jc w:val="center"/>
            </w:pPr>
            <w:r/>
            <w:r>
              <w:rPr>
                <w:b w:val="0"/>
                <w:sz w:val="20"/>
              </w:rPr>
              <w:t>71.27</w:t>
            </w:r>
          </w:p>
        </w:tc>
      </w:tr>
      <w:tr>
        <w:tc>
          <w:tcPr>
            <w:tcW w:type="dxa" w:w="2167"/>
          </w:tcPr>
          <w:p>
            <w:pPr>
              <w:spacing w:after="40" w:line="240" w:lineRule="auto"/>
              <w:jc w:val="left"/>
            </w:pPr>
            <w:r/>
            <w:r>
              <w:rPr>
                <w:b w:val="0"/>
                <w:sz w:val="20"/>
              </w:rPr>
              <w:t>Womens E-Mail</w:t>
            </w:r>
          </w:p>
        </w:tc>
        <w:tc>
          <w:tcPr>
            <w:tcW w:type="dxa" w:w="2167"/>
          </w:tcPr>
          <w:p>
            <w:pPr>
              <w:spacing w:after="40" w:line="240" w:lineRule="auto"/>
              <w:jc w:val="center"/>
            </w:pPr>
            <w:r/>
            <w:r>
              <w:rPr>
                <w:b w:val="0"/>
                <w:sz w:val="20"/>
              </w:rPr>
              <w:t>5054</w:t>
            </w:r>
          </w:p>
        </w:tc>
        <w:tc>
          <w:tcPr>
            <w:tcW w:type="dxa" w:w="2167"/>
          </w:tcPr>
          <w:p>
            <w:pPr>
              <w:spacing w:after="40" w:line="240" w:lineRule="auto"/>
              <w:jc w:val="center"/>
            </w:pPr>
            <w:r/>
            <w:r>
              <w:rPr>
                <w:b w:val="0"/>
                <w:sz w:val="20"/>
              </w:rPr>
              <w:t>26.3%</w:t>
            </w:r>
          </w:p>
        </w:tc>
        <w:tc>
          <w:tcPr>
            <w:tcW w:type="dxa" w:w="2167"/>
          </w:tcPr>
          <w:p>
            <w:pPr>
              <w:spacing w:after="40" w:line="240" w:lineRule="auto"/>
              <w:jc w:val="center"/>
            </w:pPr>
            <w:r/>
            <w:r>
              <w:rPr>
                <w:b w:val="0"/>
                <w:sz w:val="20"/>
              </w:rPr>
              <w:t>87.47</w:t>
            </w:r>
          </w:p>
        </w:tc>
      </w:tr>
      <w:tr>
        <w:tc>
          <w:tcPr>
            <w:tcW w:type="dxa" w:w="2167"/>
          </w:tcPr>
          <w:p>
            <w:pPr>
              <w:spacing w:after="40" w:line="240" w:lineRule="auto"/>
              <w:jc w:val="left"/>
            </w:pPr>
            <w:r/>
            <w:r>
              <w:rPr>
                <w:b w:val="0"/>
                <w:sz w:val="20"/>
              </w:rPr>
              <w:t>No E-Mail</w:t>
            </w:r>
          </w:p>
        </w:tc>
        <w:tc>
          <w:tcPr>
            <w:tcW w:type="dxa" w:w="2167"/>
          </w:tcPr>
          <w:p>
            <w:pPr>
              <w:spacing w:after="40" w:line="240" w:lineRule="auto"/>
              <w:jc w:val="center"/>
            </w:pPr>
            <w:r/>
            <w:r>
              <w:rPr>
                <w:b w:val="0"/>
                <w:sz w:val="20"/>
              </w:rPr>
              <w:t>545</w:t>
            </w:r>
          </w:p>
        </w:tc>
        <w:tc>
          <w:tcPr>
            <w:tcW w:type="dxa" w:w="2167"/>
          </w:tcPr>
          <w:p>
            <w:pPr>
              <w:spacing w:after="40" w:line="240" w:lineRule="auto"/>
              <w:jc w:val="center"/>
            </w:pPr>
            <w:r/>
            <w:r>
              <w:rPr>
                <w:b w:val="0"/>
                <w:sz w:val="20"/>
              </w:rPr>
              <w:t>2.8%</w:t>
            </w:r>
          </w:p>
        </w:tc>
        <w:tc>
          <w:tcPr>
            <w:tcW w:type="dxa" w:w="2167"/>
          </w:tcPr>
          <w:p>
            <w:pPr>
              <w:spacing w:after="40" w:line="240" w:lineRule="auto"/>
              <w:jc w:val="center"/>
            </w:pPr>
            <w:r/>
            <w:r>
              <w:rPr>
                <w:b w:val="0"/>
                <w:sz w:val="20"/>
              </w:rPr>
              <w:t>0.0</w:t>
            </w:r>
          </w:p>
        </w:tc>
      </w:tr>
    </w:tbl>
    <w:p>
      <w:pPr>
        <w:spacing w:after="120"/>
      </w:pPr>
    </w:p>
    <w:p>
      <w:r>
        <w:t xml:space="preserve">This is the next-best-action problem proper: not send or do not send, but which of several actions. Note that the policy assigns a share of customers to </w:t>
      </w:r>
      <w:r>
        <w:rPr>
          <w:i/>
        </w:rPr>
        <w:t>no email at all</w:t>
      </w:r>
      <w:r>
        <w:t xml:space="preserve"> — an output the current rule cannot produce, because every customer is given some action regardless of whether acting helps.</w:t>
      </w:r>
    </w:p>
    <w:p>
      <w:r>
        <w:t>Hillstrom's actions are mens and womens email, not this project's premium, personalised, reactivation and reminder. The experiment demonstrates the method on real randomised data and shows that the current policy is answering a different question from the one it should. It does not produce a policy deployable to the imported audience, and nothing in this report should be read as claiming it does.</w:t>
      </w:r>
    </w:p>
    <w:p>
      <w:pPr>
        <w:pStyle w:val="Heading3"/>
      </w:pPr>
      <w:r>
        <w:t>7.3.9 Making the recommendation learnable</w:t>
      </w:r>
    </w:p>
    <w:p>
      <w:r>
        <w:t xml:space="preserve">E8 showed the recommender was answering the wrong question, and that no borrowed dataset can answer the right one for this project's actions. The response was to change what the system records. `analytics_output` is overwritten on every run and therefore holds only the current opinion; a new append-only `action_log` records the decision that was actually taken, </w:t>
      </w:r>
      <w:r>
        <w:rPr>
          <w:b/>
        </w:rPr>
        <w:t>the probability it was taken under</w:t>
      </w:r>
      <w:r>
        <w:t>, the features it was taken on, and what followed.</w:t>
      </w:r>
    </w:p>
    <w:p>
      <w:r>
        <w:t xml:space="preserve">The propensity is the column that matters. Without it, logged data can only report what the running policy achieved. With it, an inverse-propensity estimator can answer what a </w:t>
      </w:r>
      <w:r>
        <w:rPr>
          <w:i/>
        </w:rPr>
        <w:t>different</w:t>
      </w:r>
      <w:r>
        <w:t xml:space="preserve"> policy would have achieved on the same customers — a counterfactual recovered from observational logs. And because a deterministic policy assigns probability zero to every action it does not take, a small share of decisions are made at random on purpose.</w:t>
      </w:r>
    </w:p>
    <w:p>
      <w:r>
        <w:t>That machinery is only worth having if it works, so this experiment checks it in the one setting where “works” is precisely defined: a simulated world with a known reward function, where the true value of any policy is computable and the estimate can be scored against it.</w:t>
      </w:r>
    </w:p>
    <w:p>
      <w:pPr>
        <w:pStyle w:val="TableCaption"/>
      </w:pPr>
      <w:r>
        <w:rPr>
          <w:b w:val="0"/>
          <w:i w:val="0"/>
        </w:rPr>
        <w:t>Table 29 — Estimator error against the true policy value, as the log grows. 40 replications per row.</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Estimator</w:t>
            </w:r>
          </w:p>
        </w:tc>
        <w:tc>
          <w:tcPr>
            <w:tcW w:type="dxa" w:w="1445"/>
            <w:shd w:val="clear" w:color="auto" w:fill="E8EEF6"/>
          </w:tcPr>
          <w:p>
            <w:pPr>
              <w:spacing w:after="40" w:line="240" w:lineRule="auto"/>
              <w:jc w:val="center"/>
            </w:pPr>
            <w:r/>
            <w:r>
              <w:rPr>
                <w:b/>
                <w:sz w:val="20"/>
              </w:rPr>
              <w:t>Logged decisions</w:t>
            </w:r>
          </w:p>
        </w:tc>
        <w:tc>
          <w:tcPr>
            <w:tcW w:type="dxa" w:w="1445"/>
            <w:shd w:val="clear" w:color="auto" w:fill="E8EEF6"/>
          </w:tcPr>
          <w:p>
            <w:pPr>
              <w:spacing w:after="40" w:line="240" w:lineRule="auto"/>
              <w:jc w:val="center"/>
            </w:pPr>
            <w:r/>
            <w:r>
              <w:rPr>
                <w:b/>
                <w:sz w:val="20"/>
              </w:rPr>
              <w:t>Bias</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RMSE</w:t>
            </w:r>
          </w:p>
        </w:tc>
        <w:tc>
          <w:tcPr>
            <w:tcW w:type="dxa" w:w="1445"/>
            <w:shd w:val="clear" w:color="auto" w:fill="E8EEF6"/>
          </w:tcPr>
          <w:p>
            <w:pPr>
              <w:spacing w:after="40" w:line="240" w:lineRule="auto"/>
              <w:jc w:val="center"/>
            </w:pPr>
            <w:r/>
            <w:r>
              <w:rPr>
                <w:b/>
                <w:sz w:val="20"/>
              </w:rPr>
              <w:t>Unbiased</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-0.0297</w:t>
            </w:r>
          </w:p>
        </w:tc>
        <w:tc>
          <w:tcPr>
            <w:tcW w:type="dxa" w:w="1445"/>
          </w:tcPr>
          <w:p>
            <w:pPr>
              <w:spacing w:after="40" w:line="240" w:lineRule="auto"/>
              <w:jc w:val="center"/>
            </w:pPr>
            <w:r/>
            <w:r>
              <w:rPr>
                <w:b w:val="0"/>
                <w:sz w:val="20"/>
              </w:rPr>
              <w:t>[-0.0528, -0.0031]</w:t>
            </w:r>
          </w:p>
        </w:tc>
        <w:tc>
          <w:tcPr>
            <w:tcW w:type="dxa" w:w="1445"/>
          </w:tcPr>
          <w:p>
            <w:pPr>
              <w:spacing w:after="40" w:line="240" w:lineRule="auto"/>
              <w:jc w:val="center"/>
            </w:pPr>
            <w:r/>
            <w:r>
              <w:rPr>
                <w:b w:val="0"/>
                <w:sz w:val="20"/>
              </w:rPr>
              <w:t>0.0853</w:t>
            </w:r>
          </w:p>
        </w:tc>
        <w:tc>
          <w:tcPr>
            <w:tcW w:type="dxa" w:w="1445"/>
          </w:tcPr>
          <w:p>
            <w:pPr>
              <w:spacing w:after="40" w:line="240" w:lineRule="auto"/>
              <w:jc w:val="center"/>
            </w:pPr>
            <w:r/>
            <w:r>
              <w:rPr>
                <w:b w:val="0"/>
                <w:sz w:val="20"/>
              </w:rPr>
              <w:t>no</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-0.016</w:t>
            </w:r>
          </w:p>
        </w:tc>
        <w:tc>
          <w:tcPr>
            <w:tcW w:type="dxa" w:w="1445"/>
          </w:tcPr>
          <w:p>
            <w:pPr>
              <w:spacing w:after="40" w:line="240" w:lineRule="auto"/>
              <w:jc w:val="center"/>
            </w:pPr>
            <w:r/>
            <w:r>
              <w:rPr>
                <w:b w:val="0"/>
                <w:sz w:val="20"/>
              </w:rPr>
              <w:t>[-0.0399, 0.0089]</w:t>
            </w:r>
          </w:p>
        </w:tc>
        <w:tc>
          <w:tcPr>
            <w:tcW w:type="dxa" w:w="1445"/>
          </w:tcPr>
          <w:p>
            <w:pPr>
              <w:spacing w:after="40" w:line="240" w:lineRule="auto"/>
              <w:jc w:val="center"/>
            </w:pPr>
            <w:r/>
            <w:r>
              <w:rPr>
                <w:b w:val="0"/>
                <w:sz w:val="20"/>
              </w:rPr>
              <w:t>0.0783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-0.0159</w:t>
            </w:r>
          </w:p>
        </w:tc>
        <w:tc>
          <w:tcPr>
            <w:tcW w:type="dxa" w:w="1445"/>
          </w:tcPr>
          <w:p>
            <w:pPr>
              <w:spacing w:after="40" w:line="240" w:lineRule="auto"/>
              <w:jc w:val="center"/>
            </w:pPr>
            <w:r/>
            <w:r>
              <w:rPr>
                <w:b w:val="0"/>
                <w:sz w:val="20"/>
              </w:rPr>
              <w:t>[-0.0401, 0.0094]</w:t>
            </w:r>
          </w:p>
        </w:tc>
        <w:tc>
          <w:tcPr>
            <w:tcW w:type="dxa" w:w="1445"/>
          </w:tcPr>
          <w:p>
            <w:pPr>
              <w:spacing w:after="40" w:line="240" w:lineRule="auto"/>
              <w:jc w:val="center"/>
            </w:pPr>
            <w:r/>
            <w:r>
              <w:rPr>
                <w:b w:val="0"/>
                <w:sz w:val="20"/>
              </w:rPr>
              <w:t>0.0788</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-0.007</w:t>
            </w:r>
          </w:p>
        </w:tc>
        <w:tc>
          <w:tcPr>
            <w:tcW w:type="dxa" w:w="1445"/>
          </w:tcPr>
          <w:p>
            <w:pPr>
              <w:spacing w:after="40" w:line="240" w:lineRule="auto"/>
              <w:jc w:val="center"/>
            </w:pPr>
            <w:r/>
            <w:r>
              <w:rPr>
                <w:b w:val="0"/>
                <w:sz w:val="20"/>
              </w:rPr>
              <w:t>[-0.0207, 0.0072]</w:t>
            </w:r>
          </w:p>
        </w:tc>
        <w:tc>
          <w:tcPr>
            <w:tcW w:type="dxa" w:w="1445"/>
          </w:tcPr>
          <w:p>
            <w:pPr>
              <w:spacing w:after="40" w:line="240" w:lineRule="auto"/>
              <w:jc w:val="center"/>
            </w:pPr>
            <w:r/>
            <w:r>
              <w:rPr>
                <w:b w:val="0"/>
                <w:sz w:val="20"/>
              </w:rPr>
              <w:t>0.0457</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[-0.0149, 0.0092]</w:t>
            </w:r>
          </w:p>
        </w:tc>
        <w:tc>
          <w:tcPr>
            <w:tcW w:type="dxa" w:w="1445"/>
          </w:tcPr>
          <w:p>
            <w:pPr>
              <w:spacing w:after="40" w:line="240" w:lineRule="auto"/>
              <w:jc w:val="center"/>
            </w:pPr>
            <w:r/>
            <w:r>
              <w:rPr>
                <w:b w:val="0"/>
                <w:sz w:val="20"/>
              </w:rPr>
              <w:t>0.0389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-0.0037</w:t>
            </w:r>
          </w:p>
        </w:tc>
        <w:tc>
          <w:tcPr>
            <w:tcW w:type="dxa" w:w="1445"/>
          </w:tcPr>
          <w:p>
            <w:pPr>
              <w:spacing w:after="40" w:line="240" w:lineRule="auto"/>
              <w:jc w:val="center"/>
            </w:pPr>
            <w:r/>
            <w:r>
              <w:rPr>
                <w:b w:val="0"/>
                <w:sz w:val="20"/>
              </w:rPr>
              <w:t>[-0.0157, 0.0088]</w:t>
            </w:r>
          </w:p>
        </w:tc>
        <w:tc>
          <w:tcPr>
            <w:tcW w:type="dxa" w:w="1445"/>
          </w:tcPr>
          <w:p>
            <w:pPr>
              <w:spacing w:after="40" w:line="240" w:lineRule="auto"/>
              <w:jc w:val="center"/>
            </w:pPr>
            <w:r/>
            <w:r>
              <w:rPr>
                <w:b w:val="0"/>
                <w:sz w:val="20"/>
              </w:rPr>
              <w:t>0.0399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-0.0006</w:t>
            </w:r>
          </w:p>
        </w:tc>
        <w:tc>
          <w:tcPr>
            <w:tcW w:type="dxa" w:w="1445"/>
          </w:tcPr>
          <w:p>
            <w:pPr>
              <w:spacing w:after="40" w:line="240" w:lineRule="auto"/>
              <w:jc w:val="center"/>
            </w:pPr>
            <w:r/>
            <w:r>
              <w:rPr>
                <w:b w:val="0"/>
                <w:sz w:val="20"/>
              </w:rPr>
              <w:t>[-0.0071, 0.0057]</w:t>
            </w:r>
          </w:p>
        </w:tc>
        <w:tc>
          <w:tcPr>
            <w:tcW w:type="dxa" w:w="1445"/>
          </w:tcPr>
          <w:p>
            <w:pPr>
              <w:spacing w:after="40" w:line="240" w:lineRule="auto"/>
              <w:jc w:val="center"/>
            </w:pPr>
            <w:r/>
            <w:r>
              <w:rPr>
                <w:b w:val="0"/>
                <w:sz w:val="20"/>
              </w:rPr>
              <w:t>0.0213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[-0.008, 0.0019]</w:t>
            </w:r>
          </w:p>
        </w:tc>
        <w:tc>
          <w:tcPr>
            <w:tcW w:type="dxa" w:w="1445"/>
          </w:tcPr>
          <w:p>
            <w:pPr>
              <w:spacing w:after="40" w:line="240" w:lineRule="auto"/>
              <w:jc w:val="center"/>
            </w:pPr>
            <w:r/>
            <w:r>
              <w:rPr>
                <w:b w:val="0"/>
                <w:sz w:val="20"/>
              </w:rPr>
              <w:t>0.0166</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-0.0031</w:t>
            </w:r>
          </w:p>
        </w:tc>
        <w:tc>
          <w:tcPr>
            <w:tcW w:type="dxa" w:w="1445"/>
          </w:tcPr>
          <w:p>
            <w:pPr>
              <w:spacing w:after="40" w:line="240" w:lineRule="auto"/>
              <w:jc w:val="center"/>
            </w:pPr>
            <w:r/>
            <w:r>
              <w:rPr>
                <w:b w:val="0"/>
                <w:sz w:val="20"/>
              </w:rPr>
              <w:t>[-0.0084, 0.0018]</w:t>
            </w:r>
          </w:p>
        </w:tc>
        <w:tc>
          <w:tcPr>
            <w:tcW w:type="dxa" w:w="1445"/>
          </w:tcPr>
          <w:p>
            <w:pPr>
              <w:spacing w:after="40" w:line="240" w:lineRule="auto"/>
              <w:jc w:val="center"/>
            </w:pPr>
            <w:r/>
            <w:r>
              <w:rPr>
                <w:b w:val="0"/>
                <w:sz w:val="20"/>
              </w:rPr>
              <w:t>0.017</w:t>
            </w:r>
          </w:p>
        </w:tc>
        <w:tc>
          <w:tcPr>
            <w:tcW w:type="dxa" w:w="1445"/>
          </w:tcPr>
          <w:p>
            <w:pPr>
              <w:spacing w:after="40" w:line="240" w:lineRule="auto"/>
              <w:jc w:val="center"/>
            </w:pPr>
            <w:r/>
            <w:r>
              <w:rPr>
                <w:b w:val="0"/>
                <w:sz w:val="20"/>
              </w:rPr>
              <w:t>yes</w:t>
            </w:r>
          </w:p>
        </w:tc>
      </w:tr>
    </w:tbl>
    <w:p>
      <w:pPr>
        <w:spacing w:after="120"/>
      </w:pPr>
    </w:p>
    <w:p>
      <w:pPr>
        <w:pStyle w:val="TableCaption"/>
      </w:pPr>
      <w:r>
        <w:rPr>
          <w:b w:val="0"/>
          <w:i w:val="0"/>
        </w:rPr>
        <w:t>Table 30 — What exploration buys, and what it costs.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Exploration rate</w:t>
            </w:r>
          </w:p>
        </w:tc>
        <w:tc>
          <w:tcPr>
            <w:tcW w:type="dxa" w:w="2167"/>
            <w:shd w:val="clear" w:color="auto" w:fill="E8EEF6"/>
          </w:tcPr>
          <w:p>
            <w:pPr>
              <w:spacing w:after="40" w:line="240" w:lineRule="auto"/>
              <w:jc w:val="center"/>
            </w:pPr>
            <w:r/>
            <w:r>
              <w:rPr>
                <w:b/>
                <w:sz w:val="20"/>
              </w:rPr>
              <w:t>Bias</w:t>
            </w:r>
          </w:p>
        </w:tc>
        <w:tc>
          <w:tcPr>
            <w:tcW w:type="dxa" w:w="2167"/>
            <w:shd w:val="clear" w:color="auto" w:fill="E8EEF6"/>
          </w:tcPr>
          <w:p>
            <w:pPr>
              <w:spacing w:after="40" w:line="240" w:lineRule="auto"/>
              <w:jc w:val="center"/>
            </w:pPr>
            <w:r/>
            <w:r>
              <w:rPr>
                <w:b/>
                <w:sz w:val="20"/>
              </w:rPr>
              <w:t>RMSE</w:t>
            </w:r>
          </w:p>
        </w:tc>
        <w:tc>
          <w:tcPr>
            <w:tcW w:type="dxa" w:w="2167"/>
            <w:shd w:val="clear" w:color="auto" w:fill="E8EEF6"/>
          </w:tcPr>
          <w:p>
            <w:pPr>
              <w:spacing w:after="40" w:line="240" w:lineRule="auto"/>
              <w:jc w:val="center"/>
            </w:pPr>
            <w:r/>
            <w:r>
              <w:rPr>
                <w:b/>
                <w:sz w:val="20"/>
              </w:rPr>
              <w:t>Reward given up</w:t>
            </w:r>
          </w:p>
        </w:tc>
      </w:tr>
      <w:tr>
        <w:tc>
          <w:tcPr>
            <w:tcW w:type="dxa" w:w="2167"/>
          </w:tcPr>
          <w:p>
            <w:pPr>
              <w:spacing w:after="40" w:line="240" w:lineRule="auto"/>
              <w:jc w:val="left"/>
            </w:pPr>
            <w:r/>
            <w:r>
              <w:rPr>
                <w:b w:val="0"/>
                <w:sz w:val="20"/>
              </w:rPr>
              <w:t>0%</w:t>
            </w:r>
          </w:p>
        </w:tc>
        <w:tc>
          <w:tcPr>
            <w:tcW w:type="dxa" w:w="2167"/>
          </w:tcPr>
          <w:p>
            <w:pPr>
              <w:spacing w:after="40" w:line="240" w:lineRule="auto"/>
              <w:jc w:val="center"/>
            </w:pPr>
            <w:r/>
            <w:r>
              <w:rPr>
                <w:b w:val="0"/>
                <w:sz w:val="20"/>
              </w:rPr>
              <w:t>0.0391</w:t>
            </w:r>
          </w:p>
        </w:tc>
        <w:tc>
          <w:tcPr>
            <w:tcW w:type="dxa" w:w="2167"/>
          </w:tcPr>
          <w:p>
            <w:pPr>
              <w:spacing w:after="40" w:line="240" w:lineRule="auto"/>
              <w:jc w:val="center"/>
            </w:pPr>
            <w:r/>
            <w:r>
              <w:rPr>
                <w:b w:val="0"/>
                <w:sz w:val="20"/>
              </w:rPr>
              <w:t>0.0423</w:t>
            </w:r>
          </w:p>
        </w:tc>
        <w:tc>
          <w:tcPr>
            <w:tcW w:type="dxa" w:w="2167"/>
          </w:tcPr>
          <w:p>
            <w:pPr>
              <w:spacing w:after="40" w:line="240" w:lineRule="auto"/>
              <w:jc w:val="center"/>
            </w:pPr>
            <w:r/>
            <w:r>
              <w:rPr>
                <w:b w:val="0"/>
                <w:sz w:val="20"/>
              </w:rPr>
              <w:t>0.0%</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0.0105</w:t>
            </w:r>
          </w:p>
        </w:tc>
        <w:tc>
          <w:tcPr>
            <w:tcW w:type="dxa" w:w="2167"/>
          </w:tcPr>
          <w:p>
            <w:pPr>
              <w:spacing w:after="40" w:line="240" w:lineRule="auto"/>
              <w:jc w:val="center"/>
            </w:pPr>
            <w:r/>
            <w:r>
              <w:rPr>
                <w:b w:val="0"/>
                <w:sz w:val="20"/>
              </w:rPr>
              <w:t>0.1124</w:t>
            </w:r>
          </w:p>
        </w:tc>
        <w:tc>
          <w:tcPr>
            <w:tcW w:type="dxa" w:w="2167"/>
          </w:tcPr>
          <w:p>
            <w:pPr>
              <w:spacing w:after="40" w:line="240" w:lineRule="auto"/>
              <w:jc w:val="center"/>
            </w:pPr>
            <w:r/>
            <w:r>
              <w:rPr>
                <w:b w:val="0"/>
                <w:sz w:val="20"/>
              </w:rPr>
              <w:t>0.8%</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0.0142</w:t>
            </w:r>
          </w:p>
        </w:tc>
        <w:tc>
          <w:tcPr>
            <w:tcW w:type="dxa" w:w="2167"/>
          </w:tcPr>
          <w:p>
            <w:pPr>
              <w:spacing w:after="40" w:line="240" w:lineRule="auto"/>
              <w:jc w:val="center"/>
            </w:pPr>
            <w:r/>
            <w:r>
              <w:rPr>
                <w:b w:val="0"/>
                <w:sz w:val="20"/>
              </w:rPr>
              <w:t>0.0655</w:t>
            </w:r>
          </w:p>
        </w:tc>
        <w:tc>
          <w:tcPr>
            <w:tcW w:type="dxa" w:w="2167"/>
          </w:tcPr>
          <w:p>
            <w:pPr>
              <w:spacing w:after="40" w:line="240" w:lineRule="auto"/>
              <w:jc w:val="center"/>
            </w:pPr>
            <w:r/>
            <w:r>
              <w:rPr>
                <w:b w:val="0"/>
                <w:sz w:val="20"/>
              </w:rPr>
              <w:t>3.8%</w:t>
            </w:r>
          </w:p>
        </w:tc>
      </w:tr>
      <w:tr>
        <w:tc>
          <w:tcPr>
            <w:tcW w:type="dxa" w:w="2167"/>
          </w:tcPr>
          <w:p>
            <w:pPr>
              <w:spacing w:after="40" w:line="240" w:lineRule="auto"/>
              <w:jc w:val="left"/>
            </w:pPr>
            <w:r/>
            <w:r>
              <w:rPr>
                <w:b w:val="0"/>
                <w:sz w:val="20"/>
              </w:rPr>
              <w:t>10%</w:t>
            </w:r>
          </w:p>
        </w:tc>
        <w:tc>
          <w:tcPr>
            <w:tcW w:type="dxa" w:w="2167"/>
          </w:tcPr>
          <w:p>
            <w:pPr>
              <w:spacing w:after="40" w:line="240" w:lineRule="auto"/>
              <w:jc w:val="center"/>
            </w:pPr>
            <w:r/>
            <w:r>
              <w:rPr>
                <w:b w:val="0"/>
                <w:sz w:val="20"/>
              </w:rPr>
              <w:t>-0.0015</w:t>
            </w:r>
          </w:p>
        </w:tc>
        <w:tc>
          <w:tcPr>
            <w:tcW w:type="dxa" w:w="2167"/>
          </w:tcPr>
          <w:p>
            <w:pPr>
              <w:spacing w:after="40" w:line="240" w:lineRule="auto"/>
              <w:jc w:val="center"/>
            </w:pPr>
            <w:r/>
            <w:r>
              <w:rPr>
                <w:b w:val="0"/>
                <w:sz w:val="20"/>
              </w:rPr>
              <w:t>0.0332</w:t>
            </w:r>
          </w:p>
        </w:tc>
        <w:tc>
          <w:tcPr>
            <w:tcW w:type="dxa" w:w="2167"/>
          </w:tcPr>
          <w:p>
            <w:pPr>
              <w:spacing w:after="40" w:line="240" w:lineRule="auto"/>
              <w:jc w:val="center"/>
            </w:pPr>
            <w:r/>
            <w:r>
              <w:rPr>
                <w:b w:val="0"/>
                <w:sz w:val="20"/>
              </w:rPr>
              <w:t>7.5%</w:t>
            </w:r>
          </w:p>
        </w:tc>
      </w:tr>
      <w:tr>
        <w:tc>
          <w:tcPr>
            <w:tcW w:type="dxa" w:w="2167"/>
          </w:tcPr>
          <w:p>
            <w:pPr>
              <w:spacing w:after="40" w:line="240" w:lineRule="auto"/>
              <w:jc w:val="left"/>
            </w:pPr>
            <w:r/>
            <w:r>
              <w:rPr>
                <w:b w:val="0"/>
                <w:sz w:val="20"/>
              </w:rPr>
              <w:t>25%</w:t>
            </w:r>
          </w:p>
        </w:tc>
        <w:tc>
          <w:tcPr>
            <w:tcW w:type="dxa" w:w="2167"/>
          </w:tcPr>
          <w:p>
            <w:pPr>
              <w:spacing w:after="40" w:line="240" w:lineRule="auto"/>
              <w:jc w:val="center"/>
            </w:pPr>
            <w:r/>
            <w:r>
              <w:rPr>
                <w:b w:val="0"/>
                <w:sz w:val="20"/>
              </w:rPr>
              <w:t>-0.011</w:t>
            </w:r>
          </w:p>
        </w:tc>
        <w:tc>
          <w:tcPr>
            <w:tcW w:type="dxa" w:w="2167"/>
          </w:tcPr>
          <w:p>
            <w:pPr>
              <w:spacing w:after="40" w:line="240" w:lineRule="auto"/>
              <w:jc w:val="center"/>
            </w:pPr>
            <w:r/>
            <w:r>
              <w:rPr>
                <w:b w:val="0"/>
                <w:sz w:val="20"/>
              </w:rPr>
              <w:t>0.0242</w:t>
            </w:r>
          </w:p>
        </w:tc>
        <w:tc>
          <w:tcPr>
            <w:tcW w:type="dxa" w:w="2167"/>
          </w:tcPr>
          <w:p>
            <w:pPr>
              <w:spacing w:after="40" w:line="240" w:lineRule="auto"/>
              <w:jc w:val="center"/>
            </w:pPr>
            <w:r/>
            <w:r>
              <w:rPr>
                <w:b w:val="0"/>
                <w:sz w:val="20"/>
              </w:rPr>
              <w:t>18.8%</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303289"/>
            <wp:docPr id="40" name="Picture 40"/>
            <wp:cNvGraphicFramePr>
              <a:graphicFrameLocks noChangeAspect="1"/>
            </wp:cNvGraphicFramePr>
            <a:graphic>
              <a:graphicData uri="http://schemas.openxmlformats.org/drawingml/2006/picture">
                <pic:pic>
                  <pic:nvPicPr>
                    <pic:cNvPr id="0" name="fig_e9_offpolicy.png"/>
                    <pic:cNvPicPr/>
                  </pic:nvPicPr>
                  <pic:blipFill>
                    <a:blip r:embed="rId50"/>
                    <a:stretch>
                      <a:fillRect/>
                    </a:stretch>
                  </pic:blipFill>
                  <pic:spPr>
                    <a:xfrm>
                      <a:off x="0" y="0"/>
                      <a:ext cx="5486400" cy="2303289"/>
                    </a:xfrm>
                    <a:prstGeom prst="rect"/>
                  </pic:spPr>
                </pic:pic>
              </a:graphicData>
            </a:graphic>
          </wp:inline>
        </w:drawing>
      </w:r>
    </w:p>
    <w:p>
      <w:pPr>
        <w:pStyle w:val="Caption"/>
        <w:keepLines/>
        <w:spacing w:before="40" w:after="400" w:line="240" w:lineRule="auto"/>
      </w:pPr>
      <w:r>
        <w:rPr>
          <w:b w:val="0"/>
          <w:i w:val="0"/>
        </w:rPr>
        <w:t>Figure 40 — Estimator error against log size, and bias against exploration rate.</w:t>
      </w:r>
    </w:p>
    <w:p>
      <w:r>
        <w:t>At 10,000 logged decisions the self-normalised estimator recovers the candidate policy's true value with a bias of -0.0029 and an interval containing zero. The mechanism also detects that the candidate policy is worth 0.0361 more reward per customer than the one generating the logs — from logged data alone, without having deployed it to anybody.</w:t>
      </w:r>
    </w:p>
    <w:p>
      <w:pPr>
        <w:pStyle w:val="NoteBox"/>
      </w:pPr>
      <w:r>
        <w:rPr>
          <w:b/>
        </w:rPr>
        <w:t>The finding worth carrying into the viva.</w:t>
      </w:r>
      <w:r>
        <w:t xml:space="preserve"> Without exploration the estimate is biased by +0.0391, and biased </w:t>
      </w:r>
      <w:r>
        <w:rPr>
          <w:i/>
        </w:rPr>
        <w:t>upwards</w:t>
      </w:r>
      <w:r>
        <w:t xml:space="preserve"> — it reports the candidate policy as better than it is. Worse, the deterministic log looks more trustworthy: its effective sample size is 1094 against 107 with exploration, because every weight is 0 or 1 rather than spread out. The standard diagnostic for an unreliable importance-weighted estimate points the wrong way. The estimate is stable and wrong, computed only over the customers where the candidate happens to agree with the logged policy. </w:t>
      </w:r>
      <w:r>
        <w:rPr>
          <w:b/>
        </w:rPr>
        <w:t>Stability is not correctness.</w:t>
      </w:r>
    </w:p>
    <w:p>
      <w:r>
        <w:t>Token exploration is worse than none: at a 1% rate the estimator has the worst error of any setting tested — too few random decisions to remove the bias, and weights large enough to wreck the variance. Exploration is a commitment, not a gesture.</w:t>
      </w:r>
    </w:p>
    <w:p>
      <w:r>
        <w:t xml:space="preserve">This experiment is a simulation, deliberately and without apology. The claim under test is a property of an </w:t>
      </w:r>
      <w:r>
        <w:rPr>
          <w:i/>
        </w:rPr>
        <w:t>estimator</w:t>
      </w:r>
      <w:r>
        <w:t xml:space="preserve"> — unbiasedness — which is settled by mathematics and can therefore be checked exactly against a known answer. It claims nothing about real customers. What it establishes is that the mechanism now in the system will produce a usable answer once enough decisions have been logged, which is the difference between a system that can improve and one that can only assert.</w:t>
      </w:r>
    </w:p>
    <w:p>
      <w:pPr>
        <w:pStyle w:val="Heading3"/>
      </w:pPr>
      <w:r>
        <w:t>7.3.10 The action set is a property of the website</w:t>
      </w:r>
    </w:p>
    <w:p>
      <w:r>
        <w:t>Every result so far assumed a fixed vocabulary of four actions. That assumption does not survive contact with a second client. A news site has no checkout, so recommending a discount there is not a poor recommendation but a category error; a charity has no upgrade path; a subscription product has no basket to abandon. The action set is therefore not a constant but the intersection of two things — what the website can perform, and what the customer qualifies for.</w:t>
      </w:r>
    </w:p>
    <w:p>
      <w:r>
        <w:t xml:space="preserve">It is tempting to learn this. There is no dataset of websites labelled with marketing actions, so the labels would have to be synthesised from a rule and the model would learn that rule back — the same circularity as the two defects in 3.2 and 3.7. What a site can do is </w:t>
      </w:r>
      <w:r>
        <w:rPr>
          <w:i/>
        </w:rPr>
        <w:t>evidence on its pages</w:t>
      </w:r>
      <w:r>
        <w:t>, so it is detected; which of the available actions is best is genuinely unknown, so that is left to the decision log.</w:t>
      </w:r>
    </w:p>
    <w:p>
      <w:pPr>
        <w:pStyle w:val="Heading4"/>
      </w:pPr>
      <w:r>
        <w:t>7.3.10.1 Detecting what a website can do</w:t>
      </w:r>
    </w:p>
    <w:p>
      <w:pPr>
        <w:pStyle w:val="TableCaption"/>
      </w:pPr>
      <w:r>
        <w:rPr>
          <w:b w:val="0"/>
          <w:i w:val="0"/>
        </w:rPr>
        <w:t>Table 31 — Capability detection against hand labels on real websites.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Capability</w:t>
            </w:r>
          </w:p>
        </w:tc>
        <w:tc>
          <w:tcPr>
            <w:tcW w:type="dxa" w:w="1445"/>
            <w:shd w:val="clear" w:color="auto" w:fill="E8EEF6"/>
          </w:tcPr>
          <w:p>
            <w:pPr>
              <w:spacing w:after="40" w:line="240" w:lineRule="auto"/>
              <w:jc w:val="center"/>
            </w:pPr>
            <w:r/>
            <w:r>
              <w:rPr>
                <w:b/>
                <w:sz w:val="20"/>
              </w:rPr>
              <w:t>Judgements</w:t>
            </w:r>
          </w:p>
        </w:tc>
        <w:tc>
          <w:tcPr>
            <w:tcW w:type="dxa" w:w="1445"/>
            <w:shd w:val="clear" w:color="auto" w:fill="E8EEF6"/>
          </w:tcPr>
          <w:p>
            <w:pPr>
              <w:spacing w:after="40" w:line="240" w:lineRule="auto"/>
              <w:jc w:val="center"/>
            </w:pPr>
            <w:r/>
            <w:r>
              <w:rPr>
                <w:b/>
                <w:sz w:val="20"/>
              </w:rPr>
              <w:t>Agreement</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False positives</w:t>
            </w:r>
          </w:p>
        </w:tc>
        <w:tc>
          <w:tcPr>
            <w:tcW w:type="dxa" w:w="1445"/>
            <w:shd w:val="clear" w:color="auto" w:fill="E8EEF6"/>
          </w:tcPr>
          <w:p>
            <w:pPr>
              <w:spacing w:after="40" w:line="240" w:lineRule="auto"/>
              <w:jc w:val="center"/>
            </w:pPr>
            <w:r/>
            <w:r>
              <w:rPr>
                <w:b/>
                <w:sz w:val="20"/>
              </w:rPr>
              <w:t>False negatives</w:t>
            </w:r>
          </w:p>
        </w:tc>
      </w:tr>
      <w:tr>
        <w:tc>
          <w:tcPr>
            <w:tcW w:type="dxa" w:w="1445"/>
          </w:tcPr>
          <w:p>
            <w:pPr>
              <w:spacing w:after="40" w:line="240" w:lineRule="auto"/>
              <w:jc w:val="left"/>
            </w:pPr>
            <w:r/>
            <w:r>
              <w:rPr>
                <w:b w:val="0"/>
                <w:sz w:val="20"/>
              </w:rPr>
              <w:t>commerce</w:t>
            </w:r>
          </w:p>
        </w:tc>
        <w:tc>
          <w:tcPr>
            <w:tcW w:type="dxa" w:w="1445"/>
          </w:tcPr>
          <w:p>
            <w:pPr>
              <w:spacing w:after="40" w:line="240" w:lineRule="auto"/>
              <w:jc w:val="center"/>
            </w:pPr>
            <w:r/>
            <w:r>
              <w:rPr>
                <w:b w:val="0"/>
                <w:sz w:val="20"/>
              </w:rPr>
              <w:t>8</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[0.676,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subscription</w:t>
            </w:r>
          </w:p>
        </w:tc>
        <w:tc>
          <w:tcPr>
            <w:tcW w:type="dxa" w:w="1445"/>
          </w:tcPr>
          <w:p>
            <w:pPr>
              <w:spacing w:after="40" w:line="240" w:lineRule="auto"/>
              <w:jc w:val="center"/>
            </w:pPr>
            <w:r/>
            <w:r>
              <w:rPr>
                <w:b w:val="0"/>
                <w:sz w:val="20"/>
              </w:rPr>
              <w:t>4</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[0.51,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lead capture</w:t>
            </w:r>
          </w:p>
        </w:tc>
        <w:tc>
          <w:tcPr>
            <w:tcW w:type="dxa" w:w="1445"/>
          </w:tcPr>
          <w:p>
            <w:pPr>
              <w:spacing w:after="40" w:line="240" w:lineRule="auto"/>
              <w:jc w:val="center"/>
            </w:pPr>
            <w:r/>
            <w:r>
              <w:rPr>
                <w:b w:val="0"/>
                <w:sz w:val="20"/>
              </w:rPr>
              <w:t>1</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[0.207,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donation</w:t>
            </w:r>
          </w:p>
        </w:tc>
        <w:tc>
          <w:tcPr>
            <w:tcW w:type="dxa" w:w="1445"/>
          </w:tcPr>
          <w:p>
            <w:pPr>
              <w:spacing w:after="40" w:line="240" w:lineRule="auto"/>
              <w:jc w:val="center"/>
            </w:pPr>
            <w:r/>
            <w:r>
              <w:rPr>
                <w:b w:val="0"/>
                <w:sz w:val="20"/>
              </w:rPr>
              <w:t>8</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[0.676,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820112"/>
            <wp:docPr id="41" name="Picture 41"/>
            <wp:cNvGraphicFramePr>
              <a:graphicFrameLocks noChangeAspect="1"/>
            </wp:cNvGraphicFramePr>
            <a:graphic>
              <a:graphicData uri="http://schemas.openxmlformats.org/drawingml/2006/picture">
                <pic:pic>
                  <pic:nvPicPr>
                    <pic:cNvPr id="0" name="fig_e10_capability_detection.png"/>
                    <pic:cNvPicPr/>
                  </pic:nvPicPr>
                  <pic:blipFill>
                    <a:blip r:embed="rId51"/>
                    <a:stretch>
                      <a:fillRect/>
                    </a:stretch>
                  </pic:blipFill>
                  <pic:spPr>
                    <a:xfrm>
                      <a:off x="0" y="0"/>
                      <a:ext cx="5486400" cy="2820112"/>
                    </a:xfrm>
                    <a:prstGeom prst="rect"/>
                  </pic:spPr>
                </pic:pic>
              </a:graphicData>
            </a:graphic>
          </wp:inline>
        </w:drawing>
      </w:r>
    </w:p>
    <w:p>
      <w:pPr>
        <w:pStyle w:val="Caption"/>
        <w:keepLines/>
        <w:spacing w:before="40" w:after="400" w:line="240" w:lineRule="auto"/>
      </w:pPr>
      <w:r>
        <w:rPr>
          <w:b w:val="0"/>
          <w:i w:val="0"/>
        </w:rPr>
        <w:t>Figure 41 — Agreement per capability, with Wilson intervals. The width of the bars is the honest content.</w:t>
      </w:r>
    </w:p>
    <w:p>
      <w:pPr>
        <w:pStyle w:val="NoteBox"/>
      </w:pPr>
      <w:r>
        <w:rPr>
          <w:b/>
        </w:rPr>
        <w:t>This is a development set and the figure is fitted.</w:t>
      </w:r>
      <w:r>
        <w:t xml:space="preserve"> The first run disagreed on four judgements. Two were detector faults, both caused by matching URLs as free text: `/product` fired on a magazine's `/categories/product-strategy`, and a retailer's `support.` subdomain was read as a donation page. Matching now works on whole path segments and host labels. The other two were faults in the </w:t>
      </w:r>
      <w:r>
        <w:rPr>
          <w:i/>
        </w:rPr>
        <w:t>labels</w:t>
      </w:r>
      <w:r>
        <w:t xml:space="preserve"> — a charity with a shop and a publisher with a store had both been marked as having no commerce, and the detector was right. Code and labels both changed after seeing results, so a fresh sample would be needed to claim generalisation, and none is claimed here.</w:t>
      </w:r>
    </w:p>
    <w:p>
      <w:r>
        <w:t xml:space="preserve">The finding that matters is not the percentage but what the disagreements taught: capability is not a site </w:t>
      </w:r>
      <w:r>
        <w:rPr>
          <w:i/>
        </w:rPr>
        <w:t>type</w:t>
      </w:r>
      <w:r>
        <w:t>. A charity that sells merchandise has donation and commerce both; a publisher running a store has commerce as well as content. Modelling capabilities as independent flags rather than as a category is what allowed the detector to be right where the human label was wrong.</w:t>
      </w:r>
    </w:p>
    <w:p>
      <w:pPr>
        <w:pStyle w:val="Heading4"/>
      </w:pPr>
      <w:r>
        <w:t>7.3.10.2 What a larger action set costs</w:t>
      </w:r>
    </w:p>
    <w:p>
      <w:r>
        <w:t>Letting each site use its own actions is not free. Exploration is a fixed budget, so the more actions on offer the less evidence each accumulates, and the longer before a logged policy comparison means anything.</w:t>
      </w:r>
    </w:p>
    <w:p>
      <w:pPr>
        <w:pStyle w:val="TableCaption"/>
      </w:pPr>
      <w:r>
        <w:rPr>
          <w:b w:val="0"/>
          <w:i w:val="0"/>
        </w:rPr>
        <w:t>Table 32 — Logged decisions needed to reach an RMSE of 0.02 against the true policy value.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Actions on offer</w:t>
            </w:r>
          </w:p>
        </w:tc>
        <w:tc>
          <w:tcPr>
            <w:tcW w:type="dxa" w:w="2890"/>
            <w:shd w:val="clear" w:color="auto" w:fill="E8EEF6"/>
          </w:tcPr>
          <w:p>
            <w:pPr>
              <w:spacing w:after="40" w:line="240" w:lineRule="auto"/>
              <w:jc w:val="center"/>
            </w:pPr>
            <w:r/>
            <w:r>
              <w:rPr>
                <w:b/>
                <w:sz w:val="20"/>
              </w:rPr>
              <w:t>Decisions needed</w:t>
            </w:r>
          </w:p>
        </w:tc>
        <w:tc>
          <w:tcPr>
            <w:tcW w:type="dxa" w:w="2890"/>
            <w:shd w:val="clear" w:color="auto" w:fill="E8EEF6"/>
          </w:tcPr>
          <w:p>
            <w:pPr>
              <w:spacing w:after="40" w:line="240" w:lineRule="auto"/>
              <w:jc w:val="center"/>
            </w:pPr>
            <w:r/>
            <w:r>
              <w:rPr>
                <w:b/>
                <w:sz w:val="20"/>
              </w:rPr>
              <w:t>Per action</w:t>
            </w:r>
          </w:p>
        </w:tc>
      </w:tr>
      <w:tr>
        <w:tc>
          <w:tcPr>
            <w:tcW w:type="dxa" w:w="2890"/>
          </w:tcPr>
          <w:p>
            <w:pPr>
              <w:spacing w:after="40" w:line="240" w:lineRule="auto"/>
              <w:jc w:val="left"/>
            </w:pPr>
            <w:r/>
            <w:r>
              <w:rPr>
                <w:b w:val="0"/>
                <w:sz w:val="20"/>
              </w:rPr>
              <w:t>2</w:t>
            </w:r>
          </w:p>
        </w:tc>
        <w:tc>
          <w:tcPr>
            <w:tcW w:type="dxa" w:w="2890"/>
          </w:tcPr>
          <w:p>
            <w:pPr>
              <w:spacing w:after="40" w:line="240" w:lineRule="auto"/>
              <w:jc w:val="center"/>
            </w:pPr>
            <w:r/>
            <w:r>
              <w:rPr>
                <w:b w:val="0"/>
                <w:sz w:val="20"/>
              </w:rPr>
              <w:t>5,000</w:t>
            </w:r>
          </w:p>
        </w:tc>
        <w:tc>
          <w:tcPr>
            <w:tcW w:type="dxa" w:w="2890"/>
          </w:tcPr>
          <w:p>
            <w:pPr>
              <w:spacing w:after="40" w:line="240" w:lineRule="auto"/>
              <w:jc w:val="center"/>
            </w:pPr>
            <w:r/>
            <w:r>
              <w:rPr>
                <w:b w:val="0"/>
                <w:sz w:val="20"/>
              </w:rPr>
              <w:t>2500</w:t>
            </w:r>
          </w:p>
        </w:tc>
      </w:tr>
      <w:tr>
        <w:tc>
          <w:tcPr>
            <w:tcW w:type="dxa" w:w="2890"/>
          </w:tcPr>
          <w:p>
            <w:pPr>
              <w:spacing w:after="40" w:line="240" w:lineRule="auto"/>
              <w:jc w:val="left"/>
            </w:pPr>
            <w:r/>
            <w:r>
              <w:rPr>
                <w:b w:val="0"/>
                <w:sz w:val="20"/>
              </w:rPr>
              <w:t>4</w:t>
            </w:r>
          </w:p>
        </w:tc>
        <w:tc>
          <w:tcPr>
            <w:tcW w:type="dxa" w:w="2890"/>
          </w:tcPr>
          <w:p>
            <w:pPr>
              <w:spacing w:after="40" w:line="240" w:lineRule="auto"/>
              <w:jc w:val="center"/>
            </w:pPr>
            <w:r/>
            <w:r>
              <w:rPr>
                <w:b w:val="0"/>
                <w:sz w:val="20"/>
              </w:rPr>
              <w:t>5,000</w:t>
            </w:r>
          </w:p>
        </w:tc>
        <w:tc>
          <w:tcPr>
            <w:tcW w:type="dxa" w:w="2890"/>
          </w:tcPr>
          <w:p>
            <w:pPr>
              <w:spacing w:after="40" w:line="240" w:lineRule="auto"/>
              <w:jc w:val="center"/>
            </w:pPr>
            <w:r/>
            <w:r>
              <w:rPr>
                <w:b w:val="0"/>
                <w:sz w:val="20"/>
              </w:rPr>
              <w:t>1250</w:t>
            </w:r>
          </w:p>
        </w:tc>
      </w:tr>
      <w:tr>
        <w:tc>
          <w:tcPr>
            <w:tcW w:type="dxa" w:w="2890"/>
          </w:tcPr>
          <w:p>
            <w:pPr>
              <w:spacing w:after="40" w:line="240" w:lineRule="auto"/>
              <w:jc w:val="left"/>
            </w:pPr>
            <w:r/>
            <w:r>
              <w:rPr>
                <w:b w:val="0"/>
                <w:sz w:val="20"/>
              </w:rPr>
              <w:t>8</w:t>
            </w:r>
          </w:p>
        </w:tc>
        <w:tc>
          <w:tcPr>
            <w:tcW w:type="dxa" w:w="2890"/>
          </w:tcPr>
          <w:p>
            <w:pPr>
              <w:spacing w:after="40" w:line="240" w:lineRule="auto"/>
              <w:jc w:val="center"/>
            </w:pPr>
            <w:r/>
            <w:r>
              <w:rPr>
                <w:b w:val="0"/>
                <w:sz w:val="20"/>
              </w:rPr>
              <w:t>20,000</w:t>
            </w:r>
          </w:p>
        </w:tc>
        <w:tc>
          <w:tcPr>
            <w:tcW w:type="dxa" w:w="2890"/>
          </w:tcPr>
          <w:p>
            <w:pPr>
              <w:spacing w:after="40" w:line="240" w:lineRule="auto"/>
              <w:jc w:val="center"/>
            </w:pPr>
            <w:r/>
            <w:r>
              <w:rPr>
                <w:b w:val="0"/>
                <w:sz w:val="20"/>
              </w:rPr>
              <w:t>2500</w:t>
            </w:r>
          </w:p>
        </w:tc>
      </w:tr>
      <w:tr>
        <w:tc>
          <w:tcPr>
            <w:tcW w:type="dxa" w:w="2890"/>
          </w:tcPr>
          <w:p>
            <w:pPr>
              <w:spacing w:after="40" w:line="240" w:lineRule="auto"/>
              <w:jc w:val="left"/>
            </w:pPr>
            <w:r/>
            <w:r>
              <w:rPr>
                <w:b w:val="0"/>
                <w:sz w:val="20"/>
              </w:rPr>
              <w:t>16</w:t>
            </w:r>
          </w:p>
        </w:tc>
        <w:tc>
          <w:tcPr>
            <w:tcW w:type="dxa" w:w="2890"/>
          </w:tcPr>
          <w:p>
            <w:pPr>
              <w:spacing w:after="40" w:line="240" w:lineRule="auto"/>
              <w:jc w:val="center"/>
            </w:pPr>
            <w:r/>
            <w:r>
              <w:rPr>
                <w:b w:val="0"/>
                <w:sz w:val="20"/>
              </w:rPr>
              <w:t>80,000</w:t>
            </w:r>
          </w:p>
        </w:tc>
        <w:tc>
          <w:tcPr>
            <w:tcW w:type="dxa" w:w="2890"/>
          </w:tcPr>
          <w:p>
            <w:pPr>
              <w:spacing w:after="40" w:line="240" w:lineRule="auto"/>
              <w:jc w:val="center"/>
            </w:pPr>
            <w:r/>
            <w:r>
              <w:rPr>
                <w:b w:val="0"/>
                <w:sz w:val="20"/>
              </w:rPr>
              <w:t>5000</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256670"/>
            <wp:docPr id="42" name="Picture 42"/>
            <wp:cNvGraphicFramePr>
              <a:graphicFrameLocks noChangeAspect="1"/>
            </wp:cNvGraphicFramePr>
            <a:graphic>
              <a:graphicData uri="http://schemas.openxmlformats.org/drawingml/2006/picture">
                <pic:pic>
                  <pic:nvPicPr>
                    <pic:cNvPr id="0" name="fig_e11_action_set_size.png"/>
                    <pic:cNvPicPr/>
                  </pic:nvPicPr>
                  <pic:blipFill>
                    <a:blip r:embed="rId52"/>
                    <a:stretch>
                      <a:fillRect/>
                    </a:stretch>
                  </pic:blipFill>
                  <pic:spPr>
                    <a:xfrm>
                      <a:off x="0" y="0"/>
                      <a:ext cx="5486400" cy="2256670"/>
                    </a:xfrm>
                    <a:prstGeom prst="rect"/>
                  </pic:spPr>
                </pic:pic>
              </a:graphicData>
            </a:graphic>
          </wp:inline>
        </w:drawing>
      </w:r>
    </w:p>
    <w:p>
      <w:pPr>
        <w:pStyle w:val="Caption"/>
        <w:keepLines/>
        <w:spacing w:before="40" w:after="400" w:line="240" w:lineRule="auto"/>
      </w:pPr>
      <w:r>
        <w:rPr>
          <w:b w:val="0"/>
          <w:i w:val="0"/>
        </w:rPr>
        <w:t>Figure 42 — Estimator error against action-set size, and the data each size requires.</w:t>
      </w:r>
    </w:p>
    <w:p>
      <w:r>
        <w:t>Reaching a usable estimate takes 5,000 decisions with 2 actions and 80,000 with 16. Raising the exploration rate helps but does not substitute for volume, and every explored decision is one deliberately not taken greedily.</w:t>
      </w:r>
    </w:p>
    <w:p>
      <w:pPr>
        <w:pStyle w:val="NoteBox"/>
      </w:pPr>
      <w:r>
        <w:rPr>
          <w:b/>
        </w:rPr>
        <w:t>The design guidance this yields.</w:t>
      </w:r>
      <w:r>
        <w:t xml:space="preserve"> The catalogue should stay as small as honestly covers what a site can do. Adding an action nobody will choose is not free — it takes evidence away from every other action. A site offering twelve actions should not expect conclusions on the same timescale as one offering four, and the system should say so rather than present an early estimate as settled.</w:t>
      </w:r>
    </w:p>
    <w:p>
      <w:pPr>
        <w:pStyle w:val="Heading2"/>
      </w:pPr>
      <w:r>
        <w:t>7.4 Discussion</w:t>
      </w:r>
    </w:p>
    <w:p>
      <w:pPr>
        <w:pStyle w:val="Heading3"/>
      </w:pPr>
      <w:r>
        <w:t>7.4.1 What the evidence supports</w:t>
      </w:r>
    </w:p>
    <w:p>
      <w:pPr>
        <w:pStyle w:val="ListBullet"/>
        <w:spacing w:after="80" w:line="312" w:lineRule="auto"/>
        <w:jc w:val="both"/>
      </w:pPr>
      <w:r>
        <w:rPr>
          <w:b/>
        </w:rPr>
        <w:t>The closed loop runs.</w:t>
      </w:r>
      <w:r>
        <w:t xml:space="preserve"> One audience passes through segmentation, content generation, campaign planning and analytics, and the analytics output feeds back into which platforms get written for next. That is the architecture the report proposes, executing.</w:t>
      </w:r>
    </w:p>
    <w:p>
      <w:pPr>
        <w:pStyle w:val="ListBullet"/>
        <w:spacing w:after="80" w:line="312" w:lineRule="auto"/>
        <w:jc w:val="both"/>
      </w:pPr>
      <w:r>
        <w:rPr>
          <w:b/>
        </w:rPr>
        <w:t>Cold start is handled explicitly, and it had to be defended.</w:t>
      </w:r>
      <w:r>
        <w:t xml:space="preserve"> The engine declines to cluster below thirty customers and says why; individual customers with thin histories are decided by rules and flagged. The vote-order defect showed how easily that contribution can be destroyed by a pipeline that looks correct.</w:t>
      </w:r>
    </w:p>
    <w:p>
      <w:pPr>
        <w:pStyle w:val="ListBullet"/>
        <w:spacing w:after="80" w:line="312" w:lineRule="auto"/>
        <w:jc w:val="both"/>
      </w:pPr>
      <w:r>
        <w:rPr>
          <w:b/>
        </w:rPr>
        <w:t>Attribution model choice changes the conclusion.</w:t>
      </w:r>
      <w:r>
        <w:t xml:space="preserve"> On the same journeys the four models disagree over a third of attributed credit on average. Any single-model dashboard is a decision, not a measurement.</w:t>
      </w:r>
    </w:p>
    <w:p>
      <w:pPr>
        <w:pStyle w:val="ListBullet"/>
        <w:spacing w:after="80" w:line="312" w:lineRule="auto"/>
        <w:jc w:val="both"/>
      </w:pPr>
      <w:r>
        <w:rPr>
          <w:b/>
        </w:rPr>
        <w:t>Simpler models won twice.</w:t>
      </w:r>
      <w:r>
        <w:t xml:space="preserve"> TF-IDF matched Sentence-BERT on goal and tone, and interpretable rules matched the full hybrid on conversion separation. Neither result was expected.</w:t>
      </w:r>
    </w:p>
    <w:p>
      <w:pPr>
        <w:pStyle w:val="ListBullet"/>
        <w:spacing w:after="80" w:line="312" w:lineRule="auto"/>
        <w:jc w:val="both"/>
      </w:pPr>
      <w:r>
        <w:rPr>
          <w:b/>
        </w:rPr>
        <w:t>The recommender was answering the wrong question.</w:t>
      </w:r>
      <w:r>
        <w:t xml:space="preserve"> Ranking customers by predicted conversion and ranking them by the </w:t>
      </w:r>
      <w:r>
        <w:rPr>
          <w:i/>
        </w:rPr>
        <w:t>incremental effect</w:t>
      </w:r>
      <w:r>
        <w:t xml:space="preserve"> of the action select materially different people — they share only about half their choices at a realistic budget. This is the clearest direction for future work the project produced.</w:t>
      </w:r>
    </w:p>
    <w:p>
      <w:pPr>
        <w:pStyle w:val="Heading3"/>
      </w:pPr>
      <w:r>
        <w:t>7.4.2 What the evidence does not support</w:t>
      </w:r>
    </w:p>
    <w:p>
      <w:pPr>
        <w:pStyle w:val="ListBullet"/>
        <w:spacing w:after="80" w:line="312" w:lineRule="auto"/>
        <w:jc w:val="both"/>
      </w:pPr>
      <w:r>
        <w:rPr>
          <w:b/>
        </w:rPr>
        <w:t>That the hybrid segmentation separates conversion better than rules alone.</w:t>
      </w:r>
      <w:r>
        <w:t xml:space="preserve"> It does not, on this dataset. Its value lies in calibrated confidence and explicit cold start.</w:t>
      </w:r>
    </w:p>
    <w:p>
      <w:pPr>
        <w:pStyle w:val="ListBullet"/>
        <w:spacing w:after="80" w:line="312" w:lineRule="auto"/>
        <w:jc w:val="both"/>
      </w:pPr>
      <w:r>
        <w:rPr>
          <w:b/>
        </w:rPr>
        <w:t>That any one automation policy is best.</w:t>
      </w:r>
      <w:r>
        <w:t xml:space="preserve"> The simulator and the live build disagree, and the ranking depends on how response is modelled rather than on the policies themselves.</w:t>
      </w:r>
    </w:p>
    <w:p>
      <w:pPr>
        <w:pStyle w:val="ListBullet"/>
        <w:spacing w:after="80" w:line="312" w:lineRule="auto"/>
        <w:jc w:val="both"/>
      </w:pPr>
      <w:r>
        <w:rPr>
          <w:b/>
        </w:rPr>
        <w:t>That engagement can be predicted from caption text.</w:t>
      </w:r>
      <w:r>
        <w:t xml:space="preserve"> Not on this corpus, where no text feature survives correction.</w:t>
      </w:r>
    </w:p>
    <w:p>
      <w:pPr>
        <w:pStyle w:val="ListBullet"/>
        <w:spacing w:after="80" w:line="312" w:lineRule="auto"/>
        <w:jc w:val="both"/>
      </w:pPr>
      <w:r>
        <w:rPr>
          <w:b/>
        </w:rPr>
        <w:t>That the prediction thresholds transfer.</w:t>
      </w:r>
      <w:r>
        <w:t xml:space="preserve"> They were set on the distribution the models were fitted on and do not carry to another audience. The production recommender was changed to rank rather than threshold as a direct consequence.</w:t>
      </w:r>
    </w:p>
    <w:p>
      <w:pPr>
        <w:pStyle w:val="ListBullet"/>
        <w:spacing w:after="80" w:line="312" w:lineRule="auto"/>
        <w:jc w:val="both"/>
      </w:pPr>
      <w:r>
        <w:rPr>
          <w:b/>
        </w:rPr>
        <w:t>That uplift modelling is straightforwardly better.</w:t>
      </w:r>
      <w:r>
        <w:t xml:space="preserve"> The best uplift learner beat the current policy, but the intervals overlap and the second uplift learner did worse. The framing is right; the evidence for any particular learner is not yet strong.</w:t>
      </w:r>
    </w:p>
    <w:p>
      <w:pPr>
        <w:pStyle w:val="Heading2"/>
      </w:pPr>
      <w:r>
        <w:t>7.5 Threats to Validity</w:t>
      </w:r>
    </w:p>
    <w:p>
      <w:pPr>
        <w:pStyle w:val="Heading3"/>
      </w:pPr>
      <w:r>
        <w:t>7.5.1 Construct validity</w:t>
      </w:r>
    </w:p>
    <w:p>
      <w:r>
        <w:t xml:space="preserve">The reconstruction of event timing is the principal threat. Attribution operates on journeys whose </w:t>
      </w:r>
      <w:r>
        <w:rPr>
          <w:i/>
        </w:rPr>
        <w:t>order</w:t>
      </w:r>
      <w:r>
        <w:t xml:space="preserve"> this project created, so the attribution results characterise the reconstruction as well as the data. The counts underlying those journeys are real; their sequence is not observed. A dataset with genuine timestamped events would settle what this study can only bound.</w:t>
      </w:r>
    </w:p>
    <w:p>
      <w:r>
        <w:t>Conversion separation depends on segment definitions that a human wrote. The rules were not tuned against the conversion column — which is what keeps the metric from being circular — but they were written by someone who knows the domain, and that is a weaker guarantee than a preregistered rule set.</w:t>
      </w:r>
    </w:p>
    <w:p>
      <w:pPr>
        <w:pStyle w:val="Heading3"/>
      </w:pPr>
      <w:r>
        <w:t>7.5.2 Internal validity</w:t>
      </w:r>
    </w:p>
    <w:p>
      <w:r>
        <w:t>Two defects found in this work were both invisible to the metrics being watched at the time, and both made results look better. That is evidence that other such defects may remain. Every correction now carries a regression test, and the leakage guard in the engagement model raises an exception rather than a warning if an outcome column re-enters the feature set.</w:t>
      </w:r>
    </w:p>
    <w:p>
      <w:r>
        <w:t>Campaign response in both the simulator and the live build is modelled, not observed. No claim about open or click rates in this report is a measurement of human behaviour.</w:t>
      </w:r>
    </w:p>
    <w:p>
      <w:pPr>
        <w:pStyle w:val="Heading3"/>
      </w:pPr>
      <w:r>
        <w:t>7.5.3 External validity</w:t>
      </w:r>
    </w:p>
    <w:p>
      <w:r>
        <w:t xml:space="preserve">One dataset, one product category, one language. The 87.6% conversion rate in the source data is far above any plausible e-commerce baseline, which suggests the dataset is either filtered or synthetic in origin; conclusions about absolute rates should not leave it. Comparisons </w:t>
      </w:r>
      <w:r>
        <w:rPr>
          <w:i/>
        </w:rPr>
        <w:t>between</w:t>
      </w:r>
      <w:r>
        <w:t xml:space="preserve"> methods on the same data are the results that travel.</w:t>
      </w:r>
    </w:p>
    <w:p>
      <w:r>
        <w:t>The goal corpus has 453 labelled rows and the tone corpus 174, with one tone class represented by a single example. Macro-F1 on a corpus that small carries wide uncertainty, and the per-class numbers for rare classes should be read as indicative.</w:t>
      </w:r>
    </w:p>
    <w:p>
      <w:pPr>
        <w:pStyle w:val="Heading2"/>
      </w:pPr>
      <w:r>
        <w:t>7.6 Limitations</w:t>
      </w:r>
    </w:p>
    <w:p>
      <w:pPr>
        <w:pStyle w:val="ListBullet"/>
        <w:spacing w:after="80" w:line="312" w:lineRule="auto"/>
        <w:jc w:val="both"/>
      </w:pPr>
      <w:r>
        <w:rPr>
          <w:b/>
        </w:rPr>
        <w:t>Event timing and ordering are reconstructed</w:t>
      </w:r>
      <w:r>
        <w:t>, so attribution path statistics are partly a property of the importer.</w:t>
      </w:r>
    </w:p>
    <w:p>
      <w:pPr>
        <w:pStyle w:val="ListBullet"/>
        <w:spacing w:after="80" w:line="312" w:lineRule="auto"/>
        <w:jc w:val="both"/>
      </w:pPr>
      <w:r>
        <w:rPr>
          <w:b/>
        </w:rPr>
        <w:t>Campaign response is modelled</w:t>
      </w:r>
      <w:r>
        <w:t>, in both the simulator and the live build. Nobody in this study opened a real email.</w:t>
      </w:r>
    </w:p>
    <w:p>
      <w:pPr>
        <w:pStyle w:val="ListBullet"/>
        <w:spacing w:after="80" w:line="312" w:lineRule="auto"/>
        <w:jc w:val="both"/>
      </w:pPr>
      <w:r>
        <w:rPr>
          <w:b/>
        </w:rPr>
        <w:t>Conversion and drop-off models were fitted on a simulator</w:t>
      </w:r>
      <w:r>
        <w:t xml:space="preserve"> and transfer poorly in calibration, though the ranking survives.</w:t>
      </w:r>
    </w:p>
    <w:p>
      <w:pPr>
        <w:pStyle w:val="ListBullet"/>
        <w:spacing w:after="80" w:line="312" w:lineRule="auto"/>
        <w:jc w:val="both"/>
      </w:pPr>
      <w:r>
        <w:rPr>
          <w:b/>
        </w:rPr>
        <w:t>The engagement dataset carries no usable text signal</w:t>
      </w:r>
      <w:r>
        <w:t>, so that component of the content score is close to arbitrary and is weighted accordingly.</w:t>
      </w:r>
    </w:p>
    <w:p>
      <w:pPr>
        <w:pStyle w:val="ListBullet"/>
        <w:spacing w:after="80" w:line="312" w:lineRule="auto"/>
        <w:jc w:val="both"/>
      </w:pPr>
      <w:r>
        <w:rPr>
          <w:b/>
        </w:rPr>
        <w:t>`humorous` tone has a single training example</w:t>
      </w:r>
      <w:r>
        <w:t xml:space="preserve"> and cannot be learned or evaluated.</w:t>
      </w:r>
    </w:p>
    <w:p>
      <w:pPr>
        <w:pStyle w:val="ListBullet"/>
        <w:spacing w:after="80" w:line="312" w:lineRule="auto"/>
        <w:jc w:val="both"/>
      </w:pPr>
      <w:r>
        <w:rPr>
          <w:b/>
        </w:rPr>
        <w:t>Open-rate tracking under-reports</w:t>
      </w:r>
      <w:r>
        <w:t xml:space="preserve"> by design: most mail clients block the pixel, so click-through is the reliable engagement signal.</w:t>
      </w:r>
    </w:p>
    <w:p>
      <w:pPr>
        <w:pStyle w:val="ListBullet"/>
        <w:spacing w:after="80" w:line="312" w:lineRule="auto"/>
        <w:jc w:val="both"/>
      </w:pPr>
      <w:r>
        <w:rPr>
          <w:b/>
        </w:rPr>
        <w:t>Three real platform datasets ship unused</w:t>
      </w:r>
      <w:r>
        <w:t xml:space="preserve"> — they are comment-level scrapes that pair no post text with post engagement.</w:t>
      </w:r>
    </w:p>
    <w:p>
      <w:pPr>
        <w:pStyle w:val="ListBullet"/>
        <w:spacing w:after="80" w:line="312" w:lineRule="auto"/>
        <w:jc w:val="both"/>
      </w:pPr>
      <w:r>
        <w:rPr>
          <w:b/>
        </w:rPr>
        <w:t>No action was ever randomised on this project's own audience</w:t>
      </w:r>
      <w:r>
        <w:t xml:space="preserve">, so the next-best-action recommendation cannot be validated on it at all. E8 borrows a dataset where treatment </w:t>
      </w:r>
      <w:r>
        <w:rPr>
          <w:i/>
        </w:rPr>
        <w:t>was</w:t>
      </w:r>
      <w:r>
        <w:t xml:space="preserve"> randomised, and the actions there are not this project's actions.</w:t>
      </w:r>
    </w:p>
    <w:p>
      <w:pPr>
        <w:pStyle w:val="ListBullet"/>
        <w:spacing w:after="80" w:line="312" w:lineRule="auto"/>
        <w:jc w:val="both"/>
      </w:pPr>
      <w:r>
        <w:rPr>
          <w:b/>
        </w:rPr>
        <w:t>Capability detection was evaluated on the sample used to develop it.</w:t>
      </w:r>
      <w:r>
        <w:t xml:space="preserve"> Fifteen websites, with both the detector and two labels corrected after seeing the results, so the reported agreement is optimistic and a fresh sample is needed before it can be quoted as accuracy.</w:t>
      </w:r>
    </w:p>
    <w:p>
      <w:pPr>
        <w:pStyle w:val="ListBullet"/>
        <w:spacing w:after="80" w:line="312" w:lineRule="auto"/>
        <w:jc w:val="both"/>
      </w:pPr>
      <w:r>
        <w:rPr>
          <w:b/>
        </w:rPr>
        <w:t>The action vocabulary is authored, not discovered.</w:t>
      </w:r>
      <w:r>
        <w:t xml:space="preserve"> Detection decides which families of action a site can support; it does not invent new ones. A client whose marketing needs an action outside the catalogue must have it added by hand.</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evidence in Chapter 7 makes explicit rather than leaves implied.</w:t>
      </w:r>
    </w:p>
    <w:p>
      <w:r>
        <w:t>A complete, running system was delivered: four research modules behind a FastAPI service over PostgreSQL, a Next.js dashboard, a demonstration e-commerce store carrying a first-party tracking snippet, and an 8,000-customer research audience imported through the same path a live visitor uses. The system is reproducible from a clean checkout, covered by 260 automated tests, and accompanied by eleven experiments that regenerate every table, figure and chapter of the evaluation with one command.</w:t>
      </w:r>
    </w:p>
    <w:p>
      <w:r>
        <w:t>The eleven objectives of Section 1.4.2 were met. What distinguishes the outcome is that meeting them produced several results the team did not expect and would not have chosen.</w:t>
      </w:r>
    </w:p>
    <w:p>
      <w:pPr>
        <w:pStyle w:val="Heading2"/>
      </w:pPr>
      <w:r>
        <w:t>8.2 Principal Findings</w:t>
      </w:r>
    </w:p>
    <w:p>
      <w:r>
        <w:t>Four findings are substantive contributions in their own right.</w:t>
      </w:r>
    </w:p>
    <w:p>
      <w:r>
        <w:rPr>
          <w:b/>
        </w:rPr>
        <w:t>A hybrid method must be measured against its own components.</w:t>
      </w:r>
      <w:r>
        <w:t xml:space="preserve"> The segmentation engine separates conversion by 0.3838; its own rules, alone, reach 0.3837. The clustering contributes nothing to that metric, and the finding is only available because the ablation was run. The hybrid keeps its place in the system on different and defensible grounds — it produces a calibrated confidence from three-way agreement, and the vote is what makes cold start explicit — but the claim that it separates conversion better than a handful of interpretable rules is not supported, and is not made.</w:t>
      </w:r>
    </w:p>
    <w:p>
      <w:r>
        <w:rPr>
          <w:b/>
        </w:rPr>
        <w:t>Accuracy is not what a leak corrupts.</w:t>
      </w:r>
      <w:r>
        <w:t xml:space="preserve"> The confidence model trained with its own target among the inputs was 0.9213 accurate; corrected, it is 0.9200. The difference is 0.0013. But 450 customers emerged at confidence 1.00 with the leak against 3 without it — a 150-fold inflation of certainty. A model whose accuracy is honest while its confidence is not will be trusted in exactly the cases where it should not be, and no test will go red.</w:t>
      </w:r>
    </w:p>
    <w:p>
      <w:r>
        <w:rPr>
          <w:b/>
        </w:rPr>
        <w:t>Attribution models do not merely differ; they disagree enough to reverse a spending decision.</w:t>
      </w:r>
      <w:r>
        <w:t xml:space="preserve"> Across 7,811 converting journeys the widest pair of models disagrees over 68 % of all attributed credit, and 20 % of those journeys have a single touchpoint, where every model agrees by arithmetic rather than by evidence. A company reading only last-touch would conclude that email is responsible for almost everything and cut the acquisition spend that built the audience.</w:t>
      </w:r>
    </w:p>
    <w:p>
      <w:r>
        <w:rPr>
          <w:b/>
        </w:rPr>
        <w:t>A recommender that ranks by predicted response is answering a different question from the one a campaign asks, and a system that does not log propensities cannot discover that for itself.</w:t>
      </w:r>
      <w:r>
        <w:t xml:space="preserve"> On randomised data the response-ranking and uplift-ranking policies share only 56 % of a 30 % budget. Establishing which is better for </w:t>
      </w:r>
      <w:r>
        <w:rPr>
          <w:i/>
        </w:rPr>
        <w:t>this</w:t>
      </w:r>
      <w:r>
        <w:t xml:space="preserve"> system's actions requires this system's own data — so it now records every decision with the probability it was taken under, and explores on purpose. Validation against a known answer shows that without exploration the estimate is biased </w:t>
      </w:r>
      <w:r>
        <w:rPr>
          <w:b/>
        </w:rPr>
        <w:t>upwards</w:t>
      </w:r>
      <w:r>
        <w:t xml:space="preserve"> while its standard diagnostic looks </w:t>
      </w:r>
      <w:r>
        <w:rPr>
          <w:i/>
        </w:rPr>
        <w:t>better</w:t>
      </w:r>
      <w:r>
        <w:t>, not worse. Stability is not correctness.</w:t>
      </w:r>
    </w:p>
    <w:p>
      <w:pPr>
        <w:pStyle w:val="Heading2"/>
      </w:pPr>
      <w:r>
        <w:t>8.3 Methodological Contribution</w:t>
      </w:r>
    </w:p>
    <w:p>
      <w:r>
        <w:t>The project's methodological contribution is of comparable weight to its technical one. Seven defects were found in the team's own research code. Every one inflated a result and none produced an error message. Their correction changed headline figures materially — an engagement R² of 0.99 became −0.168, a confidence column that read 1.00 for 450 customers read it for 3, and a cold-start segment that had silently emptied to zero was restored.</w:t>
      </w:r>
    </w:p>
    <w:p>
      <w:r>
        <w:t>That experience shaped the system's design. Provenance is derived at write time rather than asserted by a caller. The importer preserves measured totals exactly and declares what it reconstructs. Propensity is a mandatory column, not an optional one. Refusal thresholds suppress output the data cannot support. Chapter 7 is generated from the results file, so a figure cannot drift from the number it plots. Each of these is a small engineering decision whose purpose is to make overstating a result structurally difficult rather than merely discouraged.</w:t>
      </w:r>
    </w:p>
    <w:p>
      <w:pPr>
        <w:pStyle w:val="Heading2"/>
      </w:pPr>
      <w:r>
        <w:t>8.4 Limitations</w:t>
      </w:r>
    </w:p>
    <w:p>
      <w:r>
        <w:t>The limitations are stated in full in Section 7.6 and are not minor. The study audience is a real dataset of per-customer totals whose event ordering is reconstructed, so any result resting on timing is a property of that reconstruction. The policy ranking is not stable across how response is modelled. The uplift result comes from a borrowed dataset whose actions are not this system's actions, and its intervals overlap. The capability-detection sample is a development set, not a held-out one, and its accuracy figure is therefore fitted. The engagement corpus contains no usable text signal at all. None of these is concealed, because a framework whose purpose is to help marketers trust their measurements cannot be evaluated by a standard lower than the one it advocates.</w:t>
      </w:r>
    </w:p>
    <w:p>
      <w:pPr>
        <w:pStyle w:val="Heading2"/>
      </w:pPr>
      <w:r>
        <w:t>8.5 Future Work</w:t>
      </w:r>
    </w:p>
    <w:p>
      <w:pPr>
        <w:pStyle w:val="ListNumber"/>
        <w:spacing w:after="80" w:line="312" w:lineRule="auto"/>
        <w:jc w:val="both"/>
      </w:pPr>
      <w:r>
        <w:rPr>
          <w:b/>
        </w:rPr>
        <w:t>Run the loop long enough to close it with real decisions.</w:t>
      </w:r>
      <w:r>
        <w:t xml:space="preserve"> The decision log, the propensity column and the exploration mechanism are built and validated against a known answer. What remains is to accumulate enough live decisions for the estimator to be applied to this system's own policy rather than to a simulated one — a matter of volume, not of design.</w:t>
      </w:r>
    </w:p>
    <w:p>
      <w:pPr>
        <w:pStyle w:val="ListNumber"/>
        <w:spacing w:after="80" w:line="312" w:lineRule="auto"/>
        <w:jc w:val="both"/>
      </w:pPr>
      <w:r>
        <w:rPr>
          <w:b/>
        </w:rPr>
        <w:t>A held-out capability sample.</w:t>
      </w:r>
      <w:r>
        <w:t xml:space="preserve"> Section 7.3.10 reports a fitted accuracy on a development set and says so. A fresh sample of websites never inspected during development would convert a verdict into a generalisation claim.</w:t>
      </w:r>
    </w:p>
    <w:p>
      <w:pPr>
        <w:pStyle w:val="ListNumber"/>
        <w:spacing w:after="80" w:line="312" w:lineRule="auto"/>
        <w:jc w:val="both"/>
      </w:pPr>
      <w:r>
        <w:rPr>
          <w:b/>
        </w:rPr>
        <w:t>Live-audience validation of the predictive models.</w:t>
      </w:r>
      <w:r>
        <w:t xml:space="preserve"> Their ranking transfers to the imported audience; their absolute probabilities do not. Re-fitting on measured journeys would make thresholds, and not only orderings, usable.</w:t>
      </w:r>
    </w:p>
    <w:p>
      <w:pPr>
        <w:pStyle w:val="ListNumber"/>
        <w:spacing w:after="80" w:line="312" w:lineRule="auto"/>
        <w:jc w:val="both"/>
      </w:pPr>
      <w:r>
        <w:rPr>
          <w:b/>
        </w:rPr>
        <w:t>A content corpus with genuine engagement signal.</w:t>
      </w:r>
      <w:r>
        <w:t xml:space="preserve"> The negative engagement result is a property of the dataset, not of the model.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and one tone class has too few examples to be learned or evaluated at all. Active learning over the assets the platform already generates would expand the rare classes.</w:t>
      </w:r>
    </w:p>
    <w:p>
      <w:pPr>
        <w:pStyle w:val="ListNumber"/>
        <w:spacing w:after="80" w:line="312" w:lineRule="auto"/>
        <w:jc w:val="both"/>
      </w:pPr>
      <w:r>
        <w:rPr>
          <w:b/>
        </w:rPr>
        <w:t>Adaptive policy selection.</w:t>
      </w:r>
      <w:r>
        <w:t xml:space="preserve"> With a propensity-logged record in place, a contextual-bandit layer could select the automation policy per segment online, using the exploration budget the system already spends and the operational-complexity measure as an explicit cost term.</w:t>
      </w:r>
    </w:p>
    <w:p>
      <w:pPr>
        <w:pStyle w:val="ListNumber"/>
        <w:spacing w:after="80" w:line="312" w:lineRule="auto"/>
        <w:jc w:val="both"/>
      </w:pPr>
      <w:r>
        <w:rPr>
          <w:b/>
        </w:rPr>
        <w:t>Privacy and regulatory hardening.</w:t>
      </w:r>
      <w:r>
        <w:t xml:space="preserve"> The tracking layer is first-party and honours Do Not Track, but consent management, retention policy and subject-access support would be required for commercial deployment.</w:t>
      </w:r>
    </w:p>
    <w:p>
      <w:r>
        <w:t>The framework as delivered is a research instrument that happens to run as a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w:t>
      </w:r>
      <w:r>
        <w:t>, 2nd ed. New York, NY, USA: Springer, 2009.</w:t>
      </w:r>
    </w:p>
    <w:p>
      <w:r>
        <w:t xml:space="preserve">[18] M. Haverbeke, </w:t>
      </w:r>
      <w:r>
        <w:rPr>
          <w:i/>
        </w:rPr>
        <w:t>Eloquent JavaScript</w:t>
      </w:r>
      <w:r>
        <w:t>, 4th ed. San Francisco, CA, USA: No Starch Press, 2024.</w:t>
      </w:r>
    </w:p>
    <w:p>
      <w:r>
        <w:t xml:space="preserve">[19] D. Herron, </w:t>
      </w:r>
      <w:r>
        <w:rPr>
          <w:i/>
        </w:rPr>
        <w:t>Node.js Web Development</w:t>
      </w:r>
      <w:r>
        <w:t>, 5th ed. Birmingham, UK: Packt Publishing, 2020.</w:t>
      </w:r>
    </w:p>
    <w:p>
      <w:r>
        <w:t xml:space="preserve">[20] S. Holm, “A simple sequentially rejective multiple test procedure,” </w:t>
      </w:r>
      <w:r>
        <w:rPr>
          <w:i/>
        </w:rPr>
        <w:t>Scandinavian Journal of Statistics</w:t>
      </w:r>
      <w:r>
        <w:t>, vol. 6, no. 2, pp. 65–70, 1979.</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Q. McNemar, “Note on the sampling error of the difference between correlated proportions or percentages,” </w:t>
      </w:r>
      <w:r>
        <w:rPr>
          <w:i/>
        </w:rPr>
        <w:t>Psychometrika</w:t>
      </w:r>
      <w:r>
        <w:t>, vol. 12, no. 2, pp. 153–157, 1947.</w:t>
      </w:r>
    </w:p>
    <w:p>
      <w:r>
        <w:t xml:space="preserve">[31] B. Marr and M. Ward, </w:t>
      </w:r>
      <w:r>
        <w:rPr>
          <w:i/>
        </w:rPr>
        <w:t>Artificial Intelligence in Practice</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N. Cliff, “Dominance statistics: Ordinal analyses to answer ordinal questions,” </w:t>
      </w:r>
      <w:r>
        <w:rPr>
          <w:i/>
        </w:rPr>
        <w:t>Psychological Bulletin</w:t>
      </w:r>
      <w:r>
        <w:t>, vol. 114, no. 3, pp. 494–509, 1993.</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N. J. Radcliffe and P. D. Surry, “Real-world uplift modelling with significance-based uplift trees,” </w:t>
      </w:r>
      <w:r>
        <w:rPr>
          <w:i/>
        </w:rPr>
        <w:t>Stochastic Solutions White Paper</w:t>
      </w:r>
      <w:r>
        <w:t>, pp. 1–33, 2011.</w:t>
      </w:r>
    </w:p>
    <w:p>
      <w:r>
        <w:t xml:space="preserve">[40] F. Ricci, L. Rokach, and B. Shapira, Eds., </w:t>
      </w:r>
      <w:r>
        <w:rPr>
          <w:i/>
        </w:rPr>
        <w:t>Recommender Systems Handbook</w:t>
      </w:r>
      <w:r>
        <w:t>, 3rd ed. New York, NY, USA: Springer, 2022.</w:t>
      </w:r>
    </w:p>
    <w:p>
      <w:r>
        <w:t xml:space="preserve">[41] M. Riva, </w:t>
      </w:r>
      <w:r>
        <w:rPr>
          <w:i/>
        </w:rPr>
        <w:t>Real-World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P. Gutierrez and J.-Y. Gérardy, “Causal inference and uplift modelling: A review of the literature,” in </w:t>
      </w:r>
      <w:r>
        <w:rPr>
          <w:i/>
        </w:rPr>
        <w:t>Proc. 3rd Int. Conf. Predictive Applications and APIs (PMLR 67)</w:t>
      </w:r>
      <w:r>
        <w:t>, 2017, pp. 1–13.</w:t>
      </w:r>
    </w:p>
    <w:p>
      <w:r>
        <w:t xml:space="preserve">[52] B. Efron and R. J. Tibshirani, </w:t>
      </w:r>
      <w:r>
        <w:rPr>
          <w:i/>
        </w:rPr>
        <w:t>An Introduction to the Bootstrap</w:t>
      </w:r>
      <w:r>
        <w:t>. New York, NY, USA: Chapman &amp; Hall, 1993.</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2025.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T. Chen and C. Guestrin, “XGBoost: A scalable tree boosting system,” in </w:t>
      </w:r>
      <w:r>
        <w:rPr>
          <w:i/>
        </w:rPr>
        <w:t>Proc. 22nd ACM SIGKDD Int. Conf. Knowledge Discovery and Data Mining</w:t>
      </w:r>
      <w:r>
        <w:t>, 2016, pp. 785–794.</w:t>
      </w:r>
    </w:p>
    <w:p>
      <w:r>
        <w:t>[58] K. Hillstrom, “The MineThatData e-mail analytics and data mining challenge,” MineThatData Blog, 2008. [Online]. Available: https://blog.minethatdata.com</w:t>
      </w:r>
    </w:p>
    <w:p>
      <w:r>
        <w:t xml:space="preserve">[59] D. G. Horvitz and D. J. Thompson, “A generalization of sampling without replacement from a finite universe,” </w:t>
      </w:r>
      <w:r>
        <w:rPr>
          <w:i/>
        </w:rPr>
        <w:t>Journal of the American Statistical Association</w:t>
      </w:r>
      <w:r>
        <w:t>, vol. 47, no. 260, pp. 663–685, 1952.</w:t>
      </w:r>
    </w:p>
    <w:p>
      <w:r>
        <w:t xml:space="preserve">[60] M. Dudík, J. Langford, and L. Li, “Doubly robust policy evaluation and learning,” in </w:t>
      </w:r>
      <w:r>
        <w:rPr>
          <w:i/>
        </w:rPr>
        <w:t>Proc. 28th Int. Conf. Machine Learning (ICML)</w:t>
      </w:r>
      <w:r>
        <w:t>, 2011, pp. 1097–1104.</w:t>
      </w:r>
    </w:p>
    <w:p>
      <w:r>
        <w:t xml:space="preserve">[61] A. Swaminathan and T. Joachims, “The self-normalized estimator for counterfactual learning,” </w:t>
      </w:r>
      <w:r>
        <w:rPr>
          <w:i/>
        </w:rPr>
        <w:t>Advances in Neural Information Processing Systems</w:t>
      </w:r>
      <w:r>
        <w:t>, vol. 28, pp. 3231–3239, 2015.</w:t>
      </w:r>
    </w:p>
    <w:p>
      <w:r>
        <w:t xml:space="preserve">[62] L. Li, W. Chu, J. Langford, and X. Wang, “Unbiased offline evaluation of contextual-bandit-based news article recommendation algorithms,” in </w:t>
      </w:r>
      <w:r>
        <w:rPr>
          <w:i/>
        </w:rPr>
        <w:t>Proc. 4th ACM Int. Conf. Web Search and Data Mining (WSDM)</w:t>
      </w:r>
      <w:r>
        <w:t>, 2011, pp. 297–306.</w:t>
      </w:r>
    </w:p>
    <w:p>
      <w:r>
        <w:t xml:space="preserve">[63] P. J. Rousseeuw, “Silhouettes: A graphical aid to the interpretation and validation of cluster analysis,” </w:t>
      </w:r>
      <w:r>
        <w:rPr>
          <w:i/>
        </w:rPr>
        <w:t>Journal of Computational and Applied Mathematics</w:t>
      </w:r>
      <w:r>
        <w:t>, vol. 20, pp. 53–65, 1987.</w:t>
      </w:r>
    </w:p>
    <w:p>
      <w:r>
        <w:t xml:space="preserve">[64] E. B. Wilson, “Probable inference, the law of succession, and statistical inference,” </w:t>
      </w:r>
      <w:r>
        <w:rPr>
          <w:i/>
        </w:rPr>
        <w:t>Journal of the American Statistical Association</w:t>
      </w:r>
      <w:r>
        <w:t>, vol. 22, no. 158, pp. 209–212, 1927.</w:t>
      </w:r>
    </w:p>
    <w:p>
      <w:r>
        <w:t xml:space="preserve">[65] F. Wilcoxon, “Individual comparisons by ranking methods,” </w:t>
      </w:r>
      <w:r>
        <w:rPr>
          <w:i/>
        </w:rPr>
        <w:t>Biometrics Bulletin</w:t>
      </w:r>
      <w:r>
        <w:t>, vol. 1, no. 6, pp. 80–83, 1945.</w:t>
      </w:r>
    </w:p>
    <w:p>
      <w:r>
        <w:br w:type="page"/>
      </w:r>
    </w:p>
    <w:p>
      <w:pPr>
        <w:pStyle w:val="Heading1"/>
      </w:pPr>
      <w:r>
        <w:t>APPENDIX A — INDIVIDUAL CONTRIBUTION</w:t>
      </w:r>
    </w:p>
    <w:p>
      <w:r>
        <w:t>The project was divided into four research modules, one per team member, with the integration layer, the experimental apparatus and the report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crawler that extracts a site's page copy, headings and product descriptions, and the knowledge-base component that condenses them into the business summary and brand vocabulary used to ground every generated asset. During this work I diagnosed and fixed a character-encoding fault in which the HTTP library defaulted to ISO-8859-1 for `text/html` responses whose headers omitted a charset, corrupting every non-ASCII character in a client's copy before it reached the generator.</w:t>
      </w:r>
    </w:p>
    <w:p>
      <w:r>
        <w:t>I assembled and labelled the campaign-goal and tone corpus and implemented both classifiers as a controlled comparison — TF-IDF with logistic regression against Sentence-BERT embeddings with XGBoost. My most useful methodological contribution here was choosing the right test: with roughly a hundred test rows and two classifiers on one test set, only the disagreements carry information, so exact McNemar is correct where an accuracy comparison is not. The result — p = 1.000 for goal and p = 0.727 for tone — means the two approaches are statistically indistinguishable, and I argued in the report that choosing TF-IDF on cost and interpretability is a stronger claim than pretending it is more accurate. I also found and corrected the corpus filtering defect (D5) that had quartered the usable training data from 527 rows to 114.</w:t>
      </w:r>
    </w:p>
    <w:p>
      <w:r>
        <w:t>I implemented the platform-aware generation engine producing captions, hashtags, calls to action, image prompts and short-video briefs, and fixed the defect (D6) in which the `shorts` platform declared a video visual type but had no visual options defined, so the selector silently returned a static image brief.</w:t>
      </w:r>
    </w:p>
    <w:p>
      <w:r>
        <w:t xml:space="preserve">I designed and built </w:t>
      </w:r>
      <w:r>
        <w:rPr>
          <w:b/>
        </w:rPr>
        <w:t>capability detection</w:t>
      </w:r>
      <w:r>
        <w:t xml:space="preserve">, which I consider my strongest contribution. Reading a site to determine what it can actually do — sell, take subscriptions, capture leads, accept donations — stops the system recommending an action the client cannot perform. Evaluating it against hand labels on fifteen real websites taught me more than the accuracy figure did: two of the four initial disagreements were faults in my </w:t>
      </w:r>
      <w:r>
        <w:rPr>
          <w:i/>
        </w:rPr>
        <w:t>labels</w:t>
      </w:r>
      <w:r>
        <w:t>, not my detector, because a charity that sells merchandise has both donation and commerce and a publisher running a store has commerce as well as content. Modelling capabilities as independent flags rather than as a site category is what let the detector be right where the label was wrong. I also insisted the report state plainly that this sample is a development set and its figure is therefore fitted.</w:t>
      </w:r>
    </w:p>
    <w:p>
      <w:r>
        <w:t>Finally, I built the three-component scoring framework. The most consequential piece of this work was negative: I discovered the engagement regressor had been trained with the outcome components from which its target was derived still among its features (D4). Adding a leakage guard moved R² from 0.9901 to −0.168. I then tested all eight text features for correlation with engagement under Holm–Bonferroni correction and found that none survives, establishing that the absence of signal is a property of the dataset rather than a modelling failure. I reduced the component's weight from 0.45 to 0.20 accordingly and made the model's own verdict visible in the interface rather than deleting the result. I also diagnosed the macOS OpenMP conflict between XGBoost and PyTorch that terminated training runs and API workers with no traceback.</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pipeline described in Table 12: funnel construction and drop-off analysis disaggregated by stage, segment and policy; the journey-level feature builder; the conversion and drop-off models with bootstrap intervals against a stratified baseline; SHAP explanations; probability calibration; and the recommendation generator.</w:t>
      </w:r>
    </w:p>
    <w:p>
      <w:r>
        <w:t xml:space="preserve">I implemented four attribution models and, more importantly, the method for evaluating them. Because the simulator generates journeys from known per-channel influence, the true credit is available and each model can be scored by mean absolute error against it — a comparison observational data cannot support. On the imported audience, where no ground truth exists, I report </w:t>
      </w:r>
      <w:r>
        <w:rPr>
          <w:b/>
        </w:rPr>
        <w:t>disagreement</w:t>
      </w:r>
      <w:r>
        <w:t xml:space="preserve"> instead of accuracy, which produced what I regard as the clearest single argument in the project against trusting one attribution model: across 7,811 converting journeys the widest pair disagrees over 68 % of all attributed credit. I also insisted on reporting that 20 % of those journeys have a single touchpoint, where the models agree by arithmetic rather than by evidence.</w:t>
      </w:r>
    </w:p>
    <w:p>
      <w:r>
        <w:t xml:space="preserve">The work I am most glad we did came from a question I could not answer at the interim review: whether ranking customers by predicted conversion is the right thing to rank by. It is not. A customer who would have converted anyway improves a response model's accuracy while contributing nothing to the campaign. Because uplift is identifiable only where assignment was randomised — and nothing in our own audience was randomised — I built the comparison on Hillstrom's randomised dataset, fitting S-learner and T-learner uplift models against the predicted-response policy the system was actually using. The two policies share only 56 % of their chosen customers at a 30 % budget. I also wrote the caveat that matters: the Qini intervals overlap and the second uplift learner does </w:t>
      </w:r>
      <w:r>
        <w:rPr>
          <w:i/>
        </w:rPr>
        <w:t>worse</w:t>
      </w:r>
      <w:r>
        <w:t xml:space="preserve"> than the current policy, so “use uplift modelling” is not a conclusion on its own.</w:t>
      </w:r>
    </w:p>
    <w:p>
      <w:r>
        <w:t xml:space="preserve">That finding created the next problem — no borrowed dataset can answer the question for </w:t>
      </w:r>
      <w:r>
        <w:rPr>
          <w:i/>
        </w:rPr>
        <w:t>our</w:t>
      </w:r>
      <w:r>
        <w:t xml:space="preserve"> actions — and the answer is the contribution I would defend first. I designed the propensity-logged decision record: an append-only log holding every decision, the probability it was taken under, and what followed, with ten per cent of decisions randomised on purpose because a deterministic policy assigns probability zero to every action it does not take. I validated the estimators against a known answer in simulation and established the result I did not anticipate: without exploration the estimate is biased </w:t>
      </w:r>
      <w:r>
        <w:rPr>
          <w:b/>
        </w:rPr>
        <w:t>upwards</w:t>
      </w:r>
      <w:r>
        <w:t xml:space="preserve">, and the deterministic log looks </w:t>
      </w:r>
      <w:r>
        <w:rPr>
          <w:i/>
        </w:rPr>
        <w:t>more</w:t>
      </w:r>
      <w:r>
        <w:t xml:space="preserve"> trustworthy by effective sample size — 1,094 against 107 — because every weight is 0 or 1. The standard diagnostic points the wrong way. I also measured what exploration costs (about 7.5 % of achievable reward at a 10 % rate) and showed that token exploration at 1 % is worse than none.</w:t>
      </w:r>
    </w:p>
    <w:p>
      <w:r>
        <w:t>Beyond my module I built the shared research infrastructure: the eleven-experiment runner, the statistics layer (percentile and paired bootstrap, Wilcoxon signed-rank, exact McNemar, Wilson intervals, Cliff's delta), the figure generator that draws every chart from the experiment tables, and the chapter generator that authors the evaluation prose once and interpolates the measured values — so that no number in Chapter 7 is copied by hand and no figure can disagree with the value it plots. I found and fixed a reproducibility defect (D7) in which iterating an unordered set made a reported R² depend on the process hash seed. I contributed the shared database schema, the analytics and decision routes, the dashboard's analytics page, and the principle that provenance must be derived at write time rather than asserted by the caller. I compiled and wrote this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every other module consumes. I prepared and preprocessed the 8,000-customer dataset — missing-value handling, categorical encoding, feature scaling and the derived behavioural features — and established the five-segment taxonomy shared across the system.</w:t>
      </w:r>
    </w:p>
    <w:p>
      <w:r>
        <w:t>I implemented all three methods as peers over a common feature matrix: a rule-based segmenter, k-means, and Ward-linkage agglomerative clustering. I then designed the agreement vote that combines them and produces the calibrated confidence, and — at my supervisors' prompting — ran the ablation that compares the hybrid against each of its own components on the same customers.</w:t>
      </w:r>
    </w:p>
    <w:p>
      <w:r>
        <w:t xml:space="preserve">That ablation produced the result I found hardest to accept and am now most convinced was worth reporting. </w:t>
      </w:r>
      <w:r>
        <w:rPr>
          <w:b/>
        </w:rPr>
        <w:t>The hybrid does not separate conversion better than the rules alone</w:t>
      </w:r>
      <w:r>
        <w:t xml:space="preserve"> — 0.3838 against 0.3837, a difference well inside the bootstrap interval. Clustering on its own reaches 0.0343. My first instinct was to look for a better metric; the right response was to report the number and re-examine what the hybrid is actually for. It earns its place by producing a confidence calibrated from three-way agreement and by making cold start explicit — not by separating conversion further. I also report the silhouette of 0.087 and the fact that all three methods disagree for 35 % of customers, because a study quoting only the separation would hide how heavily the clusters overlap.</w:t>
      </w:r>
    </w:p>
    <w:p>
      <w:r>
        <w:t>I found and corrected two defects in my own module. The first (D1) was that the confidence classifier had been trained with the rule label among its inputs while the target was the hybrid consensus, so it was largely reading off its own answer. Reproducing both versions on the same split showed something I did not expect: accuracy barely moved, from 0.9213 to 0.9200, while the number of customers emerging at confidence 1.00 fell from 450 to 3. Accuracy is not what the leak corrupts — the confidence attached to every downstream decision is — and that is exactly why it survived review with every test green.</w:t>
      </w:r>
    </w:p>
    <w:p>
      <w:r>
        <w:t xml:space="preserve">The second (D2) was more serious. My agreement vote tested whether the two clusterings agreed </w:t>
      </w:r>
      <w:r>
        <w:rPr>
          <w:i/>
        </w:rPr>
        <w:t>before</w:t>
      </w:r>
      <w:r>
        <w:t xml:space="preserve"> it tested whether the rules had identified a cold-start customer. Clustering cannot represent “there is not enough evidence about this person”; it must place everyone somewhere. So whenever the two clusterings happened to agree, they overruled the rules. Of the 163 cold-start customers the rules detect, that ordering kept 127 — and on the live audience the segment went to zero. My module's novel contribution was being erased by its own pipeline. I reordered the vote so cold start is resolved immediately after unanimity and added a regression test. The general principle I would defend in a viva is that </w:t>
      </w:r>
      <w:r>
        <w:rPr>
          <w:b/>
        </w:rPr>
        <w:t>a method that cannot represent a finding does not get a vote on it.</w:t>
      </w:r>
    </w:p>
    <w:p>
      <w:r>
        <w:t>I also replaced hardcoded cluster-index naming (D3) with names derived from centroids at run time, implemented the minimum-audience rule under which the engine declines to cluster and states why, and built the second feature domain so that live tracked visitors are segmented on page views, scroll depth and session features rather than on email history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module, which consumes segments from Module 1 and produces the interaction log Module 3 analyses. I designed it as a controlled experiment rather than as a single implementation: the policy engine is the only component that differs between the three arms, while the profile builder, response model, message templates, response simulator and evaluator are shared, so that any measured difference is attributable to the policy alone.</w:t>
      </w:r>
    </w:p>
    <w:p>
      <w:r>
        <w:t>I implemented all three policies — fixed workflow, trigger-based and hybrid — behind a common interface, together with the message template library and the response simulation layer, whose per-segment propensities I calibrated against the dataset's own conversion rates. During early integration I built a mock segmentation file with the agreed schema so my module could be developed in parallel with Module 1 and later swapped to the real output without changing the automation logic.</w:t>
      </w:r>
    </w:p>
    <w:p>
      <w:r>
        <w:t xml:space="preserve">I made two methodological decisions I would defend. The first was the metric: </w:t>
      </w:r>
      <w:r>
        <w:rPr>
          <w:b/>
        </w:rPr>
        <w:t>conversions per thousand sends</w:t>
      </w:r>
      <w:r>
        <w:t>, not per-customer conversion rate. A per-user rate rises simply by sending more messages, which would hand the win to the fixed workflow for sending most rather than for sending best — and the message volumes differ sharply (4.00 messages per customer for fixed against 1.32 for trigger). I report both, so the choice of metric is visible to the reader rather than decisive in the background. The second was the experimental design: thirty independent seeds, each putting the same 8,000 customers through all three policies, which makes the comparison paired and means paired tests and effect sizes are the correct analysis.</w:t>
      </w:r>
    </w:p>
    <w:p>
      <w:r>
        <w:t>I also fitted a stratified dummy classifier alongside the real response models and published it in the same table, because the dataset's base rate is high enough that a model can look accurate by predicting the majority class for everyone. And I designed the operational complexity measure — the count of distinct decision rules and branch points each policy requires — because effectiveness alone is not a sufficient basis for an engineering choice. The trigger policy leads the fixed workflow by 3.3 conversions per thousand sends for three extra rules, which is the trade the report argues explicitly rather than assumes.</w:t>
      </w:r>
    </w:p>
    <w:p>
      <w:r>
        <w:t xml:space="preserve">The finding I did not expect is the one I insisted we keep. When the same three policies were run against the imported audience in the live system, the ranking </w:t>
      </w:r>
      <w:r>
        <w:rPr>
          <w:b/>
        </w:rPr>
        <w:t>changed</w:t>
      </w:r>
      <w:r>
        <w:t>: the simulator favours trigger, the live build favours hybrid. Both measurements are volume-controlled, so the difference lies in how response is modelled — segment-level propensities against per-customer rates drawn from each customer's own recorded email history. Neither is an observation of real people reacting. Quoting whichever run supported the conclusion we preferred would have been the one genuinely dishonest option available to us, so the report presents the instability itself as the result. I also contributed the campaign execution and action-plan routes, the tracked-link mechanism, and the campaigns page of the dashboard.</w:t>
      </w:r>
    </w:p>
    <w:p>
      <w:r>
        <w:br w:type="page"/>
      </w:r>
    </w:p>
    <w:p>
      <w:pPr>
        <w:pStyle w:val="Heading1"/>
      </w:pPr>
      <w:r>
        <w:t>APPENDIX B — ADDITIONAL IMPLEMENTATION DETAILS</w:t>
      </w:r>
    </w:p>
    <w:p>
      <w:pPr>
        <w:pStyle w:val="Heading2"/>
      </w:pPr>
      <w:r>
        <w:t>B.1 Reproducing the System and the Results</w:t>
      </w:r>
    </w:p>
    <w:p>
      <w:r>
        <w:t>The system and every number in Chapter 7 are reproducible from a clean checkout. The following commands provision dependencies, start the database and services, serve the demonstration store, import the research audience and regenerate the entire evaluation.</w:t>
      </w:r>
    </w:p>
    <w:p>
      <w:pPr>
        <w:pStyle w:val="CodeBlock"/>
        <w:spacing w:before="0" w:after="0"/>
      </w:pPr>
      <w:r>
        <w:t>make setup      # once — Python, Node, browser, environment file</w:t>
      </w:r>
    </w:p>
    <w:p>
      <w:pPr>
        <w:pStyle w:val="CodeBlock"/>
        <w:spacing w:before="0" w:after="0"/>
      </w:pPr>
      <w:r>
        <w:t>make db         # PostgreSQL 16 — Homebrew service, else Docker</w:t>
      </w:r>
    </w:p>
    <w:p>
      <w:pPr>
        <w:pStyle w:val="CodeBlock"/>
        <w:spacing w:before="0" w:after="0"/>
      </w:pPr>
      <w:r>
        <w:t>make db-create  # once, on the Homebrew path — role and database</w:t>
      </w:r>
    </w:p>
    <w:p>
      <w:pPr>
        <w:pStyle w:val="CodeBlock"/>
        <w:spacing w:before="0" w:after="0"/>
      </w:pPr>
      <w:r>
        <w:t xml:space="preserve"> </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demonstration store      (terminal 4)</w:t>
      </w:r>
    </w:p>
    <w:p>
      <w:pPr>
        <w:pStyle w:val="CodeBlock"/>
        <w:spacing w:before="0" w:after="0"/>
      </w:pPr>
      <w:r>
        <w:t xml:space="preserve"> </w:t>
      </w:r>
    </w:p>
    <w:p>
      <w:pPr>
        <w:pStyle w:val="CodeBlock"/>
        <w:spacing w:before="0" w:after="0"/>
      </w:pPr>
      <w:r>
        <w:t>make demo       # import 8,000 customers, run every module</w:t>
      </w:r>
    </w:p>
    <w:p>
      <w:pPr>
        <w:pStyle w:val="CodeBlock"/>
        <w:spacing w:before="0" w:after="0"/>
      </w:pPr>
      <w:r>
        <w:t>make research   # run all 11 experiments, redraw every figure,</w:t>
      </w:r>
    </w:p>
    <w:p>
      <w:pPr>
        <w:pStyle w:val="CodeBlock"/>
        <w:spacing w:before="0" w:after="0"/>
      </w:pPr>
      <w:r>
        <w:t xml:space="preserve">                # regenerate Chapter 7</w:t>
      </w:r>
    </w:p>
    <w:p>
      <w:pPr>
        <w:pStyle w:val="CodeBlock"/>
        <w:spacing w:before="0" w:after="0"/>
      </w:pPr>
      <w:r>
        <w:t>make test       # the full test suite</w:t>
      </w:r>
    </w:p>
    <w:p>
      <w:pPr>
        <w:spacing w:after="160"/>
      </w:pPr>
    </w:p>
    <w:p>
      <w:pPr>
        <w:pStyle w:val="TableCaption"/>
      </w:pPr>
      <w:r>
        <w:rPr>
          <w:b w:val="0"/>
          <w:i w:val="0"/>
        </w:rPr>
        <w:t>Table 33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 7 pages plus authentication</w:t>
            </w:r>
          </w:p>
        </w:tc>
      </w:tr>
      <w:tr>
        <w:tc>
          <w:tcPr>
            <w:tcW w:type="dxa" w:w="2890"/>
          </w:tcPr>
          <w:p>
            <w:pPr>
              <w:spacing w:after="40" w:line="240" w:lineRule="auto"/>
              <w:jc w:val="left"/>
            </w:pPr>
            <w:r/>
            <w:r>
              <w:rPr>
                <w:b w:val="0"/>
                <w:sz w:val="20"/>
              </w:rPr>
              <w:t>Demonstration store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The e-commerce site under study,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on a non-default port to avoid collisions</w:t>
            </w:r>
          </w:p>
        </w:tc>
      </w:tr>
    </w:tbl>
    <w:p>
      <w:pPr>
        <w:spacing w:after="120"/>
      </w:pPr>
    </w:p>
    <w:p>
      <w:pPr>
        <w:pStyle w:val="Heading2"/>
      </w:pPr>
      <w:r>
        <w:t>B.2 Repository Structure</w:t>
      </w:r>
    </w:p>
    <w:p>
      <w:pPr>
        <w:pStyle w:val="CodeBlock"/>
        <w:spacing w:before="0" w:after="0"/>
      </w:pPr>
      <w:r>
        <w:t>web/              Next.js dashboard (7 pages + auth + onboarding)</w:t>
      </w:r>
    </w:p>
    <w:p>
      <w:pPr>
        <w:pStyle w:val="CodeBlock"/>
        <w:spacing w:before="0" w:after="0"/>
      </w:pPr>
      <w:r>
        <w:t>api/              FastAPI backend</w:t>
      </w:r>
    </w:p>
    <w:p>
      <w:pPr>
        <w:pStyle w:val="CodeBlock"/>
        <w:spacing w:before="0" w:after="0"/>
      </w:pPr>
      <w:r>
        <w:t xml:space="preserve">  routers/        sites, segments, campaigns, analytics, content,</w:t>
      </w:r>
    </w:p>
    <w:p>
      <w:pPr>
        <w:pStyle w:val="CodeBlock"/>
        <w:spacing w:before="0" w:after="0"/>
      </w:pPr>
      <w:r>
        <w:t xml:space="preserve">                  actions, decisions, tracking, auth</w:t>
      </w:r>
    </w:p>
    <w:p>
      <w:pPr>
        <w:pStyle w:val="CodeBlock"/>
        <w:spacing w:before="0" w:after="0"/>
      </w:pPr>
      <w:r>
        <w:t xml:space="preserve">  services/       module wrappers, decision log, provenance</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the hybrid engine</w:t>
      </w:r>
    </w:p>
    <w:p>
      <w:pPr>
        <w:pStyle w:val="CodeBlock"/>
        <w:spacing w:before="0" w:after="0"/>
      </w:pPr>
      <w:r>
        <w:t xml:space="preserve">  m2_automation/    policy engine, simulator, evaluation</w:t>
      </w:r>
    </w:p>
    <w:p>
      <w:pPr>
        <w:pStyle w:val="CodeBlock"/>
        <w:spacing w:before="0" w:after="0"/>
      </w:pPr>
      <w:r>
        <w:t xml:space="preserve">  m3_analytics/     funnel, attribution, prediction, recommender</w:t>
      </w:r>
    </w:p>
    <w:p>
      <w:pPr>
        <w:pStyle w:val="CodeBlock"/>
        <w:spacing w:before="0" w:after="0"/>
      </w:pPr>
      <w:r>
        <w:t>research/</w:t>
      </w:r>
    </w:p>
    <w:p>
      <w:pPr>
        <w:pStyle w:val="CodeBlock"/>
        <w:spacing w:before="0" w:after="0"/>
      </w:pPr>
      <w:r>
        <w:t xml:space="preserve">  experiments/    E1 … E11</w:t>
      </w:r>
    </w:p>
    <w:p>
      <w:pPr>
        <w:pStyle w:val="CodeBlock"/>
        <w:spacing w:before="0" w:after="0"/>
      </w:pPr>
      <w:r>
        <w:t xml:space="preserve">  stats.py        bootstrap, Wilcoxon, McNemar, Wilson, Cliff's d</w:t>
      </w:r>
    </w:p>
    <w:p>
      <w:pPr>
        <w:pStyle w:val="CodeBlock"/>
        <w:spacing w:before="0" w:after="0"/>
      </w:pPr>
      <w:r>
        <w:t xml:space="preserve">  figures.py      every figure in Chapter 7</w:t>
      </w:r>
    </w:p>
    <w:p>
      <w:pPr>
        <w:pStyle w:val="CodeBlock"/>
        <w:spacing w:before="0" w:after="0"/>
      </w:pPr>
      <w:r>
        <w:t xml:space="preserve">  chapters.py     the prose, authored once</w:t>
      </w:r>
    </w:p>
    <w:p>
      <w:pPr>
        <w:pStyle w:val="CodeBlock"/>
        <w:spacing w:before="0" w:after="0"/>
      </w:pPr>
      <w:r>
        <w:t xml:space="preserve">  results/        results.json and every experiment table</w:t>
      </w:r>
    </w:p>
    <w:p>
      <w:pPr>
        <w:pStyle w:val="CodeBlock"/>
        <w:spacing w:before="0" w:after="0"/>
      </w:pPr>
      <w:r>
        <w:t>demo-site/        the e-commerce store under study</w:t>
      </w:r>
    </w:p>
    <w:p>
      <w:pPr>
        <w:pStyle w:val="CodeBlock"/>
        <w:spacing w:before="0" w:after="0"/>
      </w:pPr>
      <w:r>
        <w:t>scripts/          setup, dataset import, model training</w:t>
      </w:r>
    </w:p>
    <w:p>
      <w:pPr>
        <w:pStyle w:val="CodeBlock"/>
        <w:spacing w:before="0" w:after="0"/>
      </w:pPr>
      <w:r>
        <w:t>tests/            the platform test suite</w:t>
      </w:r>
    </w:p>
    <w:p>
      <w:pPr>
        <w:pStyle w:val="CodeBlock"/>
        <w:spacing w:before="0" w:after="0"/>
      </w:pPr>
      <w:r>
        <w:t>report/</w:t>
      </w:r>
    </w:p>
    <w:p>
      <w:pPr>
        <w:pStyle w:val="CodeBlock"/>
        <w:spacing w:before="0" w:after="0"/>
      </w:pPr>
      <w:r>
        <w:t xml:space="preserve">  build/          the .docx builder and chapter content</w:t>
      </w:r>
    </w:p>
    <w:p>
      <w:pPr>
        <w:pStyle w:val="CodeBlock"/>
        <w:spacing w:before="0" w:after="0"/>
      </w:pPr>
      <w:r>
        <w:t xml:space="preserve">  assets/         architecture figures and screenshots</w:t>
      </w:r>
    </w:p>
    <w:p>
      <w:pPr>
        <w:spacing w:after="160"/>
      </w:pPr>
    </w:p>
    <w:p>
      <w:pPr>
        <w:pStyle w:val="Heading2"/>
      </w:pPr>
      <w:r>
        <w:t>B.3 The Experiment Catalogue</w:t>
      </w:r>
    </w:p>
    <w:p>
      <w:r>
        <w:t>Each experiment is independently runnable and writes its own tables to `research/results/`. The complete catalogue is listed below; the results themselves are in Chapter 7.</w:t>
      </w:r>
    </w:p>
    <w:p>
      <w:pPr>
        <w:pStyle w:val="TableCaption"/>
      </w:pPr>
      <w:r>
        <w:rPr>
          <w:b w:val="0"/>
          <w:i w:val="0"/>
        </w:rPr>
        <w:t>Table 34 — The eleven experiments and the data each uses.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paired seeds + live build</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+ 7,811 live journeys</w:t>
            </w:r>
          </w:p>
        </w:tc>
        <w:tc>
          <w:tcPr>
            <w:tcW w:type="dxa" w:w="2167"/>
          </w:tcPr>
          <w:p>
            <w:pPr>
              <w:spacing w:after="40" w:line="240" w:lineRule="auto"/>
              <w:jc w:val="center"/>
            </w:pPr>
            <w:r/>
            <w:r>
              <w:rPr>
                <w:b w:val="0"/>
                <w:sz w:val="20"/>
              </w:rPr>
              <w:t>MAE vs ground truth; pairwise disagreement</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imported audience</w:t>
            </w:r>
          </w:p>
        </w:tc>
        <w:tc>
          <w:tcPr>
            <w:tcW w:type="dxa" w:w="2167"/>
          </w:tcPr>
          <w:p>
            <w:pPr>
              <w:spacing w:after="40" w:line="240" w:lineRule="auto"/>
              <w:jc w:val="center"/>
            </w:pPr>
            <w:r/>
            <w:r>
              <w:rPr>
                <w:b w:val="0"/>
                <w:sz w:val="20"/>
              </w:rPr>
              <w:t>ROC-AUC against a stratified baseline</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exact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r>
        <w:tc>
          <w:tcPr>
            <w:tcW w:type="dxa" w:w="2167"/>
          </w:tcPr>
          <w:p>
            <w:pPr>
              <w:spacing w:after="40" w:line="240" w:lineRule="auto"/>
              <w:jc w:val="left"/>
            </w:pPr>
            <w:r/>
            <w:r>
              <w:rPr>
                <w:b w:val="0"/>
                <w:sz w:val="20"/>
              </w:rPr>
              <w:t>E9</w:t>
            </w:r>
          </w:p>
        </w:tc>
        <w:tc>
          <w:tcPr>
            <w:tcW w:type="dxa" w:w="2167"/>
          </w:tcPr>
          <w:p>
            <w:pPr>
              <w:spacing w:after="40" w:line="240" w:lineRule="auto"/>
              <w:jc w:val="center"/>
            </w:pPr>
            <w:r/>
            <w:r>
              <w:rPr>
                <w:b w:val="0"/>
                <w:sz w:val="20"/>
              </w:rPr>
              <w:t>Does the decision log make the policy learnable?</w:t>
            </w:r>
          </w:p>
        </w:tc>
        <w:tc>
          <w:tcPr>
            <w:tcW w:type="dxa" w:w="2167"/>
          </w:tcPr>
          <w:p>
            <w:pPr>
              <w:spacing w:after="40" w:line="240" w:lineRule="auto"/>
              <w:jc w:val="center"/>
            </w:pPr>
            <w:r/>
            <w:r>
              <w:rPr>
                <w:b w:val="0"/>
                <w:sz w:val="20"/>
              </w:rPr>
              <w:t>Simulated world with known rewards</w:t>
            </w:r>
          </w:p>
        </w:tc>
        <w:tc>
          <w:tcPr>
            <w:tcW w:type="dxa" w:w="2167"/>
          </w:tcPr>
          <w:p>
            <w:pPr>
              <w:spacing w:after="40" w:line="240" w:lineRule="auto"/>
              <w:jc w:val="center"/>
            </w:pPr>
            <w:r/>
            <w:r>
              <w:rPr>
                <w:b w:val="0"/>
                <w:sz w:val="20"/>
              </w:rPr>
              <w:t>Estimator bias, RMSE, effective sample size</w:t>
            </w:r>
          </w:p>
        </w:tc>
      </w:tr>
      <w:tr>
        <w:tc>
          <w:tcPr>
            <w:tcW w:type="dxa" w:w="2167"/>
          </w:tcPr>
          <w:p>
            <w:pPr>
              <w:spacing w:after="40" w:line="240" w:lineRule="auto"/>
              <w:jc w:val="left"/>
            </w:pPr>
            <w:r/>
            <w:r>
              <w:rPr>
                <w:b w:val="0"/>
                <w:sz w:val="20"/>
              </w:rPr>
              <w:t>E10</w:t>
            </w:r>
          </w:p>
        </w:tc>
        <w:tc>
          <w:tcPr>
            <w:tcW w:type="dxa" w:w="2167"/>
          </w:tcPr>
          <w:p>
            <w:pPr>
              <w:spacing w:after="40" w:line="240" w:lineRule="auto"/>
              <w:jc w:val="center"/>
            </w:pPr>
            <w:r/>
            <w:r>
              <w:rPr>
                <w:b w:val="0"/>
                <w:sz w:val="20"/>
              </w:rPr>
              <w:t>Can the system read what a website can do?</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Agreement, precision, recall (Wilson)</w:t>
            </w:r>
          </w:p>
        </w:tc>
      </w:tr>
      <w:tr>
        <w:tc>
          <w:tcPr>
            <w:tcW w:type="dxa" w:w="2167"/>
          </w:tcPr>
          <w:p>
            <w:pPr>
              <w:spacing w:after="40" w:line="240" w:lineRule="auto"/>
              <w:jc w:val="left"/>
            </w:pPr>
            <w:r/>
            <w:r>
              <w:rPr>
                <w:b w:val="0"/>
                <w:sz w:val="20"/>
              </w:rPr>
              <w:t>E11</w:t>
            </w:r>
          </w:p>
        </w:tc>
        <w:tc>
          <w:tcPr>
            <w:tcW w:type="dxa" w:w="2167"/>
          </w:tcPr>
          <w:p>
            <w:pPr>
              <w:spacing w:after="40" w:line="240" w:lineRule="auto"/>
              <w:jc w:val="center"/>
            </w:pPr>
            <w:r/>
            <w:r>
              <w:rPr>
                <w:b w:val="0"/>
                <w:sz w:val="20"/>
              </w:rPr>
              <w:t>What a per-website action set costs in data</w:t>
            </w:r>
          </w:p>
        </w:tc>
        <w:tc>
          <w:tcPr>
            <w:tcW w:type="dxa" w:w="2167"/>
          </w:tcPr>
          <w:p>
            <w:pPr>
              <w:spacing w:after="40" w:line="240" w:lineRule="auto"/>
              <w:jc w:val="center"/>
            </w:pPr>
            <w:r/>
            <w:r>
              <w:rPr>
                <w:b w:val="0"/>
                <w:sz w:val="20"/>
              </w:rPr>
              <w:t>Simulated world with known rewards</w:t>
            </w:r>
          </w:p>
        </w:tc>
        <w:tc>
          <w:tcPr>
            <w:tcW w:type="dxa" w:w="2167"/>
          </w:tcPr>
          <w:p>
            <w:pPr>
              <w:spacing w:after="40" w:line="240" w:lineRule="auto"/>
              <w:jc w:val="center"/>
            </w:pPr>
            <w:r/>
            <w:r>
              <w:rPr>
                <w:b w:val="0"/>
                <w:sz w:val="20"/>
              </w:rPr>
              <w:t>RMSE, logged decisions required</w:t>
            </w:r>
          </w:p>
        </w:tc>
      </w:tr>
    </w:tbl>
    <w:p>
      <w:pPr>
        <w:spacing w:after="120"/>
      </w:pPr>
    </w:p>
    <w:p>
      <w:pPr>
        <w:pStyle w:val="Heading2"/>
      </w:pPr>
      <w:r>
        <w:t>B.4 Statistical Methods</w:t>
      </w:r>
    </w:p>
    <w:p>
      <w:r>
        <w:t>Every interval and every test in Chapter 7 comes from `research/stats.py`. Each method was chosen because it makes the fewest assumptions the data can violate.</w:t>
      </w:r>
    </w:p>
    <w:p>
      <w:pPr>
        <w:pStyle w:val="TableCaption"/>
      </w:pPr>
      <w:r>
        <w:rPr>
          <w:b w:val="0"/>
          <w:i w:val="0"/>
        </w:rPr>
        <w:t>Table 35 — Statistical methods, and why each was chosen.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Method</w:t>
            </w:r>
          </w:p>
        </w:tc>
        <w:tc>
          <w:tcPr>
            <w:tcW w:type="dxa" w:w="2890"/>
            <w:shd w:val="clear" w:color="auto" w:fill="E8EEF6"/>
          </w:tcPr>
          <w:p>
            <w:pPr>
              <w:spacing w:after="40" w:line="240" w:lineRule="auto"/>
              <w:jc w:val="center"/>
            </w:pPr>
            <w:r/>
            <w:r>
              <w:rPr>
                <w:b/>
                <w:sz w:val="20"/>
              </w:rPr>
              <w:t>Applied to</w:t>
            </w:r>
          </w:p>
        </w:tc>
        <w:tc>
          <w:tcPr>
            <w:tcW w:type="dxa" w:w="2890"/>
            <w:shd w:val="clear" w:color="auto" w:fill="E8EEF6"/>
          </w:tcPr>
          <w:p>
            <w:pPr>
              <w:spacing w:after="40" w:line="240" w:lineRule="auto"/>
              <w:jc w:val="center"/>
            </w:pPr>
            <w:r/>
            <w:r>
              <w:rPr>
                <w:b/>
                <w:sz w:val="20"/>
              </w:rPr>
              <w:t>Why this one</w:t>
            </w:r>
          </w:p>
        </w:tc>
      </w:tr>
      <w:tr>
        <w:tc>
          <w:tcPr>
            <w:tcW w:type="dxa" w:w="2890"/>
          </w:tcPr>
          <w:p>
            <w:pPr>
              <w:spacing w:after="40" w:line="240" w:lineRule="auto"/>
              <w:jc w:val="left"/>
            </w:pPr>
            <w:r/>
            <w:r>
              <w:rPr>
                <w:b w:val="0"/>
                <w:sz w:val="20"/>
              </w:rPr>
              <w:t>Percentile bootstrap, 10,000 resamples [52]</w:t>
            </w:r>
          </w:p>
        </w:tc>
        <w:tc>
          <w:tcPr>
            <w:tcW w:type="dxa" w:w="2890"/>
          </w:tcPr>
          <w:p>
            <w:pPr>
              <w:spacing w:after="40" w:line="240" w:lineRule="auto"/>
              <w:jc w:val="center"/>
            </w:pPr>
            <w:r/>
            <w:r>
              <w:rPr>
                <w:b w:val="0"/>
                <w:sz w:val="20"/>
              </w:rPr>
              <w:t>Separation, silhouette, macro-F1, MAE, Qini</w:t>
            </w:r>
          </w:p>
        </w:tc>
        <w:tc>
          <w:tcPr>
            <w:tcW w:type="dxa" w:w="2890"/>
          </w:tcPr>
          <w:p>
            <w:pPr>
              <w:spacing w:after="40" w:line="240" w:lineRule="auto"/>
              <w:jc w:val="center"/>
            </w:pPr>
            <w:r/>
            <w:r>
              <w:rPr>
                <w:b w:val="0"/>
                <w:sz w:val="20"/>
              </w:rPr>
              <w:t>These are not means and have no closed-form standard error; resampling makes no distributional claim</w:t>
            </w:r>
          </w:p>
        </w:tc>
      </w:tr>
      <w:tr>
        <w:tc>
          <w:tcPr>
            <w:tcW w:type="dxa" w:w="2890"/>
          </w:tcPr>
          <w:p>
            <w:pPr>
              <w:spacing w:after="40" w:line="240" w:lineRule="auto"/>
              <w:jc w:val="left"/>
            </w:pPr>
            <w:r/>
            <w:r>
              <w:rPr>
                <w:b w:val="0"/>
                <w:sz w:val="20"/>
              </w:rPr>
              <w:t>Paired bootstrap and Wilcoxon signed-rank [65]</w:t>
            </w:r>
          </w:p>
        </w:tc>
        <w:tc>
          <w:tcPr>
            <w:tcW w:type="dxa" w:w="2890"/>
          </w:tcPr>
          <w:p>
            <w:pPr>
              <w:spacing w:after="40" w:line="240" w:lineRule="auto"/>
              <w:jc w:val="center"/>
            </w:pPr>
            <w:r/>
            <w:r>
              <w:rPr>
                <w:b w:val="0"/>
                <w:sz w:val="20"/>
              </w:rPr>
              <w:t>The three-policy comparison over 30 seeds</w:t>
            </w:r>
          </w:p>
        </w:tc>
        <w:tc>
          <w:tcPr>
            <w:tcW w:type="dxa" w:w="2890"/>
          </w:tcPr>
          <w:p>
            <w:pPr>
              <w:spacing w:after="40" w:line="240" w:lineRule="auto"/>
              <w:jc w:val="center"/>
            </w:pPr>
            <w:r/>
            <w:r>
              <w:rPr>
                <w:b w:val="0"/>
                <w:sz w:val="20"/>
              </w:rPr>
              <w:t>The same customers pass through every policy, so the runs are paired; ignoring that overstates the p-value</w:t>
            </w:r>
          </w:p>
        </w:tc>
      </w:tr>
      <w:tr>
        <w:tc>
          <w:tcPr>
            <w:tcW w:type="dxa" w:w="2890"/>
          </w:tcPr>
          <w:p>
            <w:pPr>
              <w:spacing w:after="40" w:line="240" w:lineRule="auto"/>
              <w:jc w:val="left"/>
            </w:pPr>
            <w:r/>
            <w:r>
              <w:rPr>
                <w:b w:val="0"/>
                <w:sz w:val="20"/>
              </w:rPr>
              <w:t>Exact McNemar [30]</w:t>
            </w:r>
          </w:p>
        </w:tc>
        <w:tc>
          <w:tcPr>
            <w:tcW w:type="dxa" w:w="2890"/>
          </w:tcPr>
          <w:p>
            <w:pPr>
              <w:spacing w:after="40" w:line="240" w:lineRule="auto"/>
              <w:jc w:val="center"/>
            </w:pPr>
            <w:r/>
            <w:r>
              <w:rPr>
                <w:b w:val="0"/>
                <w:sz w:val="20"/>
              </w:rPr>
              <w:t>TF-IDF against Sentence-BERT</w:t>
            </w:r>
          </w:p>
        </w:tc>
        <w:tc>
          <w:tcPr>
            <w:tcW w:type="dxa" w:w="2890"/>
          </w:tcPr>
          <w:p>
            <w:pPr>
              <w:spacing w:after="40" w:line="240" w:lineRule="auto"/>
              <w:jc w:val="center"/>
            </w:pPr>
            <w:r/>
            <w:r>
              <w:rPr>
                <w:b w:val="0"/>
                <w:sz w:val="20"/>
              </w:rPr>
              <w:t>Two classifiers on one test set: only the disagreements carry information, and the exact binomial is correct at this sample size</w:t>
            </w:r>
          </w:p>
        </w:tc>
      </w:tr>
      <w:tr>
        <w:tc>
          <w:tcPr>
            <w:tcW w:type="dxa" w:w="2890"/>
          </w:tcPr>
          <w:p>
            <w:pPr>
              <w:spacing w:after="40" w:line="240" w:lineRule="auto"/>
              <w:jc w:val="left"/>
            </w:pPr>
            <w:r/>
            <w:r>
              <w:rPr>
                <w:b w:val="0"/>
                <w:sz w:val="20"/>
              </w:rPr>
              <w:t>Cliff's delta [34]</w:t>
            </w:r>
          </w:p>
        </w:tc>
        <w:tc>
          <w:tcPr>
            <w:tcW w:type="dxa" w:w="2890"/>
          </w:tcPr>
          <w:p>
            <w:pPr>
              <w:spacing w:after="40" w:line="240" w:lineRule="auto"/>
              <w:jc w:val="center"/>
            </w:pPr>
            <w:r/>
            <w:r>
              <w:rPr>
                <w:b w:val="0"/>
                <w:sz w:val="20"/>
              </w:rPr>
              <w:t>Every paired policy comparison</w:t>
            </w:r>
          </w:p>
        </w:tc>
        <w:tc>
          <w:tcPr>
            <w:tcW w:type="dxa" w:w="2890"/>
          </w:tcPr>
          <w:p>
            <w:pPr>
              <w:spacing w:after="40" w:line="240" w:lineRule="auto"/>
              <w:jc w:val="center"/>
            </w:pPr>
            <w:r/>
            <w:r>
              <w:rPr>
                <w:b w:val="0"/>
                <w:sz w:val="20"/>
              </w:rPr>
              <w:t>With thirty seeds almost any difference is significant; the effect size says whether it matters</w:t>
            </w:r>
          </w:p>
        </w:tc>
      </w:tr>
      <w:tr>
        <w:tc>
          <w:tcPr>
            <w:tcW w:type="dxa" w:w="2890"/>
          </w:tcPr>
          <w:p>
            <w:pPr>
              <w:spacing w:after="40" w:line="240" w:lineRule="auto"/>
              <w:jc w:val="left"/>
            </w:pPr>
            <w:r/>
            <w:r>
              <w:rPr>
                <w:b w:val="0"/>
                <w:sz w:val="20"/>
              </w:rPr>
              <w:t>Wilson score interval [64]</w:t>
            </w:r>
          </w:p>
        </w:tc>
        <w:tc>
          <w:tcPr>
            <w:tcW w:type="dxa" w:w="2890"/>
          </w:tcPr>
          <w:p>
            <w:pPr>
              <w:spacing w:after="40" w:line="240" w:lineRule="auto"/>
              <w:jc w:val="center"/>
            </w:pPr>
            <w:r/>
            <w:r>
              <w:rPr>
                <w:b w:val="0"/>
                <w:sz w:val="20"/>
              </w:rPr>
              <w:t>Capability-detection agreement</w:t>
            </w:r>
          </w:p>
        </w:tc>
        <w:tc>
          <w:tcPr>
            <w:tcW w:type="dxa" w:w="2890"/>
          </w:tcPr>
          <w:p>
            <w:pPr>
              <w:spacing w:after="40" w:line="240" w:lineRule="auto"/>
              <w:jc w:val="center"/>
            </w:pPr>
            <w:r/>
            <w:r>
              <w:rPr>
                <w:b w:val="0"/>
                <w:sz w:val="20"/>
              </w:rPr>
              <w:t>Correct near a proportion of 1.0, where the normal approximation produces impossible bounds</w:t>
            </w:r>
          </w:p>
        </w:tc>
      </w:tr>
      <w:tr>
        <w:tc>
          <w:tcPr>
            <w:tcW w:type="dxa" w:w="2890"/>
          </w:tcPr>
          <w:p>
            <w:pPr>
              <w:spacing w:after="40" w:line="240" w:lineRule="auto"/>
              <w:jc w:val="left"/>
            </w:pPr>
            <w:r/>
            <w:r>
              <w:rPr>
                <w:b w:val="0"/>
                <w:sz w:val="20"/>
              </w:rPr>
              <w:t>Holm–Bonferroni correction [20]</w:t>
            </w:r>
          </w:p>
        </w:tc>
        <w:tc>
          <w:tcPr>
            <w:tcW w:type="dxa" w:w="2890"/>
          </w:tcPr>
          <w:p>
            <w:pPr>
              <w:spacing w:after="40" w:line="240" w:lineRule="auto"/>
              <w:jc w:val="center"/>
            </w:pPr>
            <w:r/>
            <w:r>
              <w:rPr>
                <w:b w:val="0"/>
                <w:sz w:val="20"/>
              </w:rPr>
              <w:t>The eight engagement text features</w:t>
            </w:r>
          </w:p>
        </w:tc>
        <w:tc>
          <w:tcPr>
            <w:tcW w:type="dxa" w:w="2890"/>
          </w:tcPr>
          <w:p>
            <w:pPr>
              <w:spacing w:after="40" w:line="240" w:lineRule="auto"/>
              <w:jc w:val="center"/>
            </w:pPr>
            <w:r/>
            <w:r>
              <w:rPr>
                <w:b w:val="0"/>
                <w:sz w:val="20"/>
              </w:rPr>
              <w:t>Testing eight features without correction would manufacture a significant one by chance</w:t>
            </w:r>
          </w:p>
        </w:tc>
      </w:tr>
    </w:tbl>
    <w:p>
      <w:pPr>
        <w:spacing w:after="120"/>
      </w:pPr>
    </w:p>
    <w:p>
      <w:pPr>
        <w:pStyle w:val="Heading2"/>
      </w:pPr>
      <w:r>
        <w:t>B.5 Reproducibility Guarantees</w:t>
      </w:r>
    </w:p>
    <w:p>
      <w:pPr>
        <w:pStyle w:val="ListBullet"/>
        <w:spacing w:after="80" w:line="312" w:lineRule="auto"/>
        <w:jc w:val="both"/>
      </w:pPr>
      <w:r>
        <w:rPr>
          <w:b/>
        </w:rPr>
        <w:t>Seeded.</w:t>
      </w:r>
      <w:r>
        <w:t xml:space="preserve"> All randomness derives from seed 42. The importer is deterministic given the source CSV and idempotent on re-run.</w:t>
      </w:r>
    </w:p>
    <w:p>
      <w:pPr>
        <w:pStyle w:val="ListBullet"/>
        <w:spacing w:after="80" w:line="312" w:lineRule="auto"/>
        <w:jc w:val="both"/>
      </w:pPr>
      <w:r>
        <w:rPr>
          <w:b/>
        </w:rPr>
        <w:t>Verified against source.</w:t>
      </w:r>
      <w:r>
        <w:t xml:space="preserve"> Import fidelity is asserted after every run: sessions, page views, time on site, clicks and purchases match the source CSV exactly.</w:t>
      </w:r>
    </w:p>
    <w:p>
      <w:pPr>
        <w:pStyle w:val="ListBullet"/>
        <w:spacing w:after="80" w:line="312" w:lineRule="auto"/>
        <w:jc w:val="both"/>
      </w:pPr>
      <w:r>
        <w:rPr>
          <w:b/>
        </w:rPr>
        <w:t>Hash-seed independent.</w:t>
      </w:r>
      <w:r>
        <w:t xml:space="preserve"> A subprocess test varies PYTHONHASHSEED and asserts the engagement result is unchanged, after defect D7 showed set iteration could alter it.</w:t>
      </w:r>
    </w:p>
    <w:p>
      <w:pPr>
        <w:pStyle w:val="ListBullet"/>
        <w:spacing w:after="80" w:line="312" w:lineRule="auto"/>
        <w:jc w:val="both"/>
      </w:pPr>
      <w:r>
        <w:rPr>
          <w:b/>
        </w:rPr>
        <w:t>Generated, not transcribed.</w:t>
      </w:r>
      <w:r>
        <w:t xml:space="preserve"> Every figure in Chapter 7 is drawn from the experiment tables and the chapter itself is rendered from `results.json`, so no value in the report is typed by hand.</w:t>
      </w:r>
    </w:p>
    <w:p>
      <w:pPr>
        <w:pStyle w:val="ListBullet"/>
        <w:spacing w:after="80" w:line="312" w:lineRule="auto"/>
        <w:jc w:val="both"/>
      </w:pPr>
      <w:r>
        <w:rPr>
          <w:b/>
        </w:rPr>
        <w:t>Verified from empty.</w:t>
      </w:r>
      <w:r>
        <w:t xml:space="preserve"> The full pipeline has been run from an empty database to a finished report, so the reproduction path is known to work and not merely intended to.</w:t>
      </w:r>
    </w:p>
    <w:p>
      <w:pPr>
        <w:pStyle w:val="Heading2"/>
      </w:pPr>
      <w:r>
        <w:t>B.6 Replacing the Screenshot Placeholders</w:t>
      </w:r>
    </w:p>
    <w:p>
      <w:r>
        <w:t>Figures 10 through 29 are placeholders showing what each capture should contain. To insert the real screenshots, save each capture over the file of the same name in `report/assets/placeholders/` and rebuild the report with `python3 report/build/report_build.py`. Nothing else changes — the captions, numbering and List of Figures are unaffected.</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