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720" w:line="288" w:lineRule="auto"/>
        <w:jc w:val="center"/>
      </w:pPr>
      <w:r>
        <w:rPr>
          <w:b/>
          <w:i w:val="0"/>
          <w:sz w:val="44"/>
        </w:rPr>
        <w:t>FINAL REPORT</w:t>
      </w:r>
    </w:p>
    <w:p>
      <w:pPr>
        <w:spacing w:after="520" w:before="0" w:line="288" w:lineRule="auto"/>
        <w:jc w:val="center"/>
      </w:pPr>
      <w:r>
        <w:rPr>
          <w:b/>
          <w:i w:val="0"/>
          <w:sz w:val="32"/>
        </w:rPr>
        <w:t>Level 04</w:t>
      </w:r>
    </w:p>
    <w:p>
      <w:pPr>
        <w:spacing w:after="160" w:before="0" w:line="288" w:lineRule="auto"/>
        <w:jc w:val="center"/>
      </w:pPr>
      <w:r>
        <w:rPr>
          <w:b/>
          <w:i w:val="0"/>
          <w:sz w:val="36"/>
        </w:rPr>
        <w:t>AI-Powered Digital Marketing Orchestration</w:t>
      </w:r>
    </w:p>
    <w:p>
      <w:pPr>
        <w:spacing w:after="800" w:before="0" w:line="288" w:lineRule="auto"/>
        <w:jc w:val="center"/>
      </w:pPr>
      <w:r>
        <w:rPr>
          <w:b w:val="0"/>
          <w:i/>
          <w:sz w:val="24"/>
        </w:rPr>
        <w:t>An Integrated, Closed-Loop Framework for Cold-Start Digital Marketing</w:t>
      </w:r>
    </w:p>
    <w:p>
      <w:pPr>
        <w:spacing w:after="520" w:before="0" w:line="288" w:lineRule="auto"/>
        <w:jc w:val="center"/>
      </w:pPr>
      <w:r>
        <w:rPr>
          <w:b/>
          <w:i w:val="0"/>
          <w:sz w:val="30"/>
        </w:rPr>
        <w:t>Team Binary</w:t>
      </w:r>
    </w:p>
    <w:tbl>
      <w:tblPr>
        <w:tblW w:type="auto" w:w="0"/>
        <w:jc w:val="center"/>
        <w:tblLook w:firstColumn="1" w:firstRow="1" w:lastColumn="0" w:lastRow="0" w:noHBand="0" w:noVBand="1" w:val="04A0"/>
      </w:tblPr>
      <w:tblGrid>
        <w:gridCol w:w="4334"/>
        <w:gridCol w:w="4334"/>
      </w:tblGrid>
      <w:tr>
        <w:tc>
          <w:tcPr>
            <w:tcW w:type="dxa" w:w="4334"/>
          </w:tcPr>
          <w:p>
            <w:pPr>
              <w:spacing w:after="40" w:line="288" w:lineRule="auto"/>
              <w:jc w:val="right"/>
            </w:pPr>
            <w:r/>
            <w:r>
              <w:rPr>
                <w:sz w:val="24"/>
              </w:rPr>
              <w:t>215001G</w:t>
            </w:r>
          </w:p>
        </w:tc>
        <w:tc>
          <w:tcPr>
            <w:tcW w:type="dxa" w:w="4334"/>
          </w:tcPr>
          <w:p>
            <w:pPr>
              <w:spacing w:after="40" w:line="288" w:lineRule="auto"/>
              <w:jc w:val="left"/>
            </w:pPr>
            <w:r/>
            <w:r>
              <w:rPr>
                <w:sz w:val="24"/>
              </w:rPr>
              <w:t>Aadhil M. H. M.</w:t>
            </w:r>
          </w:p>
        </w:tc>
      </w:tr>
      <w:tr>
        <w:tc>
          <w:tcPr>
            <w:tcW w:type="dxa" w:w="4334"/>
          </w:tcPr>
          <w:p>
            <w:pPr>
              <w:spacing w:after="40" w:line="288" w:lineRule="auto"/>
              <w:jc w:val="right"/>
            </w:pPr>
            <w:r/>
            <w:r>
              <w:rPr>
                <w:sz w:val="24"/>
              </w:rPr>
              <w:t>215015D</w:t>
            </w:r>
          </w:p>
        </w:tc>
        <w:tc>
          <w:tcPr>
            <w:tcW w:type="dxa" w:w="4334"/>
          </w:tcPr>
          <w:p>
            <w:pPr>
              <w:spacing w:after="40" w:line="288" w:lineRule="auto"/>
              <w:jc w:val="left"/>
            </w:pPr>
            <w:r/>
            <w:r>
              <w:rPr>
                <w:sz w:val="24"/>
              </w:rPr>
              <w:t>Arqam Z. H.</w:t>
            </w:r>
          </w:p>
        </w:tc>
      </w:tr>
      <w:tr>
        <w:tc>
          <w:tcPr>
            <w:tcW w:type="dxa" w:w="4334"/>
          </w:tcPr>
          <w:p>
            <w:pPr>
              <w:spacing w:after="40" w:line="288" w:lineRule="auto"/>
              <w:jc w:val="right"/>
            </w:pPr>
            <w:r/>
            <w:r>
              <w:rPr>
                <w:sz w:val="24"/>
              </w:rPr>
              <w:t>215110N</w:t>
            </w:r>
          </w:p>
        </w:tc>
        <w:tc>
          <w:tcPr>
            <w:tcW w:type="dxa" w:w="4334"/>
          </w:tcPr>
          <w:p>
            <w:pPr>
              <w:spacing w:after="40" w:line="288" w:lineRule="auto"/>
              <w:jc w:val="left"/>
            </w:pPr>
            <w:r/>
            <w:r>
              <w:rPr>
                <w:sz w:val="24"/>
              </w:rPr>
              <w:t>Sarah M. M. F.</w:t>
            </w:r>
          </w:p>
        </w:tc>
      </w:tr>
      <w:tr>
        <w:tc>
          <w:tcPr>
            <w:tcW w:type="dxa" w:w="4334"/>
          </w:tcPr>
          <w:p>
            <w:pPr>
              <w:spacing w:after="40" w:line="288" w:lineRule="auto"/>
              <w:jc w:val="right"/>
            </w:pPr>
            <w:r/>
            <w:r>
              <w:rPr>
                <w:sz w:val="24"/>
              </w:rPr>
              <w:t>215129F</w:t>
            </w:r>
          </w:p>
        </w:tc>
        <w:tc>
          <w:tcPr>
            <w:tcW w:type="dxa" w:w="4334"/>
          </w:tcPr>
          <w:p>
            <w:pPr>
              <w:spacing w:after="40" w:line="288" w:lineRule="auto"/>
              <w:jc w:val="left"/>
            </w:pPr>
            <w:r/>
            <w:r>
              <w:rPr>
                <w:sz w:val="24"/>
              </w:rPr>
              <w:t>Zanar M. H. M. R. A.</w:t>
            </w:r>
          </w:p>
        </w:tc>
      </w:tr>
    </w:tbl>
    <w:p>
      <w:pPr>
        <w:spacing w:after="600"/>
      </w:pPr>
    </w:p>
    <w:p>
      <w:pPr>
        <w:spacing w:after="120" w:before="0" w:line="288" w:lineRule="auto"/>
        <w:jc w:val="center"/>
      </w:pPr>
      <w:r>
        <w:rPr>
          <w:b w:val="0"/>
          <w:i w:val="0"/>
          <w:sz w:val="24"/>
        </w:rPr>
        <w:t>Supervised by</w:t>
      </w:r>
    </w:p>
    <w:p>
      <w:pPr>
        <w:spacing w:after="80" w:before="0" w:line="288" w:lineRule="auto"/>
        <w:jc w:val="center"/>
      </w:pPr>
      <w:r>
        <w:rPr>
          <w:b/>
          <w:i w:val="0"/>
          <w:sz w:val="24"/>
        </w:rPr>
        <w:t>Dr. A. L. A. Romesh R. Thanuja   (IN/CM Supervisor)</w:t>
      </w:r>
    </w:p>
    <w:p>
      <w:pPr>
        <w:spacing w:after="680" w:before="0" w:line="288" w:lineRule="auto"/>
        <w:jc w:val="center"/>
      </w:pPr>
      <w:r>
        <w:rPr>
          <w:b/>
          <w:i w:val="0"/>
          <w:sz w:val="24"/>
        </w:rPr>
        <w:t>Ms. M. A. N. Perera   (IDS Supervisor)</w:t>
      </w:r>
    </w:p>
    <w:p>
      <w:pPr>
        <w:spacing w:after="80" w:before="0" w:line="288" w:lineRule="auto"/>
        <w:jc w:val="center"/>
      </w:pPr>
      <w:r>
        <w:rPr>
          <w:b w:val="0"/>
          <w:i w:val="0"/>
          <w:sz w:val="26"/>
        </w:rPr>
        <w:t>Faculty of Information Technology</w:t>
      </w:r>
    </w:p>
    <w:p>
      <w:pPr>
        <w:spacing w:after="80" w:before="0" w:line="288" w:lineRule="auto"/>
        <w:jc w:val="center"/>
      </w:pPr>
      <w:r>
        <w:rPr>
          <w:b w:val="0"/>
          <w:i w:val="0"/>
          <w:sz w:val="26"/>
        </w:rPr>
        <w:t>University of Moratuwa</w:t>
      </w:r>
    </w:p>
    <w:p>
      <w:pPr>
        <w:spacing w:after="0" w:before="0" w:line="288" w:lineRule="auto"/>
        <w:jc w:val="center"/>
      </w:pPr>
      <w:r>
        <w:rPr>
          <w:b w:val="0"/>
          <w:i w:val="0"/>
          <w:sz w:val="26"/>
        </w:rPr>
        <w:t>July 2026</w:t>
      </w:r>
    </w:p>
    <w:p>
      <w:r>
        <w:br w:type="page"/>
      </w:r>
    </w:p>
    <w:p>
      <w:pPr>
        <w:spacing w:after="200" w:before="1200" w:line="288" w:lineRule="auto"/>
        <w:jc w:val="center"/>
      </w:pPr>
      <w:r>
        <w:rPr>
          <w:b/>
          <w:i w:val="0"/>
          <w:sz w:val="36"/>
        </w:rPr>
        <w:t>AI-Powered Digital Marketing Orchestration</w:t>
      </w:r>
    </w:p>
    <w:p>
      <w:pPr>
        <w:spacing w:after="960" w:before="0" w:line="288" w:lineRule="auto"/>
        <w:jc w:val="center"/>
      </w:pPr>
      <w:r>
        <w:rPr>
          <w:b w:val="0"/>
          <w:i/>
          <w:sz w:val="24"/>
        </w:rPr>
        <w:t>An Integrated, Closed-Loop Framework for Cold-Start Digital Marketing</w:t>
      </w:r>
    </w:p>
    <w:p>
      <w:pPr>
        <w:spacing w:after="480" w:before="0" w:line="288" w:lineRule="auto"/>
        <w:jc w:val="center"/>
      </w:pPr>
      <w:r>
        <w:rPr>
          <w:b/>
          <w:i w:val="0"/>
          <w:sz w:val="30"/>
        </w:rPr>
        <w:t>Team Binary</w:t>
      </w:r>
    </w:p>
    <w:p>
      <w:pPr>
        <w:spacing w:after="80" w:before="0" w:line="288" w:lineRule="auto"/>
        <w:jc w:val="center"/>
      </w:pPr>
      <w:r>
        <w:rPr>
          <w:b w:val="0"/>
          <w:i w:val="0"/>
          <w:sz w:val="24"/>
        </w:rPr>
        <w:t>215001G     Aadhil M. H. M.</w:t>
      </w:r>
    </w:p>
    <w:p>
      <w:pPr>
        <w:spacing w:after="80" w:before="0" w:line="288" w:lineRule="auto"/>
        <w:jc w:val="center"/>
      </w:pPr>
      <w:r>
        <w:rPr>
          <w:b w:val="0"/>
          <w:i w:val="0"/>
          <w:sz w:val="24"/>
        </w:rPr>
        <w:t>215015D     Arqam Z. H.</w:t>
      </w:r>
    </w:p>
    <w:p>
      <w:pPr>
        <w:spacing w:after="80" w:before="0" w:line="288" w:lineRule="auto"/>
        <w:jc w:val="center"/>
      </w:pPr>
      <w:r>
        <w:rPr>
          <w:b w:val="0"/>
          <w:i w:val="0"/>
          <w:sz w:val="24"/>
        </w:rPr>
        <w:t>215110N     Sarah M. M. F.</w:t>
      </w:r>
    </w:p>
    <w:p>
      <w:pPr>
        <w:spacing w:after="80" w:before="0" w:line="288" w:lineRule="auto"/>
        <w:jc w:val="center"/>
      </w:pPr>
      <w:r>
        <w:rPr>
          <w:b w:val="0"/>
          <w:i w:val="0"/>
          <w:sz w:val="24"/>
        </w:rPr>
        <w:t>215129F     Zanar M. H. M. R. A.</w:t>
      </w:r>
    </w:p>
    <w:p>
      <w:pPr>
        <w:spacing w:after="800"/>
      </w:pPr>
    </w:p>
    <w:p>
      <w:pPr>
        <w:spacing w:line="360" w:lineRule="auto" w:after="920"/>
        <w:jc w:val="center"/>
      </w:pPr>
      <w:r>
        <w:rPr>
          <w:sz w:val="24"/>
        </w:rPr>
        <w:t>Dissertation submitted to the Faculty of Information Technology, University of Moratuwa, Sri Lanka, for the partial fulfilment of the requirements of the Degree of Bachelor of Science Honours in Information Technology.</w:t>
      </w:r>
    </w:p>
    <w:p>
      <w:pPr>
        <w:spacing w:after="0" w:before="0" w:line="288" w:lineRule="auto"/>
        <w:jc w:val="center"/>
      </w:pPr>
      <w:r>
        <w:rPr>
          <w:b w:val="0"/>
          <w:i w:val="0"/>
          <w:sz w:val="26"/>
        </w:rPr>
        <w:t>July 2026</w:t>
      </w:r>
    </w:p>
    <w:p>
      <w:r>
        <w:br w:type="page"/>
      </w:r>
    </w:p>
    <w:p>
      <w:pPr>
        <w:pStyle w:val="Heading1"/>
      </w:pPr>
      <w:r>
        <w:t>ACKNOWLEDGMENT</w:t>
      </w:r>
    </w:p>
    <w:p>
      <w:r>
        <w:t>We wish to record our sincere gratitude to our supervisors, Dr. A. L. A. Romesh R. Thanuja and Ms. M. A. N. Perera, whose guidance shaped this project from four loosely related marketing ideas into a single research system. Their insistence that every claim be tied to a measurement — and that a measurement we could not defend should not be quoted at all — is the reason this report is able to present its negative results as findings rather than hide them.</w:t>
      </w:r>
    </w:p>
    <w:p>
      <w:r>
        <w:t>We thank the academic and technical staff of the Faculty of Information Technology, University of Moratuwa, for the knowledge and facilities that made this work possible, and the evaluation panels at the proposal and interim stages, whose questions exposed weaknesses in our methodology early enough for us to correct them. Several of the experiments in Chapter 7 exist because of those questions.</w:t>
      </w:r>
    </w:p>
    <w:p>
      <w:r>
        <w:t>We acknowledge the maintainers of the open datasets on which this study depends: the Digital Marketing Campaign dataset that forms our study audience, Kevin Hillstrom's MineThatData e-mail analytics challenge dataset, whose randomised assignment is the only reason any causal claim in this report is possible, the UCI Machine Learning Repository, and the publishers of the social-media engagement corpora used in Module 4.</w:t>
      </w:r>
    </w:p>
    <w:p>
      <w:r>
        <w:t>Finally, we thank our families and our colleagues in the Level 4 batch for their encouragement over the course of this project, and the free education system of Sri Lanka, without which none of us would have reached this point.</w:t>
      </w:r>
    </w:p>
    <w:p>
      <w:r>
        <w:br w:type="page"/>
      </w:r>
    </w:p>
    <w:p>
      <w:pPr>
        <w:pStyle w:val="Heading1"/>
      </w:pPr>
      <w:r>
        <w:t>ABSTRACT</w:t>
      </w:r>
    </w:p>
    <w:p>
      <w:r>
        <w:t>Digital marketing is executed through fragmented tools: one system segments an audience, another automates campaigns, a third reports analytics and a fourth generates content. Because these systems do not exchange information, the outcome of one campaign rarely improves the next. The difficulty is sharpest for a newly launched product, where almost no behavioural history exists — the cold-start condition — and where conventional data-hungry marketing models are least effective.</w:t>
      </w:r>
    </w:p>
    <w:p>
      <w:r>
        <w:t>This project designs, implements and experimentally evaluates an integrated, closed-loop marketing orchestration framework built for that condition. Four modules act on one audience over one shared database: a hybrid segmentation engine combining rule-based logic with k-means and hierarchical clustering through an agreement vote; a campaign automation engine comparing fixed, trigger-based and hybrid policies; an analytics and decision-support module providing funnel analysis, attribution, prediction, uplift modelling and off-policy evaluation; and an AI content refinery that reads the client's own website, detects what that website is actually capable of, and produces platform-specific assets. The system runs behind a FastAPI service over PostgreSQL with a Next.js dashboard. The study audience is the 8,000-customer Digital Marketing Campaign dataset, imported as the customer base of a demonstration e-commerce store.</w:t>
      </w:r>
    </w:p>
    <w:p>
      <w:r>
        <w:t xml:space="preserve">Eleven experiments, each reproducible with a single command, support every claim made. The principal results are deliberately not all favourable. </w:t>
      </w:r>
      <w:r>
        <w:rPr>
          <w:b/>
        </w:rPr>
        <w:t>The hybrid segmentation engine does not separate conversion better than its own rules</w:t>
      </w:r>
      <w:r>
        <w:t xml:space="preserve"> (0.3838 against 0.3837); its value lies in calibrated confidence and an explicit cold-start segment, not in separation. A target leak in the confidence model was found to inflate certainty </w:t>
      </w:r>
      <w:r>
        <w:rPr>
          <w:b/>
        </w:rPr>
        <w:t>by a factor of 150</w:t>
      </w:r>
      <w:r>
        <w:t xml:space="preserve"> — 450 customers at confidence 1.00 against 3 — while moving accuracy by 0.0013, showing that accuracy is not what such a defect corrupts. The simulated and live builds </w:t>
      </w:r>
      <w:r>
        <w:rPr>
          <w:b/>
        </w:rPr>
        <w:t>disagree about which automation policy wins</w:t>
      </w:r>
      <w:r>
        <w:t xml:space="preserve">, so that ranking is reported as unstable. Four attribution models disagree over </w:t>
      </w:r>
      <w:r>
        <w:rPr>
          <w:b/>
        </w:rPr>
        <w:t>68 % of all attributed credit</w:t>
      </w:r>
      <w:r>
        <w:t xml:space="preserve"> on the same 7,811 converting journeys. TF-IDF and Sentence-BERT are statistically indistinguishable on the goal and tone corpora (McNemar p = 1.000 and p = 0.727), so the simpler model is chosen on cost rather than accuracy. The engagement regressor's R² of 0.99 was leakage; corrected it is −0.168, and none of eight text features survives Holm–Bonferroni correction. Targeting by uplift and by predicted response are shown on randomised data to be genuinely different policies, agreeing on only 56 % of a 30 % budget. Finally, off-policy evaluation demonstrates that without deliberate exploration the estimate of a new policy is biased </w:t>
      </w:r>
      <w:r>
        <w:rPr>
          <w:b/>
        </w:rPr>
        <w:t>upwards</w:t>
      </w:r>
      <w:r>
        <w:t xml:space="preserve"> while appearing more stable, which is why the system now logs every decision with the probability it was taken under.</w:t>
      </w:r>
    </w:p>
    <w:p>
      <w:r>
        <w:t>The contribution is not any single model but the demonstration that these four functions can be operated as one measurable feedback loop under cold-start conditions, together with a methodology — derived provenance, mandatory propensity logging, generated chapters and refusal thresholds — that makes overstating a result structurally difficult.</w:t>
      </w:r>
    </w:p>
    <w:p>
      <w:r>
        <w:rPr>
          <w:b/>
        </w:rPr>
        <w:t>Index Terms</w:t>
      </w:r>
      <w:r>
        <w:t xml:space="preserve"> — digital marketing orchestration, cold start, hybrid segmentation, marketing automation, multi-touch attribution, uplift modelling, off-policy evaluation, AI content generation, reproducible research.</w:t>
      </w:r>
    </w:p>
    <w:p>
      <w:r>
        <w:br w:type="page"/>
      </w:r>
    </w:p>
    <w:p>
      <w:pPr>
        <w:pStyle w:val="Heading1"/>
      </w:pPr>
      <w:r>
        <w:t>DECLARATION</w:t>
      </w:r>
    </w:p>
    <w:p>
      <w:r>
        <w:t>We declare that this thesis is our own work and has not been submitted in any form for another degree or diploma at any university or other institution of tertiary education. Information derived from the published or unpublished work of others has been acknowledged in the text and a list of references is given.</w:t>
      </w:r>
    </w:p>
    <w:p>
      <w:pPr>
        <w:spacing w:after="440"/>
      </w:pPr>
    </w:p>
    <w:p>
      <w:pPr>
        <w:spacing w:after="400"/>
        <w:jc w:val="left"/>
      </w:pPr>
      <w:r>
        <w:rPr>
          <w:b w:val="0"/>
          <w:i w:val="0"/>
        </w:rPr>
        <w:t>………………………………………          Aadhil M. H. M.   (215001G)</w:t>
      </w:r>
    </w:p>
    <w:p>
      <w:pPr>
        <w:spacing w:after="400"/>
        <w:jc w:val="left"/>
      </w:pPr>
      <w:r>
        <w:rPr>
          <w:b w:val="0"/>
          <w:i w:val="0"/>
        </w:rPr>
        <w:t>………………………………………          Arqam Z. H.   (215015D)</w:t>
      </w:r>
    </w:p>
    <w:p>
      <w:pPr>
        <w:spacing w:after="400"/>
        <w:jc w:val="left"/>
      </w:pPr>
      <w:r>
        <w:rPr>
          <w:b w:val="0"/>
          <w:i w:val="0"/>
        </w:rPr>
        <w:t>………………………………………          Sarah M. M. F.   (215110N)</w:t>
      </w:r>
    </w:p>
    <w:p>
      <w:pPr>
        <w:spacing w:after="400"/>
        <w:jc w:val="left"/>
      </w:pPr>
      <w:r>
        <w:rPr>
          <w:b w:val="0"/>
          <w:i w:val="0"/>
        </w:rPr>
        <w:t>………………………………………          Zanar M. H. M. R. A.   (215129F)</w:t>
      </w:r>
    </w:p>
    <w:p>
      <w:pPr>
        <w:spacing w:after="600"/>
      </w:pPr>
      <w:r>
        <w:rPr>
          <w:b w:val="0"/>
          <w:i w:val="0"/>
        </w:rPr>
        <w:t>Date: ……… / ……… / 2026</w:t>
      </w:r>
    </w:p>
    <w:p>
      <w:pPr>
        <w:spacing w:after="360"/>
      </w:pPr>
      <w:r>
        <w:rPr>
          <w:b/>
          <w:i w:val="0"/>
        </w:rPr>
        <w:t>Supervised by</w:t>
      </w:r>
    </w:p>
    <w:p>
      <w:pPr>
        <w:spacing w:after="120"/>
      </w:pPr>
      <w:r>
        <w:rPr>
          <w:b w:val="0"/>
          <w:i w:val="0"/>
        </w:rPr>
        <w:t>………………………………………          Dr. A. L. A. Romesh R. Thanuja</w:t>
      </w:r>
    </w:p>
    <w:p>
      <w:pPr>
        <w:spacing w:after="480"/>
      </w:pPr>
      <w:r>
        <w:rPr>
          <w:b w:val="0"/>
          <w:i w:val="0"/>
        </w:rPr>
        <w:t>Date: ……… / ……… / 2026</w:t>
      </w:r>
    </w:p>
    <w:p>
      <w:pPr>
        <w:spacing w:after="120"/>
      </w:pPr>
      <w:r>
        <w:rPr>
          <w:b w:val="0"/>
          <w:i w:val="0"/>
        </w:rPr>
        <w:t>………………………………………          Ms. M. A. N. Perera</w:t>
      </w:r>
    </w:p>
    <w:p>
      <w:pPr>
        <w:spacing w:after="120"/>
      </w:pPr>
      <w:r>
        <w:rPr>
          <w:b w:val="0"/>
          <w:i w:val="0"/>
        </w:rPr>
        <w:t>Date: ……… / ……… / 2026</w:t>
      </w:r>
    </w:p>
    <w:p>
      <w:r>
        <w:br w:type="page"/>
      </w:r>
    </w:p>
    <w:p>
      <w:pPr>
        <w:pStyle w:val="Heading1"/>
      </w:pPr>
      <w:r>
        <w:t>TABLE OF CONTENTS</w:t>
      </w:r>
    </w:p>
    <w:p>
      <w:r>
        <w:fldChar w:fldCharType="begin"/>
      </w:r>
      <w:r>
        <w:instrText xml:space="preserve"> TOC \o "1-3" \h \z \u </w:instrText>
      </w:r>
      <w:r>
        <w:fldChar w:fldCharType="separate"/>
      </w:r>
      <w:r>
        <w:rPr>
          <w:i/>
          <w:color w:val="808080"/>
        </w:rPr>
        <w:t>Table of contents — place the cursor here, press F9 and choose “Update entire table”.</w:t>
      </w:r>
      <w:r>
        <w:fldChar w:fldCharType="end"/>
      </w:r>
    </w:p>
    <w:p>
      <w:r>
        <w:br w:type="page"/>
      </w:r>
    </w:p>
    <w:p>
      <w:pPr>
        <w:pStyle w:val="Heading1"/>
      </w:pPr>
      <w:r>
        <w:t>LIST OF FIGURES</w:t>
      </w:r>
    </w:p>
    <w:p>
      <w:r>
        <w:fldChar w:fldCharType="begin"/>
      </w:r>
      <w:r>
        <w:instrText xml:space="preserve"> TOC \h \z \t "Caption,1" </w:instrText>
      </w:r>
      <w:r>
        <w:fldChar w:fldCharType="separate"/>
      </w:r>
      <w:r>
        <w:rPr>
          <w:i/>
          <w:color w:val="808080"/>
        </w:rPr>
        <w:t>List of figures — place the cursor here and press F9.</w:t>
      </w:r>
      <w:r>
        <w:fldChar w:fldCharType="end"/>
      </w:r>
    </w:p>
    <w:p>
      <w:r>
        <w:br w:type="page"/>
      </w:r>
    </w:p>
    <w:p>
      <w:pPr>
        <w:pStyle w:val="Heading1"/>
      </w:pPr>
      <w:r>
        <w:t>LIST OF TABLES</w:t>
      </w:r>
    </w:p>
    <w:p>
      <w:r>
        <w:fldChar w:fldCharType="begin"/>
      </w:r>
      <w:r>
        <w:instrText xml:space="preserve"> TOC \h \z \t "Table Caption,1" </w:instrText>
      </w:r>
      <w:r>
        <w:fldChar w:fldCharType="separate"/>
      </w:r>
      <w:r>
        <w:rPr>
          <w:i/>
          <w:color w:val="808080"/>
        </w:rPr>
        <w:t>List of tables — place the cursor here and press F9.</w:t>
      </w:r>
      <w:r>
        <w:fldChar w:fldCharType="end"/>
      </w:r>
    </w:p>
    <w:p>
      <w:pPr>
        <w:sectPr>
          <w:footerReference w:type="default" r:id="rId9"/>
          <w:pgSz w:w="11909" w:h="16834"/>
          <w:pgMar w:top="1440" w:right="1440" w:bottom="1440" w:left="1800" w:header="720" w:footer="720" w:gutter="0"/>
          <w:cols w:space="720"/>
          <w:titlePg/>
          <w:docGrid w:linePitch="360"/>
          <w:pgNumType w:fmt="lowerRoman" w:start="1"/>
        </w:sectPr>
      </w:pPr>
    </w:p>
    <w:p>
      <w:pPr>
        <w:pStyle w:val="Heading1"/>
      </w:pPr>
      <w:r>
        <w:t>CHAPTER 1 — INTRODUCTION</w:t>
      </w:r>
    </w:p>
    <w:p>
      <w:pPr>
        <w:pStyle w:val="Heading2"/>
      </w:pPr>
      <w:r>
        <w:t>1.1 Introduction</w:t>
      </w:r>
    </w:p>
    <w:p>
      <w:r>
        <w:t>Digital marketing is the primary means by which organisations acquire, engage, convert and retain customers. A modern campaign spans email, social platforms, paid advertising, search and the organisation's own website, and every one of those channels produces behavioural data that could, in principle, improve the next campaign. In practice it rarely does. The tools that perform segmentation, automation, analytics and content production are separate products with separate data models, and the marketer is left to carry insight between them by hand.</w:t>
      </w:r>
    </w:p>
    <w:p>
      <w:r>
        <w:t>The consequence is that digital marketing is executed as a series of disconnected actions rather than as a learning process. Segmentation output does not inform the automation policy; analytics describe what already happened without prescribing what to do next; content is produced without reference to which platform actually earned the last conversion; and — the point this project arrives at only in its final stage — nothing in the pipeline records the information that would be needed to tell whether a change to the policy was an improvement. The marketing cycle does not close.</w:t>
      </w:r>
    </w:p>
    <w:p>
      <w:r>
        <w:t xml:space="preserve">This project addresses that gap directly. It designs, builds and evaluates an </w:t>
      </w:r>
      <w:r>
        <w:rPr>
          <w:b/>
        </w:rPr>
        <w:t>AI-powered digital marketing orchestration framework</w:t>
      </w:r>
      <w:r>
        <w:t xml:space="preserve"> in which four research modules — audience targeting, campaign automation, analytics and decision support, and AI content refinement — operate over a single shared data layer, so that the measured outcome of one campaign becomes an input to the next. The framework targets the hardest case deliberately: a </w:t>
      </w:r>
      <w:r>
        <w:rPr>
          <w:b/>
        </w:rPr>
        <w:t>newly launched product</w:t>
      </w:r>
      <w:r>
        <w:t xml:space="preserve"> for which almost no behavioural history exists.</w:t>
      </w:r>
    </w:p>
    <w:p>
      <w:r>
        <w:t>What distinguishes this report from a system description is the evidence behind it. Eleven experiments were designed and run against the delivered system; each writes its own tables, each figure in Chapter 7 is drawn from those tables rather than plotted by hand, and the chapter itself is generated from the results file. Several of those experiments returned answers the team did not want. They are reported as headlines.</w:t>
      </w:r>
    </w:p>
    <w:p>
      <w:pPr>
        <w:pStyle w:val="Heading2"/>
      </w:pPr>
      <w:r>
        <w:t>1.2 Background and Motivation</w:t>
      </w:r>
    </w:p>
    <w:p>
      <w:r>
        <w:t>Four observations motivated this work.</w:t>
      </w:r>
    </w:p>
    <w:p>
      <w:r>
        <w:rPr>
          <w:b/>
        </w:rPr>
        <w:t>Fragmentation is the normal state of marketing technology.</w:t>
      </w:r>
      <w:r>
        <w:t xml:space="preserve"> Commercial platforms such as HubSpot, Mailchimp, Salesforce Marketing Cloud and Adobe Experience Platform each solve part of the problem well, but integration between customer intelligence, campaign execution and decision support is shallow. Academic work mirrors the division: studies address segmentation, or automation, or attribution, but seldom the interaction between them. Where integration is proposed it is usually described architecturally rather than evaluated experimentally, so the effect of joining the components is asserted rather than measured.</w:t>
      </w:r>
    </w:p>
    <w:p>
      <w:r>
        <w:rPr>
          <w:b/>
        </w:rPr>
        <w:t>The cold-start condition is under-studied and commercially acute.</w:t>
      </w:r>
      <w:r>
        <w:t xml:space="preserve"> Most published marketing analytics assumes an established customer base with a rich interaction history. A start-up or a newly launched product has neither. Clustering algorithms need behavioural variance to form meaningful groups; predictive models need converted examples; attribution models need multi-touch journeys. At launch none of these exist in sufficient quantity, and precisely the organisations that most need marketing efficiency are the ones the literature serves least well.</w:t>
      </w:r>
    </w:p>
    <w:p>
      <w:r>
        <w:rPr>
          <w:b/>
        </w:rPr>
        <w:t>Descriptive analytics is not decision support.</w:t>
      </w:r>
      <w:r>
        <w:t xml:space="preserve"> Existing tools report clicks, impressions and conversion counts. They say what happened; they do not say which audience to contact next, on which platform, with which message. Turning measurement into a prescribed action — and then measuring whether that action worked — is what closes the loop, and it is the part that is generally missing.</w:t>
      </w:r>
    </w:p>
    <w:p>
      <w:r>
        <w:rPr>
          <w:b/>
        </w:rPr>
        <w:t>A recommendation cannot be improved unless the system records what it would take to evaluate it.</w:t>
      </w:r>
      <w:r>
        <w:t xml:space="preserve"> This motivation emerged during the project rather than before it. Ranking customers by predicted conversion answers the question </w:t>
      </w:r>
      <w:r>
        <w:rPr>
          <w:i/>
        </w:rPr>
        <w:t>who is most likely to convert</w:t>
      </w:r>
      <w:r>
        <w:t xml:space="preserve">, which is not the question a marketer is asking — that question is </w:t>
      </w:r>
      <w:r>
        <w:rPr>
          <w:i/>
        </w:rPr>
        <w:t>for whom does contacting them change the outcome</w:t>
      </w:r>
      <w:r>
        <w:t>. Establishing the difference required a dataset with randomised assignment, and acting on it required the system to begin logging every decision with the probability it was taken under. Both appear in Chapter 7 as experiments E8 and E9.</w:t>
      </w:r>
    </w:p>
    <w:p>
      <w:r>
        <w:t>A fifth motivation is methodological. While converting the interim-stage notebooks into a running system, the team found several defects in its own research code that had produced impressive but invalid results. Every one of them made a number look better than it was, and none produced an error message. That experience shaped the project's design as much as any requirement in the proposal, and it is documented in Section 6.7.</w:t>
      </w:r>
    </w:p>
    <w:p>
      <w:pPr>
        <w:pStyle w:val="Heading2"/>
      </w:pPr>
      <w:r>
        <w:t>1.3 Problem in Brief</w:t>
      </w:r>
    </w:p>
    <w:p>
      <w:r>
        <w:t>There is no integrated, empirically evaluated framework that unifies audience intelligence, campaign automation, attribution-aware predictive analytics and AI content generation into a single closed feedback loop that remains usable under cold-start, low-data conditions — and whose recommendations can be evaluated from the data the system itself records.</w:t>
      </w:r>
    </w:p>
    <w:p>
      <w:r>
        <w:t>This decomposes into six concrete problems:</w:t>
      </w:r>
    </w:p>
    <w:p>
      <w:pPr>
        <w:pStyle w:val="ListNumber"/>
        <w:spacing w:after="80" w:line="312" w:lineRule="auto"/>
        <w:jc w:val="both"/>
      </w:pPr>
      <w:r>
        <w:rPr>
          <w:b/>
        </w:rPr>
        <w:t>Segmentation collapses under low data.</w:t>
      </w:r>
      <w:r>
        <w:t xml:space="preserve"> Clustering requires behavioural variance that a newly launched product does not have, and cannot represent the statement </w:t>
      </w:r>
      <w:r>
        <w:rPr>
          <w:i/>
        </w:rPr>
        <w:t>there is not enough evidence about this person</w:t>
      </w:r>
      <w:r>
        <w:t xml:space="preserve"> at all — it must place everyone somewhere.</w:t>
      </w:r>
    </w:p>
    <w:p>
      <w:pPr>
        <w:pStyle w:val="ListNumber"/>
        <w:spacing w:after="80" w:line="312" w:lineRule="auto"/>
        <w:jc w:val="both"/>
      </w:pPr>
      <w:r>
        <w:rPr>
          <w:b/>
        </w:rPr>
        <w:t>Automation policies are asserted rather than compared.</w:t>
      </w:r>
      <w:r>
        <w:t xml:space="preserve"> Fixed, trigger-based and hybrid campaign policies are advocated in the literature but rarely evaluated against one another on the same users under the same conditions, and rarely with operational cost reported beside outcome.</w:t>
      </w:r>
    </w:p>
    <w:p>
      <w:pPr>
        <w:pStyle w:val="ListNumber"/>
        <w:spacing w:after="80" w:line="312" w:lineRule="auto"/>
        <w:jc w:val="both"/>
      </w:pPr>
      <w:r>
        <w:rPr>
          <w:b/>
        </w:rPr>
        <w:t>Attribution is either simplistic or unusable at launch.</w:t>
      </w:r>
      <w:r>
        <w:t xml:space="preserve"> Single-touch models oversimplify the journey; data-driven models such as Markov or Shapley require journey volumes a launch-stage product cannot supply. Worse, models are usually compared only with each other, because observational data has no ground truth.</w:t>
      </w:r>
    </w:p>
    <w:p>
      <w:pPr>
        <w:pStyle w:val="ListNumber"/>
        <w:spacing w:after="80" w:line="312" w:lineRule="auto"/>
        <w:jc w:val="both"/>
      </w:pPr>
      <w:r>
        <w:rPr>
          <w:b/>
        </w:rPr>
        <w:t>Analytics does not prescribe, and prescribes the wrong thing when it does.</w:t>
      </w:r>
      <w:r>
        <w:t xml:space="preserve"> Funnel reports identify drop-off without recommending the correction; and a recommender that ranks by predicted response is answering a different question from the one a campaign asks.</w:t>
      </w:r>
    </w:p>
    <w:p>
      <w:pPr>
        <w:pStyle w:val="ListNumber"/>
        <w:spacing w:after="80" w:line="312" w:lineRule="auto"/>
        <w:jc w:val="both"/>
      </w:pPr>
      <w:r>
        <w:rPr>
          <w:b/>
        </w:rPr>
        <w:t>Generated content is disconnected from performance, and from capability.</w:t>
      </w:r>
      <w:r>
        <w:t xml:space="preserve"> AI content tools optimise for fluency, not for the platform that produced conversions, and will happily recommend an action — </w:t>
      </w:r>
      <w:r>
        <w:rPr>
          <w:i/>
        </w:rPr>
        <w:t>drive to checkout</w:t>
      </w:r>
      <w:r>
        <w:t xml:space="preserve"> — that the client's website cannot perform.</w:t>
      </w:r>
    </w:p>
    <w:p>
      <w:pPr>
        <w:pStyle w:val="ListNumber"/>
        <w:spacing w:after="80" w:line="312" w:lineRule="auto"/>
        <w:jc w:val="both"/>
      </w:pPr>
      <w:r>
        <w:rPr>
          <w:b/>
        </w:rPr>
        <w:t>The system records no basis for its own improvement.</w:t>
      </w:r>
      <w:r>
        <w:t xml:space="preserve"> A deterministic policy assigns probability zero to every action it does not take, so its own logs cannot be used to estimate what a different policy would have achieved.</w:t>
      </w:r>
    </w:p>
    <w:p>
      <w:pPr>
        <w:pStyle w:val="Heading2"/>
      </w:pPr>
      <w:r>
        <w:t>1.4 Aim and Objectives</w:t>
      </w:r>
    </w:p>
    <w:p>
      <w:pPr>
        <w:pStyle w:val="Heading3"/>
      </w:pPr>
      <w:r>
        <w:t>1.4.1 Aim</w:t>
      </w:r>
    </w:p>
    <w:p>
      <w:r>
        <w:t>To design, implement and experimentally evaluate an integrated, closed-loop, AI-powered digital marketing orchestration framework that unifies audience segmentation, campaign automation, attribution-aware predictive analytics and AI content refinement; that remains effective for newly launched products operating under cold-start and limited-data conditions; and whose every reported claim is reproducible from the system itself.</w:t>
      </w:r>
    </w:p>
    <w:p>
      <w:pPr>
        <w:pStyle w:val="Heading3"/>
      </w:pPr>
      <w:r>
        <w:t>1.4.2 Objectives</w:t>
      </w:r>
    </w:p>
    <w:p>
      <w:pPr>
        <w:pStyle w:val="ListNumber"/>
        <w:spacing w:after="80" w:line="312" w:lineRule="auto"/>
        <w:jc w:val="both"/>
      </w:pPr>
      <w:r>
        <w:t xml:space="preserve">To design and implement a hybrid segmentation engine combining rule-based logic with unsupervised clustering, and to evaluate it </w:t>
      </w:r>
      <w:r>
        <w:rPr>
          <w:b/>
        </w:rPr>
        <w:t>against each of its own components</w:t>
      </w:r>
      <w:r>
        <w:t xml:space="preserve"> on segment separation, geometric quality and cold-start survival.</w:t>
      </w:r>
    </w:p>
    <w:p>
      <w:pPr>
        <w:pStyle w:val="ListNumber"/>
        <w:spacing w:after="80" w:line="312" w:lineRule="auto"/>
        <w:jc w:val="both"/>
      </w:pPr>
      <w:r>
        <w:t>To reproduce and quantify the defects found in the project's own research code, establishing what each one actually corrupted.</w:t>
      </w:r>
    </w:p>
    <w:p>
      <w:pPr>
        <w:pStyle w:val="ListNumber"/>
        <w:spacing w:after="80" w:line="312" w:lineRule="auto"/>
        <w:jc w:val="both"/>
      </w:pPr>
      <w:r>
        <w:t>To implement fixed, trigger-based and hybrid campaign policies and compare them over repeated paired trials, reporting operational cost beside outcome, and to check whether the ranking is stable across how response is modelled.</w:t>
      </w:r>
    </w:p>
    <w:p>
      <w:pPr>
        <w:pStyle w:val="ListNumber"/>
        <w:spacing w:after="80" w:line="312" w:lineRule="auto"/>
        <w:jc w:val="both"/>
      </w:pPr>
      <w:r>
        <w:t>To implement and compare first-touch, last-touch, linear and Markov attribution against a known ground truth where one exists, and to quantify their disagreement where one does not.</w:t>
      </w:r>
    </w:p>
    <w:p>
      <w:pPr>
        <w:pStyle w:val="ListNumber"/>
        <w:spacing w:after="80" w:line="312" w:lineRule="auto"/>
        <w:jc w:val="both"/>
      </w:pPr>
      <w:r>
        <w:t>To build conversion and drop-off models, validate them against a baseline with intervals, and state explicitly what applying them to a different audience does and does not preserve.</w:t>
      </w:r>
    </w:p>
    <w:p>
      <w:pPr>
        <w:pStyle w:val="ListNumber"/>
        <w:spacing w:after="80" w:line="312" w:lineRule="auto"/>
        <w:jc w:val="both"/>
      </w:pPr>
      <w:r>
        <w:t>To determine whether the simpler text representation is genuinely competitive with a transformer embedding on the available corpora, using a test appropriate to two classifiers on one test set.</w:t>
      </w:r>
    </w:p>
    <w:p>
      <w:pPr>
        <w:pStyle w:val="ListNumber"/>
        <w:spacing w:after="80" w:line="312" w:lineRule="auto"/>
        <w:jc w:val="both"/>
      </w:pPr>
      <w:r>
        <w:t>To establish whether the engagement corpus contains any usable text signal, correcting for multiple comparisons, and to set the model's influence on content ranking according to the answer.</w:t>
      </w:r>
    </w:p>
    <w:p>
      <w:pPr>
        <w:pStyle w:val="ListNumber"/>
        <w:spacing w:after="80" w:line="312" w:lineRule="auto"/>
        <w:jc w:val="both"/>
      </w:pPr>
      <w:r>
        <w:t>To establish, on data with randomised assignment, whether targeting by uplift and targeting by predicted response are different policies — and to state carefully what that evidence does and does not support.</w:t>
      </w:r>
    </w:p>
    <w:p>
      <w:pPr>
        <w:pStyle w:val="ListNumber"/>
        <w:spacing w:after="80" w:line="312" w:lineRule="auto"/>
        <w:jc w:val="both"/>
      </w:pPr>
      <w:r>
        <w:t>To make the system's own recommendations evaluable by logging every decision with its propensity, and to validate the estimator against a known answer, including the cost of the exploration it requires.</w:t>
      </w:r>
    </w:p>
    <w:p>
      <w:pPr>
        <w:pStyle w:val="ListNumber"/>
        <w:spacing w:after="80" w:line="312" w:lineRule="auto"/>
        <w:jc w:val="both"/>
      </w:pPr>
      <w:r>
        <w:t>To detect what a client's website is actually capable of, so that the action set is a property of the site, and to measure what a larger action set costs in data.</w:t>
      </w:r>
    </w:p>
    <w:p>
      <w:pPr>
        <w:pStyle w:val="ListNumber"/>
        <w:spacing w:after="80" w:line="312" w:lineRule="auto"/>
        <w:jc w:val="both"/>
      </w:pPr>
      <w:r>
        <w:t>To integrate the four modules into one platform over a shared database with a dashboard, and to establish mechanisms that make presenting a reconstructed or simulated result as a measured one structurally difficult.</w:t>
      </w:r>
    </w:p>
    <w:p>
      <w:pPr>
        <w:pStyle w:val="Heading2"/>
      </w:pPr>
      <w:r>
        <w:t>1.5 Proposed Solution</w:t>
      </w:r>
    </w:p>
    <w:p>
      <w:r>
        <w:t>The proposed solution is a four-module orchestration framework sharing one data layer. Each module is an independent research contribution that is separately evaluable, and each is also a producer and consumer of data for its neighbours. The modules are summarised below and specified in detail in Chapters 4 to 6.</w:t>
      </w:r>
    </w:p>
    <w:p>
      <w:pPr>
        <w:pStyle w:val="Heading3"/>
      </w:pPr>
      <w:r>
        <w:t>1.5.1 Module 1 — Audience Targeting and Personalization</w:t>
      </w:r>
    </w:p>
    <w:p>
      <w:r>
        <w:t>Module 1 converts raw behavioural data into labelled audience segments. Three methods run in parallel over the same feature matrix — a rule-based segmenter encoding marketing heuristics, k-means clustering and agglomerative hierarchical clustering — and their outputs are combined by an agreement vote that also yields a calibrated confidence. Five segments are shared across the system: High Intent, Loyal Customer, Price Sensitive, Low Engagement and New Cold User.</w:t>
      </w:r>
    </w:p>
    <w:p>
      <w:r>
        <w:t xml:space="preserve">The load-bearing element is the </w:t>
      </w:r>
      <w:r>
        <w:rPr>
          <w:i/>
        </w:rPr>
        <w:t>order</w:t>
      </w:r>
      <w:r>
        <w:t xml:space="preserve"> of the vote. A customer with almost no history has no distinguishing behavioural signature, so clustering places them at the nearest centroid and the fact that they are new is lost. In the delivered engine the cold-start rule is resolved immediately after unanimity, </w:t>
      </w:r>
      <w:r>
        <w:rPr>
          <w:b/>
        </w:rPr>
        <w:t>before</w:t>
      </w:r>
      <w:r>
        <w:t xml:space="preserve"> any clustering comparison. Section 7.3.2 shows what happens when it is not.</w:t>
      </w:r>
    </w:p>
    <w:p>
      <w:pPr>
        <w:pStyle w:val="Heading3"/>
      </w:pPr>
      <w:r>
        <w:t>1.5.2 Module 2 — Marketing Automation and Campaign Management</w:t>
      </w:r>
    </w:p>
    <w:p>
      <w:r>
        <w:t>Module 2 consumes segments and executes campaigns. Its research purpose is comparative: three policies operate on the same population under the same conditions, so that any difference is attributable to the policy alone.</w:t>
      </w:r>
    </w:p>
    <w:p>
      <w:pPr>
        <w:pStyle w:val="ListBullet"/>
        <w:spacing w:after="80" w:line="312" w:lineRule="auto"/>
        <w:jc w:val="both"/>
      </w:pPr>
      <w:r>
        <w:rPr>
          <w:b/>
        </w:rPr>
        <w:t>Fixed workflow</w:t>
      </w:r>
      <w:r>
        <w:t xml:space="preserve"> — an identical scheduled sequence for every customer; the baseline, and the cheapest to operate.</w:t>
      </w:r>
    </w:p>
    <w:p>
      <w:pPr>
        <w:pStyle w:val="ListBullet"/>
        <w:spacing w:after="80" w:line="312" w:lineRule="auto"/>
        <w:jc w:val="both"/>
      </w:pPr>
      <w:r>
        <w:rPr>
          <w:b/>
        </w:rPr>
        <w:t>Trigger-based</w:t>
      </w:r>
      <w:r>
        <w:t xml:space="preserve"> — the next action is selected from the customer's most recent observed event.</w:t>
      </w:r>
    </w:p>
    <w:p>
      <w:pPr>
        <w:pStyle w:val="ListBullet"/>
        <w:spacing w:after="80" w:line="312" w:lineRule="auto"/>
        <w:jc w:val="both"/>
      </w:pPr>
      <w:r>
        <w:rPr>
          <w:b/>
        </w:rPr>
        <w:t>Hybrid</w:t>
      </w:r>
      <w:r>
        <w:t xml:space="preserve"> — scheduling, behavioural triggers, segment labels and a learned response probability combined in one policy engine.</w:t>
      </w:r>
    </w:p>
    <w:p>
      <w:r>
        <w:t>Execution produces interaction events which become the primary input to Module 3. Policies are compared on conversions per thousand messages rather than per-customer conversion rate, because the latter rewards a policy simply for sending more, and the operational cost of each policy is reported in the same table as its outcome.</w:t>
      </w:r>
    </w:p>
    <w:p>
      <w:pPr>
        <w:pStyle w:val="Heading3"/>
      </w:pPr>
      <w:r>
        <w:t>1.5.3 Module 3 — Marketing Analytics and Decision Support</w:t>
      </w:r>
    </w:p>
    <w:p>
      <w:r>
        <w:t>Module 3 is the intelligence layer. It converts the interaction log into a funnel with drop-off attributed by stage, segment and policy; a comparison of four attribution models; calibrated conversion and drop-off predictions; and ranked, actionable recommendations naming the audience, the action and the platform.</w:t>
      </w:r>
    </w:p>
    <w:p>
      <w:r>
        <w:t xml:space="preserve">Two capabilities were added after the interim stage in response to experimental findings, and they are the module's strongest contributions. </w:t>
      </w:r>
      <w:r>
        <w:rPr>
          <w:b/>
        </w:rPr>
        <w:t>Uplift modelling</w:t>
      </w:r>
      <w:r>
        <w:t xml:space="preserve"> addresses the discovery that ranking by predicted response answers the wrong question. </w:t>
      </w:r>
      <w:r>
        <w:rPr>
          <w:b/>
        </w:rPr>
        <w:t>Off-policy evaluation over a propensity-logged decision record</w:t>
      </w:r>
      <w:r>
        <w:t xml:space="preserve"> addresses the discovery that no borrowed dataset can answer the right question for this system's own actions — so the system must record what it needs to answer it itself, including a deliberate fraction of randomised decisions.</w:t>
      </w:r>
    </w:p>
    <w:p>
      <w:pPr>
        <w:pStyle w:val="Heading3"/>
      </w:pPr>
      <w:r>
        <w:t>1.5.4 Module 4 — AI Content Refinery and Multi-Platform Distribution</w:t>
      </w:r>
    </w:p>
    <w:p>
      <w:r>
        <w:t>Module 4 crawls the client's own website, extracts a business summary and brand vocabulary, classifies campaign goal and tone, and generates platform-specific assets — captions, hashtags, calls to action, image prompts and short-video briefs.</w:t>
      </w:r>
    </w:p>
    <w:p>
      <w:r>
        <w:t xml:space="preserve">It also performs </w:t>
      </w:r>
      <w:r>
        <w:rPr>
          <w:b/>
        </w:rPr>
        <w:t>capability detection</w:t>
      </w:r>
      <w:r>
        <w:t>: reading the site to establish what it can actually do — sell, take subscriptions, capture leads, accept donations — so that the action catalogue offered to Module 3 is a property of the website rather than a fixed list. Each generated asset is scored on semantic similarity to the source material, rule-based platform suitability and predicted engagement, with the weight of the last set by what Section 7.3.7 shows it is worth.</w:t>
      </w:r>
    </w:p>
    <w:p>
      <w:pPr>
        <w:pStyle w:val="Heading3"/>
      </w:pPr>
      <w:r>
        <w:t>1.5.5 Flow of the Overall System</w:t>
      </w:r>
    </w:p>
    <w:p>
      <w:r>
        <w:t>Figure 1 shows the end-to-end flow. The audience — 8,000 imported customers of a demonstration e-commerce store, plus any live browser sessions — is segmented by Module 1. Module 2 selects and executes a campaign action per segment. The resulting interaction events, and every decision taken with the probability it was taken under, are logged. Module 3 analyses those events and produces predictions and recommendations; Module 4 generates content for the next cycle using Module 3's platform priorities and the site's detected capabilities.</w:t>
      </w:r>
    </w:p>
    <w:p>
      <w:pPr>
        <w:keepNext/>
        <w:keepLines/>
        <w:spacing w:before="360" w:after="120" w:line="240" w:lineRule="auto"/>
        <w:jc w:val="center"/>
      </w:pPr>
      <w:r>
        <w:drawing>
          <wp:inline xmlns:a="http://schemas.openxmlformats.org/drawingml/2006/main" xmlns:pic="http://schemas.openxmlformats.org/drawingml/2006/picture">
            <wp:extent cx="5760720" cy="3295682"/>
            <wp:docPr id="1" name="Picture 1"/>
            <wp:cNvGraphicFramePr>
              <a:graphicFrameLocks noChangeAspect="1"/>
            </wp:cNvGraphicFramePr>
            <a:graphic>
              <a:graphicData uri="http://schemas.openxmlformats.org/drawingml/2006/picture">
                <pic:pic>
                  <pic:nvPicPr>
                    <pic:cNvPr id="0" name="fig01_closed_loop.png"/>
                    <pic:cNvPicPr/>
                  </pic:nvPicPr>
                  <pic:blipFill>
                    <a:blip r:embed="rId11"/>
                    <a:stretch>
                      <a:fillRect/>
                    </a:stretch>
                  </pic:blipFill>
                  <pic:spPr>
                    <a:xfrm>
                      <a:off x="0" y="0"/>
                      <a:ext cx="5760720" cy="3295682"/>
                    </a:xfrm>
                    <a:prstGeom prst="rect"/>
                  </pic:spPr>
                </pic:pic>
              </a:graphicData>
            </a:graphic>
          </wp:inline>
        </w:drawing>
      </w:r>
    </w:p>
    <w:p>
      <w:pPr>
        <w:pStyle w:val="Caption"/>
        <w:keepLines/>
        <w:spacing w:before="40" w:after="400" w:line="240" w:lineRule="auto"/>
      </w:pPr>
      <w:r>
        <w:rPr>
          <w:b w:val="0"/>
          <w:i w:val="0"/>
        </w:rPr>
        <w:t>Figure 1 — Closed-loop flow of the overall orchestration framework. The loop closes twice: through analytics feedback, and through the propensity-logged decision record that makes the policy itself evaluable.</w:t>
      </w:r>
    </w:p>
    <w:p>
      <w:r>
        <w:t>The loop is genuine rather than decorative. Module 3's attribution credit changes which platform Module 4 writes for first; the highest-scoring content asset becomes the opening message of the next campaign plan; and the decision log makes it possible to estimate what a candidate policy would have achieved without deploying it to anybody. Chapter 7 reports the measurement of each of these paths.</w:t>
      </w:r>
    </w:p>
    <w:p>
      <w:r>
        <w:br w:type="page"/>
      </w:r>
    </w:p>
    <w:p>
      <w:pPr>
        <w:pStyle w:val="Heading1"/>
      </w:pPr>
      <w:r>
        <w:t>CHAPTER 2 — RELATED WORK</w:t>
      </w:r>
    </w:p>
    <w:p>
      <w:pPr>
        <w:pStyle w:val="Heading2"/>
      </w:pPr>
      <w:r>
        <w:t>2.1 Introduction</w:t>
      </w:r>
    </w:p>
    <w:p>
      <w:r>
        <w:t>This chapter reviews the research this project builds on and positions the proposed framework against it. It is organised in four parts: work addressing the marketing pipeline as a whole (Section 2.2); work specific to each module (Section 2.3); work on causal targeting and off-policy evaluation, which the project reached only after its interim stage (Section 2.4); and the research gaps that follow (Section 2.5). Throughout, the review asks two questions that are decisive here — whether a technique remains usable when interaction data is scarce, and whether its output is connected to any downstream decision.</w:t>
      </w:r>
    </w:p>
    <w:p>
      <w:pPr>
        <w:pStyle w:val="Heading2"/>
      </w:pPr>
      <w:r>
        <w:t>2.2 Overall Related Work</w:t>
      </w:r>
    </w:p>
    <w:p>
      <w:r>
        <w:t>Wedel and Kannan [49] survey marketing analytics for data-rich environments and establish the analytical vocabulary — segmentation, response modelling, attribution — that most subsequent work adopts. Their framing is explicit about its premise: the methods assume abundant historical data. Davenport et al. [12] and Huang and Rust [21] examine how artificial intelligence changes marketing practice, and both identify integration across the marketing function as the principal unrealised opportunity, while stopping short of specifying or evaluating an integrated architecture.</w:t>
      </w:r>
    </w:p>
    <w:p>
      <w:r>
        <w:t>Kotler et al. [24] describe the strategic case for technology-led marketing, and Chaffey and Ellis-Chadwick [8] give the operational treatment of channel-specific strategy that informs the platform-aware element of Module 4. Kumar et al. [26] review the digital transformation of marketing and note the persistent gap between the analytics an organisation collects and the decisions it actually takes — the gap Module 3 is designed to close.</w:t>
      </w:r>
    </w:p>
    <w:p>
      <w:r>
        <w:t>Verma et al. [48] conduct a systematic review of AI in marketing and report that the overwhelming majority of studies address a single function in isolation. Where a full pipeline is proposed it is generally presented as an architecture diagram rather than an implemented and measured system. Two consequences follow. First, the interaction effects between modules are unknown: whether better segmentation actually improves campaign outcomes is rarely measured, because the two are rarely measured together. Second, the cost of integration is invisible. This project responds by implementing the pipeline end to end and reporting the interaction effects it produces — including, in Section 7.3.1, one that is smaller than the team expected.</w:t>
      </w:r>
    </w:p>
    <w:p>
      <w:r>
        <w:t>Commercial systems do integrate these functions, but as closed products they publish neither their methods nor controlled comparisons, and their models are trained on the mature customer bases of established enterprises. Their cold-start behaviour is undocumented and their results are not reproducible.</w:t>
      </w:r>
    </w:p>
    <w:p>
      <w:pPr>
        <w:pStyle w:val="Heading2"/>
      </w:pPr>
      <w:r>
        <w:t>2.3 Module-wise Related Work</w:t>
      </w:r>
    </w:p>
    <w:p>
      <w:pPr>
        <w:pStyle w:val="Heading3"/>
      </w:pPr>
      <w:r>
        <w:t>2.3.1 Audience Segmentation and Personalization</w:t>
      </w:r>
    </w:p>
    <w:p>
      <w:r>
        <w:t xml:space="preserve">Customer segmentation moved from demographic rules to behavioural clustering as machine learning became routine. Han et al. [16] give the standard treatment of k-means and hierarchical clustering, and Aggarwal [2] and Hastie et al. [17] cover the assumptions each carries — in particular k-means's assumption of roughly spherical, similarly sized clusters and its requirement that </w:t>
      </w:r>
      <w:r>
        <w:rPr>
          <w:i/>
        </w:rPr>
        <w:t>k</w:t>
      </w:r>
      <w:r>
        <w:t xml:space="preserve"> be fixed in advance. Alves Gomes and Meisen [3] review segmentation for e-commerce personalisation and find that cluster-quality metrics dominate the evaluation literature while downstream marketing outcomes are rarely reported.</w:t>
      </w:r>
    </w:p>
    <w:p>
      <w:r>
        <w:t xml:space="preserve">Hybrid approaches combining business rules with clustering are proposed to retain interpretability while gaining adaptability, and are reported to improve personalisation reliability relative to either alone. What that literature does not address is </w:t>
      </w:r>
      <w:r>
        <w:rPr>
          <w:b/>
        </w:rPr>
        <w:t>arbitration</w:t>
      </w:r>
      <w:r>
        <w:t>: when the rule and the cluster disagree, which wins? This project found the answer to be consequential in two separate ways. Resolving disagreement in favour of clustering silently destroys the cold-start segment (Section 7.3.2), and — measured directly against its own components — the hybrid does not separate conversion better than the rules at all (Section 7.3.1). Neither finding is available to a study that does not run the ablation.</w:t>
      </w:r>
    </w:p>
    <w:p>
      <w:r>
        <w:t xml:space="preserve">The cold-start problem itself is well characterised in recommender systems. Schein et al. [42] define the methods and metrics; Bobadilla et al. [5] and Ricci et al. [40] survey the mitigations. That work concerns recommending </w:t>
      </w:r>
      <w:r>
        <w:rPr>
          <w:i/>
        </w:rPr>
        <w:t>items</w:t>
      </w:r>
      <w:r>
        <w:t xml:space="preserve"> to users with no history. The analogous marketing problem — </w:t>
      </w:r>
      <w:r>
        <w:rPr>
          <w:i/>
        </w:rPr>
        <w:t>segmenting</w:t>
      </w:r>
      <w:r>
        <w:t xml:space="preserve"> users who have no history, for a product that has none either — receives markedly less attention, and is the specific gap Module 1 addresses.</w:t>
      </w:r>
    </w:p>
    <w:p>
      <w:pPr>
        <w:pStyle w:val="Heading3"/>
      </w:pPr>
      <w:r>
        <w:t>2.3.2 Marketing Automation and Campaign Management</w:t>
      </w:r>
    </w:p>
    <w:p>
      <w:r>
        <w:t>Chaffey and Ellis-Chadwick [8] document fixed-workflow campaign management and its limitations: identical sequences delivered regardless of behaviour produce low engagement and slow conversion. Davenport et al. [12] describe behaviour-triggered automation and report improved relevance at the cost of growing rule complexity. Kumar and Reinartz [27] propose a blended approach in which a stable base workflow is modulated by predicted engagement probability.</w:t>
      </w:r>
    </w:p>
    <w:p>
      <w:r>
        <w:t>Predictive campaign optimisation applies supervised learning to response prediction; Provost and Fawcett [37] set out the practical framing. Sutton and Barto [44] provide the foundation for reinforcement-learning approaches to sequential campaign decisions, attractive in principle but requiring extensive interaction histories and carefully designed rewards, which restricts them to warm-start settings.</w:t>
      </w:r>
    </w:p>
    <w:p>
      <w:r>
        <w:t>Two gaps persist. Controlled comparison is rare: the three policies are seldom run on the same users under the same conditions, so reported differences confound policy with population. And operational cost is almost never measured alongside effectiveness, although it is decisive in practice. Module 2 addresses both by running all three policies over an identical 8,000-customer cohort across thirty paired seeds, and reporting rule count and message volume beside conversion.</w:t>
      </w:r>
    </w:p>
    <w:p>
      <w:pPr>
        <w:pStyle w:val="Heading3"/>
      </w:pPr>
      <w:r>
        <w:t>2.3.3 Marketing Analytics and Attribution</w:t>
      </w:r>
    </w:p>
    <w:p>
      <w:r>
        <w:t>Funnel analysis is the established framework for locating loss in the customer journey. Court et al. [10] introduced the consumer decision journey, arguing that purchase paths are not linear, and Järvinen and Karjaluoto [22] show that stage-to-stage transition analysis is more actionable than any single aggregate metric. Its limitation is that funnel reporting is descriptive: it identifies the leak without prescribing the repair.</w:t>
      </w:r>
    </w:p>
    <w:p>
      <w:r>
        <w:t>Attribution modelling assigns conversion credit across touchpoints. First- and last-touch attribution are computationally trivial and, as Dalessandro et al. [11] argue, causally unsound — they assign all credit to one interaction on the basis of position alone. Shao and Li [43] present data-driven multi-touch attribution learning contribution weights from interaction sequences. Markov-chain and Shapley-value formulations extend this at the cost of requiring substantial journey volume.</w:t>
      </w:r>
    </w:p>
    <w:p>
      <w:r>
        <w:t xml:space="preserve">A methodological weakness runs through this literature: attribution models are usually compared with one another rather than against a known ground truth, because in observational data the true credit is unobservable. Module 3 addresses this on both sides. Where journeys are simulated the true channel influence is known by construction, so each model can be scored by mean absolute error. Where they are not, the module reports </w:t>
      </w:r>
      <w:r>
        <w:rPr>
          <w:b/>
        </w:rPr>
        <w:t>disagreement</w:t>
      </w:r>
      <w:r>
        <w:t xml:space="preserve"> instead of accuracy, and Section 7.3.4 shows that disagreement to reach 68 % of all attributed credit.</w:t>
      </w:r>
    </w:p>
    <w:p>
      <w:pPr>
        <w:pStyle w:val="Heading3"/>
      </w:pPr>
      <w:r>
        <w:t>2.3.4 AI Content Generation and Multi-Platform Optimisation</w:t>
      </w:r>
    </w:p>
    <w:p>
      <w:r>
        <w:t>Transformer architectures [47] and large pre-trained language models [6] made fluent, controllable text generation practical, and Tunstall et al. [45] document the applied pipeline. Sentence embeddings [53] and BERTScore [50] provide the standard means of checking that generated text preserves source meaning, and Radford et al. [38] and Li et al. [28] extend the approach to multimodal content.</w:t>
      </w:r>
    </w:p>
    <w:p>
      <w:r>
        <w:t>Platform-aware optimisation is emphasised in the practitioner literature [8], [25]: platforms differ in length conventions, hashtag norms, formality and format expectation, so republishing one message everywhere underperforms. Rule-based platform-fit scoring is straightforward and is adopted in Module 4.</w:t>
      </w:r>
    </w:p>
    <w:p>
      <w:r>
        <w:t>Engagement prediction is the weakest link. Models are trained to predict likes, shares or engagement rate from post features, but outcomes are dominated by factors absent from the text — platform ranking algorithms, timing, follower composition, trending topics. Reported successes are frequently inflated by leakage when engagement components remain among the features. This project encountered exactly that defect in its own code and reports the corrected result — no demonstrable skill, and no text feature surviving multiple-comparison correction — as a finding rather than removing the model.</w:t>
      </w:r>
    </w:p>
    <w:p>
      <w:r>
        <w:t>Finally, the literature almost never connects content generation either to campaign analytics or to what the client can actually do. Generated content is evaluated on linguistic quality in isolation. Module 4 consumes Module 3's attribution output to order platform generation, and detects site capability so that the system does not recommend an action the website cannot perform.</w:t>
      </w:r>
    </w:p>
    <w:p>
      <w:pPr>
        <w:pStyle w:val="Heading2"/>
      </w:pPr>
      <w:r>
        <w:t>2.4 Causal Targeting and Off-Policy Evaluation</w:t>
      </w:r>
    </w:p>
    <w:p>
      <w:r>
        <w:t>This section covers the literature the project reached only after its interim evaluation, and it is where the strongest results in Chapter 7 come from.</w:t>
      </w:r>
    </w:p>
    <w:p>
      <w:r>
        <w:rPr>
          <w:b/>
        </w:rPr>
        <w:t>Uplift modelling.</w:t>
      </w:r>
      <w:r>
        <w:t xml:space="preserve"> Radcliffe and Surry [39] and Gutierrez and Gérardy [51] formalise the distinction between predicting response and predicting the </w:t>
      </w:r>
      <w:r>
        <w:rPr>
          <w:i/>
        </w:rPr>
        <w:t>incremental effect of an intervention</w:t>
      </w:r>
      <w:r>
        <w:t>. A customer who would have converted anyway contributes to a response model's accuracy while contributing nothing to the campaign; a customer whose behaviour the message actually changes is what the campaign is for. The S-learner and T-learner formulations, and the Qini curve used to evaluate them, come from this literature. Its practical constraint is severe and is respected here: uplift is identifiable only where assignment was randomised, which is why Experiment E8 uses Hillstrom's randomised dataset [58] and why the report explicitly declines to compute uplift on its own audience.</w:t>
      </w:r>
    </w:p>
    <w:p>
      <w:r>
        <w:rPr>
          <w:b/>
        </w:rPr>
        <w:t>Off-policy evaluation.</w:t>
      </w:r>
      <w:r>
        <w:t xml:space="preserve"> Horvitz and Thompson [59] give the inverse-propensity estimator; Dudík et al. [60] develop the doubly-robust variant; Swaminathan and Joachims [61] cover self-normalisation and its bias–variance behaviour. The core result this project depends on is that these estimators are unbiased only when every action had non-zero probability of being taken — which a deterministic policy violates by construction. Li et al. [62] demonstrate unbiased offline evaluation of news recommendation from logged data with recorded propensities. This is the literature that converts a vague intention to </w:t>
      </w:r>
      <w:r>
        <w:rPr>
          <w:i/>
        </w:rPr>
        <w:t>learn from feedback</w:t>
      </w:r>
      <w:r>
        <w:t xml:space="preserve"> into a specific engineering requirement: log the propensity, and explore on purpose.</w:t>
      </w:r>
    </w:p>
    <w:p>
      <w:r>
        <w:t xml:space="preserve">What this body of work does not supply is a marketing system that actually records it. The gap Module 3 addresses is not the estimator — that is well established — but the finding, measured in Section 7.3.9, that a deterministic log looks </w:t>
      </w:r>
      <w:r>
        <w:rPr>
          <w:i/>
        </w:rPr>
        <w:t>more</w:t>
      </w:r>
      <w:r>
        <w:t xml:space="preserve"> trustworthy by the usual diagnostic while being biased upwards, and the consequence that exploration has to be designed in rather than hoped for.</w:t>
      </w:r>
    </w:p>
    <w:p>
      <w:pPr>
        <w:pStyle w:val="Heading2"/>
      </w:pPr>
      <w:r>
        <w:t>2.5 Research Gaps</w:t>
      </w:r>
    </w:p>
    <w:p>
      <w:r>
        <w:t>The review identifies eight gaps that define this project's contribution.</w:t>
      </w:r>
    </w:p>
    <w:p>
      <w:pPr>
        <w:pStyle w:val="TableCaption"/>
      </w:pPr>
      <w:r>
        <w:rPr>
          <w:b w:val="0"/>
          <w:i w:val="0"/>
        </w:rPr>
        <w:t>Table 1 — Research gaps identified in the literature and the response of this project.</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w:t>
            </w:r>
          </w:p>
        </w:tc>
        <w:tc>
          <w:tcPr>
            <w:tcW w:type="dxa" w:w="2890"/>
            <w:shd w:val="clear" w:color="auto" w:fill="E8EEF6"/>
          </w:tcPr>
          <w:p>
            <w:pPr>
              <w:spacing w:after="40" w:line="240" w:lineRule="auto"/>
              <w:jc w:val="center"/>
            </w:pPr>
            <w:r/>
            <w:r>
              <w:rPr>
                <w:b/>
                <w:sz w:val="20"/>
              </w:rPr>
              <w:t>Research gap</w:t>
            </w:r>
          </w:p>
        </w:tc>
        <w:tc>
          <w:tcPr>
            <w:tcW w:type="dxa" w:w="2890"/>
            <w:shd w:val="clear" w:color="auto" w:fill="E8EEF6"/>
          </w:tcPr>
          <w:p>
            <w:pPr>
              <w:spacing w:after="40" w:line="240" w:lineRule="auto"/>
              <w:jc w:val="center"/>
            </w:pPr>
            <w:r/>
            <w:r>
              <w:rPr>
                <w:b/>
                <w:sz w:val="20"/>
              </w:rPr>
              <w:t>How this project responds</w:t>
            </w:r>
          </w:p>
        </w:tc>
      </w:tr>
      <w:tr>
        <w:tc>
          <w:tcPr>
            <w:tcW w:type="dxa" w:w="2890"/>
          </w:tcPr>
          <w:p>
            <w:pPr>
              <w:spacing w:after="40" w:line="240" w:lineRule="auto"/>
              <w:jc w:val="left"/>
            </w:pPr>
            <w:r/>
            <w:r>
              <w:rPr>
                <w:b w:val="0"/>
                <w:sz w:val="20"/>
              </w:rPr>
              <w:t>G1</w:t>
            </w:r>
          </w:p>
        </w:tc>
        <w:tc>
          <w:tcPr>
            <w:tcW w:type="dxa" w:w="2890"/>
          </w:tcPr>
          <w:p>
            <w:pPr>
              <w:spacing w:after="40" w:line="240" w:lineRule="auto"/>
              <w:jc w:val="center"/>
            </w:pPr>
            <w:r/>
            <w:r>
              <w:rPr>
                <w:b w:val="0"/>
                <w:sz w:val="20"/>
              </w:rPr>
              <w:t>Segmentation, automation, analytics and content are studied and built separately; integration is asserted, not measured.</w:t>
            </w:r>
          </w:p>
        </w:tc>
        <w:tc>
          <w:tcPr>
            <w:tcW w:type="dxa" w:w="2890"/>
          </w:tcPr>
          <w:p>
            <w:pPr>
              <w:spacing w:after="40" w:line="240" w:lineRule="auto"/>
              <w:jc w:val="center"/>
            </w:pPr>
            <w:r/>
            <w:r>
              <w:rPr>
                <w:b w:val="0"/>
                <w:sz w:val="20"/>
              </w:rPr>
              <w:t>All four modules implemented over one shared data layer with measured feedback paths (Ch. 5–7).</w:t>
            </w:r>
          </w:p>
        </w:tc>
      </w:tr>
      <w:tr>
        <w:tc>
          <w:tcPr>
            <w:tcW w:type="dxa" w:w="2890"/>
          </w:tcPr>
          <w:p>
            <w:pPr>
              <w:spacing w:after="40" w:line="240" w:lineRule="auto"/>
              <w:jc w:val="left"/>
            </w:pPr>
            <w:r/>
            <w:r>
              <w:rPr>
                <w:b w:val="0"/>
                <w:sz w:val="20"/>
              </w:rPr>
              <w:t>G2</w:t>
            </w:r>
          </w:p>
        </w:tc>
        <w:tc>
          <w:tcPr>
            <w:tcW w:type="dxa" w:w="2890"/>
          </w:tcPr>
          <w:p>
            <w:pPr>
              <w:spacing w:after="40" w:line="240" w:lineRule="auto"/>
              <w:jc w:val="center"/>
            </w:pPr>
            <w:r/>
            <w:r>
              <w:rPr>
                <w:b w:val="0"/>
                <w:sz w:val="20"/>
              </w:rPr>
              <w:t>Cold-start marketing is under-researched; methods assume mature customer data.</w:t>
            </w:r>
          </w:p>
        </w:tc>
        <w:tc>
          <w:tcPr>
            <w:tcW w:type="dxa" w:w="2890"/>
          </w:tcPr>
          <w:p>
            <w:pPr>
              <w:spacing w:after="40" w:line="240" w:lineRule="auto"/>
              <w:jc w:val="center"/>
            </w:pPr>
            <w:r/>
            <w:r>
              <w:rPr>
                <w:b w:val="0"/>
                <w:sz w:val="20"/>
              </w:rPr>
              <w:t>Hybrid segmentation with cold-start precedence in the vote and a minimum-audience refusal rule (§4.2, §7.3.1).</w:t>
            </w:r>
          </w:p>
        </w:tc>
      </w:tr>
      <w:tr>
        <w:tc>
          <w:tcPr>
            <w:tcW w:type="dxa" w:w="2890"/>
          </w:tcPr>
          <w:p>
            <w:pPr>
              <w:spacing w:after="40" w:line="240" w:lineRule="auto"/>
              <w:jc w:val="left"/>
            </w:pPr>
            <w:r/>
            <w:r>
              <w:rPr>
                <w:b w:val="0"/>
                <w:sz w:val="20"/>
              </w:rPr>
              <w:t>G3</w:t>
            </w:r>
          </w:p>
        </w:tc>
        <w:tc>
          <w:tcPr>
            <w:tcW w:type="dxa" w:w="2890"/>
          </w:tcPr>
          <w:p>
            <w:pPr>
              <w:spacing w:after="40" w:line="240" w:lineRule="auto"/>
              <w:jc w:val="center"/>
            </w:pPr>
            <w:r/>
            <w:r>
              <w:rPr>
                <w:b w:val="0"/>
                <w:sz w:val="20"/>
              </w:rPr>
              <w:t>Hybrid segmentation is proposed without arbitration rules or an ablation against its own components.</w:t>
            </w:r>
          </w:p>
        </w:tc>
        <w:tc>
          <w:tcPr>
            <w:tcW w:type="dxa" w:w="2890"/>
          </w:tcPr>
          <w:p>
            <w:pPr>
              <w:spacing w:after="40" w:line="240" w:lineRule="auto"/>
              <w:jc w:val="center"/>
            </w:pPr>
            <w:r/>
            <w:r>
              <w:rPr>
                <w:b w:val="0"/>
                <w:sz w:val="20"/>
              </w:rPr>
              <w:t>Full ablation over the same customers; the negative result reported as the headline (§7.3.1).</w:t>
            </w:r>
          </w:p>
        </w:tc>
      </w:tr>
      <w:tr>
        <w:tc>
          <w:tcPr>
            <w:tcW w:type="dxa" w:w="2890"/>
          </w:tcPr>
          <w:p>
            <w:pPr>
              <w:spacing w:after="40" w:line="240" w:lineRule="auto"/>
              <w:jc w:val="left"/>
            </w:pPr>
            <w:r/>
            <w:r>
              <w:rPr>
                <w:b w:val="0"/>
                <w:sz w:val="20"/>
              </w:rPr>
              <w:t>G4</w:t>
            </w:r>
          </w:p>
        </w:tc>
        <w:tc>
          <w:tcPr>
            <w:tcW w:type="dxa" w:w="2890"/>
          </w:tcPr>
          <w:p>
            <w:pPr>
              <w:spacing w:after="40" w:line="240" w:lineRule="auto"/>
              <w:jc w:val="center"/>
            </w:pPr>
            <w:r/>
            <w:r>
              <w:rPr>
                <w:b w:val="0"/>
                <w:sz w:val="20"/>
              </w:rPr>
              <w:t>Automation policies are asserted, not compared under controlled conditions.</w:t>
            </w:r>
          </w:p>
        </w:tc>
        <w:tc>
          <w:tcPr>
            <w:tcW w:type="dxa" w:w="2890"/>
          </w:tcPr>
          <w:p>
            <w:pPr>
              <w:spacing w:after="40" w:line="240" w:lineRule="auto"/>
              <w:jc w:val="center"/>
            </w:pPr>
            <w:r/>
            <w:r>
              <w:rPr>
                <w:b w:val="0"/>
                <w:sz w:val="20"/>
              </w:rPr>
              <w:t>Three policies, 8,000 customers, 30 paired seeds, cost reported beside outcome (§7.3.3).</w:t>
            </w:r>
          </w:p>
        </w:tc>
      </w:tr>
      <w:tr>
        <w:tc>
          <w:tcPr>
            <w:tcW w:type="dxa" w:w="2890"/>
          </w:tcPr>
          <w:p>
            <w:pPr>
              <w:spacing w:after="40" w:line="240" w:lineRule="auto"/>
              <w:jc w:val="left"/>
            </w:pPr>
            <w:r/>
            <w:r>
              <w:rPr>
                <w:b w:val="0"/>
                <w:sz w:val="20"/>
              </w:rPr>
              <w:t>G5</w:t>
            </w:r>
          </w:p>
        </w:tc>
        <w:tc>
          <w:tcPr>
            <w:tcW w:type="dxa" w:w="2890"/>
          </w:tcPr>
          <w:p>
            <w:pPr>
              <w:spacing w:after="40" w:line="240" w:lineRule="auto"/>
              <w:jc w:val="center"/>
            </w:pPr>
            <w:r/>
            <w:r>
              <w:rPr>
                <w:b w:val="0"/>
                <w:sz w:val="20"/>
              </w:rPr>
              <w:t>Attribution models are compared to each other, not to a ground truth, and disagreement is not quantified.</w:t>
            </w:r>
          </w:p>
        </w:tc>
        <w:tc>
          <w:tcPr>
            <w:tcW w:type="dxa" w:w="2890"/>
          </w:tcPr>
          <w:p>
            <w:pPr>
              <w:spacing w:after="40" w:line="240" w:lineRule="auto"/>
              <w:jc w:val="center"/>
            </w:pPr>
            <w:r/>
            <w:r>
              <w:rPr>
                <w:b w:val="0"/>
                <w:sz w:val="20"/>
              </w:rPr>
              <w:t>MAE against known influence where it exists; total disagreement where it does not (§7.3.4).</w:t>
            </w:r>
          </w:p>
        </w:tc>
      </w:tr>
      <w:tr>
        <w:tc>
          <w:tcPr>
            <w:tcW w:type="dxa" w:w="2890"/>
          </w:tcPr>
          <w:p>
            <w:pPr>
              <w:spacing w:after="40" w:line="240" w:lineRule="auto"/>
              <w:jc w:val="left"/>
            </w:pPr>
            <w:r/>
            <w:r>
              <w:rPr>
                <w:b w:val="0"/>
                <w:sz w:val="20"/>
              </w:rPr>
              <w:t>G6</w:t>
            </w:r>
          </w:p>
        </w:tc>
        <w:tc>
          <w:tcPr>
            <w:tcW w:type="dxa" w:w="2890"/>
          </w:tcPr>
          <w:p>
            <w:pPr>
              <w:spacing w:after="40" w:line="240" w:lineRule="auto"/>
              <w:jc w:val="center"/>
            </w:pPr>
            <w:r/>
            <w:r>
              <w:rPr>
                <w:b w:val="0"/>
                <w:sz w:val="20"/>
              </w:rPr>
              <w:t>Recommenders rank by predicted response, which is not the question a campaign asks.</w:t>
            </w:r>
          </w:p>
        </w:tc>
        <w:tc>
          <w:tcPr>
            <w:tcW w:type="dxa" w:w="2890"/>
          </w:tcPr>
          <w:p>
            <w:pPr>
              <w:spacing w:after="40" w:line="240" w:lineRule="auto"/>
              <w:jc w:val="center"/>
            </w:pPr>
            <w:r/>
            <w:r>
              <w:rPr>
                <w:b w:val="0"/>
                <w:sz w:val="20"/>
              </w:rPr>
              <w:t>Uplift versus response compared on randomised data, with the limits of that evidence stated (§7.3.8).</w:t>
            </w:r>
          </w:p>
        </w:tc>
      </w:tr>
      <w:tr>
        <w:tc>
          <w:tcPr>
            <w:tcW w:type="dxa" w:w="2890"/>
          </w:tcPr>
          <w:p>
            <w:pPr>
              <w:spacing w:after="40" w:line="240" w:lineRule="auto"/>
              <w:jc w:val="left"/>
            </w:pPr>
            <w:r/>
            <w:r>
              <w:rPr>
                <w:b w:val="0"/>
                <w:sz w:val="20"/>
              </w:rPr>
              <w:t>G7</w:t>
            </w:r>
          </w:p>
        </w:tc>
        <w:tc>
          <w:tcPr>
            <w:tcW w:type="dxa" w:w="2890"/>
          </w:tcPr>
          <w:p>
            <w:pPr>
              <w:spacing w:after="40" w:line="240" w:lineRule="auto"/>
              <w:jc w:val="center"/>
            </w:pPr>
            <w:r/>
            <w:r>
              <w:rPr>
                <w:b w:val="0"/>
                <w:sz w:val="20"/>
              </w:rPr>
              <w:t>Marketing systems record no basis for evaluating their own policy.</w:t>
            </w:r>
          </w:p>
        </w:tc>
        <w:tc>
          <w:tcPr>
            <w:tcW w:type="dxa" w:w="2890"/>
          </w:tcPr>
          <w:p>
            <w:pPr>
              <w:spacing w:after="40" w:line="240" w:lineRule="auto"/>
              <w:jc w:val="center"/>
            </w:pPr>
            <w:r/>
            <w:r>
              <w:rPr>
                <w:b w:val="0"/>
                <w:sz w:val="20"/>
              </w:rPr>
              <w:t>Propensity-logged decision record with deliberate exploration; estimator validated against a known answer (§7.3.9).</w:t>
            </w:r>
          </w:p>
        </w:tc>
      </w:tr>
      <w:tr>
        <w:tc>
          <w:tcPr>
            <w:tcW w:type="dxa" w:w="2890"/>
          </w:tcPr>
          <w:p>
            <w:pPr>
              <w:spacing w:after="40" w:line="240" w:lineRule="auto"/>
              <w:jc w:val="left"/>
            </w:pPr>
            <w:r/>
            <w:r>
              <w:rPr>
                <w:b w:val="0"/>
                <w:sz w:val="20"/>
              </w:rPr>
              <w:t>G8</w:t>
            </w:r>
          </w:p>
        </w:tc>
        <w:tc>
          <w:tcPr>
            <w:tcW w:type="dxa" w:w="2890"/>
          </w:tcPr>
          <w:p>
            <w:pPr>
              <w:spacing w:after="40" w:line="240" w:lineRule="auto"/>
              <w:jc w:val="center"/>
            </w:pPr>
            <w:r/>
            <w:r>
              <w:rPr>
                <w:b w:val="0"/>
                <w:sz w:val="20"/>
              </w:rPr>
              <w:t>Content tools ignore both measured platform performance and what the client's site can do.</w:t>
            </w:r>
          </w:p>
        </w:tc>
        <w:tc>
          <w:tcPr>
            <w:tcW w:type="dxa" w:w="2890"/>
          </w:tcPr>
          <w:p>
            <w:pPr>
              <w:spacing w:after="40" w:line="240" w:lineRule="auto"/>
              <w:jc w:val="center"/>
            </w:pPr>
            <w:r/>
            <w:r>
              <w:rPr>
                <w:b w:val="0"/>
                <w:sz w:val="20"/>
              </w:rPr>
              <w:t>Attribution-driven platform ordering and per-site capability detection (§4.5, §7.3.10).</w:t>
            </w:r>
          </w:p>
        </w:tc>
      </w:tr>
    </w:tbl>
    <w:p>
      <w:pPr>
        <w:spacing w:after="120"/>
      </w:pPr>
    </w:p>
    <w:p>
      <w:pPr>
        <w:pStyle w:val="Heading2"/>
      </w:pPr>
      <w:r>
        <w:t>2.6 Summary</w:t>
      </w:r>
    </w:p>
    <w:p>
      <w:r>
        <w:t>The reviewed literature provides mature methods for each individual marketing function but leaves four things open: the behaviour of these methods when interaction data is scarce; the measured effect of connecting them into one loop; the honest evaluation of models whose reported performance is easily inflated by leakage or by evaluation on the data that generated them; and the gap between knowing that off-policy evaluation requires logged propensities and building a marketing system that records them. These four concerns shape the approach in Chapter 4, the design in Chapter 5 and the experimental programme in Chapter 7.</w:t>
      </w:r>
    </w:p>
    <w:p>
      <w:r>
        <w:br w:type="page"/>
      </w:r>
    </w:p>
    <w:p>
      <w:pPr>
        <w:pStyle w:val="Heading1"/>
      </w:pPr>
      <w:r>
        <w:t>CHAPTER 3 — TECHNOLOGY ADAPTED</w:t>
      </w:r>
    </w:p>
    <w:p>
      <w:pPr>
        <w:pStyle w:val="Heading2"/>
      </w:pPr>
      <w:r>
        <w:t>3.1 Introduction</w:t>
      </w:r>
    </w:p>
    <w:p>
      <w:r>
        <w:t>This chapter describes the technologies selected to implement the framework and the reasoning behind each choice. Selection was governed by four criteria: suitability for machine-learning research; the ability to run all four modules behind a single service; reproducibility, so that any reported result can be regenerated by an examiner; and modest resource requirements, since the framework targets small organisations. Section 3.7 records where the delivered stack differs from the interim report and why.</w:t>
      </w:r>
    </w:p>
    <w:p>
      <w:pPr>
        <w:pStyle w:val="Heading2"/>
      </w:pPr>
      <w:r>
        <w:t>3.2 Programming Languages</w:t>
      </w:r>
    </w:p>
    <w:p>
      <w:pPr>
        <w:pStyle w:val="Heading3"/>
      </w:pPr>
      <w:r>
        <w:t>3.2.1 Python</w:t>
      </w:r>
    </w:p>
    <w:p>
      <w:r>
        <w:t>Python 3.11 is the primary language. All four research modules, the data importer, the model training scripts, the eleven experiments, the statistics layer and the backend service are written in Python. It was selected for the maturity of its scientific stack, its dominance in machine-learning research, and because a single language across modelling and serving removes an entire class of training/serving-skew defects: the model object that produced a reported number is the same object the API loads.</w:t>
      </w:r>
    </w:p>
    <w:p>
      <w:pPr>
        <w:pStyle w:val="Heading3"/>
      </w:pPr>
      <w:r>
        <w:t>3.2.2 JavaScript and TypeScript</w:t>
      </w:r>
    </w:p>
    <w:p>
      <w:r>
        <w:t xml:space="preserve">The marketer-facing dashboard is written in TypeScript. Static typing was valuable because the dashboard consumes a wide API surface across seven pages; type errors that would otherwise appear as blank charts are caught at build time. JavaScript is also used for </w:t>
      </w:r>
      <w:r>
        <w:rPr>
          <w:b/>
        </w:rPr>
        <w:t>mos.js</w:t>
      </w:r>
      <w:r>
        <w:t>, the first-party tracking snippet installed on the site under study, which is deliberately dependency-free and small so that it does not slow the host page.</w:t>
      </w:r>
    </w:p>
    <w:p>
      <w:pPr>
        <w:pStyle w:val="Heading3"/>
      </w:pPr>
      <w:r>
        <w:t>3.2.3 SQL</w:t>
      </w:r>
    </w:p>
    <w:p>
      <w:r>
        <w:t>SQL is treated as a first-class part of the system rather than an implementation detail, because one SQL definition — `VISITOR_FEATURES_SQL` — carries a load-bearing research property. It sums imported per-visit counts and live per-page events identically, so a single feature definition serves both data sources without either having to pretend to be the other. This is explained in Section 6.2.3.</w:t>
      </w:r>
    </w:p>
    <w:p>
      <w:pPr>
        <w:pStyle w:val="Heading2"/>
      </w:pPr>
      <w:r>
        <w:t>3.3 Machine Learning and Data Science Libraries</w:t>
      </w:r>
    </w:p>
    <w:p>
      <w:pPr>
        <w:pStyle w:val="ListBullet"/>
        <w:spacing w:after="80" w:line="312" w:lineRule="auto"/>
        <w:jc w:val="both"/>
      </w:pPr>
      <w:r>
        <w:rPr>
          <w:b/>
        </w:rPr>
        <w:t>scikit-learn</w:t>
      </w:r>
      <w:r>
        <w:t xml:space="preserve"> [36] — k-means, agglomerative clustering, logistic regression, random forests, TF-IDF vectorisation, pipelines, cross-validation and the metric suite. It is the backbone of Modules 1, 2 and 3 and of the text classifiers in Module 4.</w:t>
      </w:r>
    </w:p>
    <w:p>
      <w:pPr>
        <w:pStyle w:val="ListBullet"/>
        <w:spacing w:after="80" w:line="312" w:lineRule="auto"/>
        <w:jc w:val="both"/>
      </w:pPr>
      <w:r>
        <w:rPr>
          <w:b/>
        </w:rPr>
        <w:t>XGBoost</w:t>
      </w:r>
      <w:r>
        <w:t xml:space="preserve"> [57] — gradient-boosted trees for conversion and drop-off prediction in Module 3, for engagement regression in Module 4, and as the base learner in the uplift S- and T-learners.</w:t>
      </w:r>
    </w:p>
    <w:p>
      <w:pPr>
        <w:pStyle w:val="ListBullet"/>
        <w:spacing w:after="80" w:line="312" w:lineRule="auto"/>
        <w:jc w:val="both"/>
      </w:pPr>
      <w:r>
        <w:rPr>
          <w:b/>
        </w:rPr>
        <w:t>pandas and NumPy</w:t>
      </w:r>
      <w:r>
        <w:t xml:space="preserve"> [32], [46] — tabular handling, feature engineering and numerical computation throughout.</w:t>
      </w:r>
    </w:p>
    <w:p>
      <w:pPr>
        <w:pStyle w:val="ListBullet"/>
        <w:spacing w:after="80" w:line="312" w:lineRule="auto"/>
        <w:jc w:val="both"/>
      </w:pPr>
      <w:r>
        <w:rPr>
          <w:b/>
        </w:rPr>
        <w:t>SciPy and statsmodels</w:t>
      </w:r>
      <w:r>
        <w:t xml:space="preserve"> — the Wilcoxon signed-rank test, exact binomial tests and correlation analysis underlying `research/stats.py`.</w:t>
      </w:r>
    </w:p>
    <w:p>
      <w:pPr>
        <w:pStyle w:val="ListBullet"/>
        <w:spacing w:after="80" w:line="312" w:lineRule="auto"/>
        <w:jc w:val="both"/>
      </w:pPr>
      <w:r>
        <w:rPr>
          <w:b/>
        </w:rPr>
        <w:t>SHAP</w:t>
      </w:r>
      <w:r>
        <w:t xml:space="preserve"> [29] — model-agnostic explanation of the conversion and drop-off models, so predictions can be defended rather than merely reported.</w:t>
      </w:r>
    </w:p>
    <w:p>
      <w:pPr>
        <w:pStyle w:val="ListBullet"/>
        <w:spacing w:after="80" w:line="312" w:lineRule="auto"/>
        <w:jc w:val="both"/>
      </w:pPr>
      <w:r>
        <w:rPr>
          <w:b/>
        </w:rPr>
        <w:t>sentence-transformers</w:t>
      </w:r>
      <w:r>
        <w:t xml:space="preserve"> [53] — Sentence-BERT embeddings for semantic similarity scoring in Module 4 and as one of the two candidate representations for the goal and tone classifiers.</w:t>
      </w:r>
    </w:p>
    <w:p>
      <w:pPr>
        <w:pStyle w:val="ListBullet"/>
        <w:spacing w:after="80" w:line="312" w:lineRule="auto"/>
        <w:jc w:val="both"/>
      </w:pPr>
      <w:r>
        <w:rPr>
          <w:b/>
        </w:rPr>
        <w:t>Matplotlib and Seaborn</w:t>
      </w:r>
      <w:r>
        <w:t xml:space="preserve"> — every figure in Chapter 7, drawn by `research/figures.py` directly from the experiment tables.</w:t>
      </w:r>
    </w:p>
    <w:p>
      <w:pPr>
        <w:pStyle w:val="Heading2"/>
      </w:pPr>
      <w:r>
        <w:t>3.4 Web Application and API Frameworks</w:t>
      </w:r>
    </w:p>
    <w:p>
      <w:pPr>
        <w:pStyle w:val="ListBullet"/>
        <w:spacing w:after="80" w:line="312" w:lineRule="auto"/>
        <w:jc w:val="both"/>
      </w:pPr>
      <w:r>
        <w:rPr>
          <w:b/>
        </w:rPr>
        <w:t>FastAPI</w:t>
      </w:r>
      <w:r>
        <w:t xml:space="preserve"> [54] — the backend service. Chosen because it is Python native, so the research modules are imported directly rather than invoked across a language boundary; because request and response schemas are validated automatically; and because it generates interactive API documentation used during evaluation and demonstration.</w:t>
      </w:r>
    </w:p>
    <w:p>
      <w:pPr>
        <w:pStyle w:val="ListBullet"/>
        <w:spacing w:after="80" w:line="312" w:lineRule="auto"/>
        <w:jc w:val="both"/>
      </w:pPr>
      <w:r>
        <w:rPr>
          <w:b/>
        </w:rPr>
        <w:t>Next.js 16 with React</w:t>
      </w:r>
      <w:r>
        <w:t xml:space="preserve"> [55], [41] — the marketer dashboard: Overview, Plan, Audience, Campaigns, Analytics, Content and Research pages, plus authentication and site-onboarding flows.</w:t>
      </w:r>
    </w:p>
    <w:p>
      <w:pPr>
        <w:pStyle w:val="ListBullet"/>
        <w:spacing w:after="80" w:line="312" w:lineRule="auto"/>
        <w:jc w:val="both"/>
      </w:pPr>
      <w:r>
        <w:rPr>
          <w:b/>
        </w:rPr>
        <w:t>Recharts</w:t>
      </w:r>
      <w:r>
        <w:t xml:space="preserve"> — funnel, attribution and prediction charts in the dashboard, matching the visualisation design specified at the interim stage.</w:t>
      </w:r>
    </w:p>
    <w:p>
      <w:pPr>
        <w:pStyle w:val="ListBullet"/>
        <w:spacing w:after="80" w:line="312" w:lineRule="auto"/>
        <w:jc w:val="both"/>
      </w:pPr>
      <w:r>
        <w:rPr>
          <w:b/>
        </w:rPr>
        <w:t>Streamlit</w:t>
      </w:r>
      <w:r>
        <w:t xml:space="preserve"> — retained only for the standalone research dashboards used during module development; superseded in the integrated system by the Next.js dashboard.</w:t>
      </w:r>
    </w:p>
    <w:p>
      <w:pPr>
        <w:pStyle w:val="Heading2"/>
      </w:pPr>
      <w:r>
        <w:t>3.5 Data Storage and Infrastructure</w:t>
      </w:r>
    </w:p>
    <w:p>
      <w:pPr>
        <w:pStyle w:val="ListBullet"/>
        <w:spacing w:after="80" w:line="312" w:lineRule="auto"/>
        <w:jc w:val="both"/>
      </w:pPr>
      <w:r>
        <w:rPr>
          <w:b/>
        </w:rPr>
        <w:t>PostgreSQL 16</w:t>
      </w:r>
      <w:r>
        <w:t xml:space="preserve"> [56], [35] — the single shared data layer. Relational storage was appropriate because the modules exchange well-structured entities with strict referential relationships, and because the integrity constraints described in Section 5.5 are enforced as database-level derivations rather than application conventions. It runs on port 5434 as a Homebrew service where one is available and in Docker otherwise.</w:t>
      </w:r>
    </w:p>
    <w:p>
      <w:pPr>
        <w:pStyle w:val="ListBullet"/>
        <w:spacing w:after="80" w:line="312" w:lineRule="auto"/>
        <w:jc w:val="both"/>
      </w:pPr>
      <w:r>
        <w:rPr>
          <w:b/>
        </w:rPr>
        <w:t>Docker and Docker Compose</w:t>
      </w:r>
      <w:r>
        <w:t xml:space="preserve"> — the containerised database path, so the system can be reproduced on a machine with no local PostgreSQL installation.</w:t>
      </w:r>
    </w:p>
    <w:p>
      <w:pPr>
        <w:pStyle w:val="Heading2"/>
      </w:pPr>
      <w:r>
        <w:t>3.6 Development, Testing and Reproducibility Tools</w:t>
      </w:r>
    </w:p>
    <w:p>
      <w:pPr>
        <w:pStyle w:val="ListBullet"/>
        <w:spacing w:after="80" w:line="312" w:lineRule="auto"/>
        <w:jc w:val="both"/>
      </w:pPr>
      <w:r>
        <w:rPr>
          <w:b/>
        </w:rPr>
        <w:t>pytest</w:t>
      </w:r>
      <w:r>
        <w:t xml:space="preserve"> — the automated suite: 260 collected tests covering data contracts, API behaviour, tracking, segmentation, campaign actions, content generation, authentication, tenant isolation, the decision log, the research importer, the statistics layer and the experiments themselves.</w:t>
      </w:r>
    </w:p>
    <w:p>
      <w:pPr>
        <w:pStyle w:val="ListBullet"/>
        <w:spacing w:after="80" w:line="312" w:lineRule="auto"/>
        <w:jc w:val="both"/>
      </w:pPr>
      <w:r>
        <w:rPr>
          <w:b/>
        </w:rPr>
        <w:t>Make</w:t>
      </w:r>
      <w:r>
        <w:t xml:space="preserve"> — the reproduction interface. `make setup`, `make db`, `make api`, `make web`, `make site`, `make demo`, `make research` and `make test` are the whole operating surface of the project, which is what allows Chapter 7 to claim reproducibility in one command.</w:t>
      </w:r>
    </w:p>
    <w:p>
      <w:pPr>
        <w:pStyle w:val="ListBullet"/>
        <w:spacing w:after="80" w:line="312" w:lineRule="auto"/>
        <w:jc w:val="both"/>
      </w:pPr>
      <w:r>
        <w:rPr>
          <w:b/>
        </w:rPr>
        <w:t>Git and GitHub</w:t>
      </w:r>
      <w:r>
        <w:t xml:space="preserve"> [7] — version control, with a branch per module during independent development and integration branches for the unified system.</w:t>
      </w:r>
    </w:p>
    <w:p>
      <w:pPr>
        <w:pStyle w:val="ListBullet"/>
        <w:spacing w:after="80" w:line="312" w:lineRule="auto"/>
        <w:jc w:val="both"/>
      </w:pPr>
      <w:r>
        <w:rPr>
          <w:b/>
        </w:rPr>
        <w:t>Visual Studio Code, PyCharm and Jupyter</w:t>
      </w:r>
      <w:r>
        <w:t xml:space="preserve"> [23] — development and exploratory analysis; the original module notebooks are retained for traceability.</w:t>
      </w:r>
    </w:p>
    <w:p>
      <w:pPr>
        <w:pStyle w:val="Heading2"/>
      </w:pPr>
      <w:r>
        <w:t>3.7 Deviations from the Interim Report</w:t>
      </w:r>
    </w:p>
    <w:p>
      <w:r>
        <w:t>Three decisions differ from the interim report and are recorded here for transparency.</w:t>
      </w:r>
    </w:p>
    <w:p>
      <w:pPr>
        <w:pStyle w:val="TableCaption"/>
      </w:pPr>
      <w:r>
        <w:rPr>
          <w:b w:val="0"/>
          <w:i w:val="0"/>
        </w:rPr>
        <w:t>Table 2 — Decisions that differ from the interim report, and the reasoning.</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Interim report</w:t>
            </w:r>
          </w:p>
        </w:tc>
        <w:tc>
          <w:tcPr>
            <w:tcW w:type="dxa" w:w="2890"/>
            <w:shd w:val="clear" w:color="auto" w:fill="E8EEF6"/>
          </w:tcPr>
          <w:p>
            <w:pPr>
              <w:spacing w:after="40" w:line="240" w:lineRule="auto"/>
              <w:jc w:val="center"/>
            </w:pPr>
            <w:r/>
            <w:r>
              <w:rPr>
                <w:b/>
                <w:sz w:val="20"/>
              </w:rPr>
              <w:t>Delivered system</w:t>
            </w:r>
          </w:p>
        </w:tc>
        <w:tc>
          <w:tcPr>
            <w:tcW w:type="dxa" w:w="2890"/>
            <w:shd w:val="clear" w:color="auto" w:fill="E8EEF6"/>
          </w:tcPr>
          <w:p>
            <w:pPr>
              <w:spacing w:after="40" w:line="240" w:lineRule="auto"/>
              <w:jc w:val="center"/>
            </w:pPr>
            <w:r/>
            <w:r>
              <w:rPr>
                <w:b/>
                <w:sz w:val="20"/>
              </w:rPr>
              <w:t>Reason</w:t>
            </w:r>
          </w:p>
        </w:tc>
      </w:tr>
      <w:tr>
        <w:tc>
          <w:tcPr>
            <w:tcW w:type="dxa" w:w="2890"/>
          </w:tcPr>
          <w:p>
            <w:pPr>
              <w:spacing w:after="40" w:line="240" w:lineRule="auto"/>
              <w:jc w:val="left"/>
            </w:pPr>
            <w:r/>
            <w:r>
              <w:rPr>
                <w:b w:val="0"/>
                <w:sz w:val="20"/>
              </w:rPr>
              <w:t>Section 3.6 states a Node.js / NestJS backend service layer.</w:t>
            </w:r>
          </w:p>
        </w:tc>
        <w:tc>
          <w:tcPr>
            <w:tcW w:type="dxa" w:w="2890"/>
          </w:tcPr>
          <w:p>
            <w:pPr>
              <w:spacing w:after="40" w:line="240" w:lineRule="auto"/>
              <w:jc w:val="center"/>
            </w:pPr>
            <w:r/>
            <w:r>
              <w:rPr>
                <w:b w:val="0"/>
                <w:sz w:val="20"/>
              </w:rPr>
              <w:t>FastAPI (Python).</w:t>
            </w:r>
          </w:p>
        </w:tc>
        <w:tc>
          <w:tcPr>
            <w:tcW w:type="dxa" w:w="2890"/>
          </w:tcPr>
          <w:p>
            <w:pPr>
              <w:spacing w:after="40" w:line="240" w:lineRule="auto"/>
              <w:jc w:val="center"/>
            </w:pPr>
            <w:r/>
            <w:r>
              <w:rPr>
                <w:b w:val="0"/>
                <w:sz w:val="20"/>
              </w:rPr>
              <w:t>Figure 5.1 of the interim report already specified FastAPI, so the report was internally inconsistent. Every model is Python; a Node backend would have required a second service and a serialisation boundary between the API and the models, adding failure modes for no research benefit.</w:t>
            </w:r>
          </w:p>
        </w:tc>
      </w:tr>
      <w:tr>
        <w:tc>
          <w:tcPr>
            <w:tcW w:type="dxa" w:w="2890"/>
          </w:tcPr>
          <w:p>
            <w:pPr>
              <w:spacing w:after="40" w:line="240" w:lineRule="auto"/>
              <w:jc w:val="left"/>
            </w:pPr>
            <w:r/>
            <w:r>
              <w:rPr>
                <w:b w:val="0"/>
                <w:sz w:val="20"/>
              </w:rPr>
              <w:t>MongoDB and PostgreSQL are both named as data stores.</w:t>
            </w:r>
          </w:p>
        </w:tc>
        <w:tc>
          <w:tcPr>
            <w:tcW w:type="dxa" w:w="2890"/>
          </w:tcPr>
          <w:p>
            <w:pPr>
              <w:spacing w:after="40" w:line="240" w:lineRule="auto"/>
              <w:jc w:val="center"/>
            </w:pPr>
            <w:r/>
            <w:r>
              <w:rPr>
                <w:b w:val="0"/>
                <w:sz w:val="20"/>
              </w:rPr>
              <w:t>PostgreSQL only.</w:t>
            </w:r>
          </w:p>
        </w:tc>
        <w:tc>
          <w:tcPr>
            <w:tcW w:type="dxa" w:w="2890"/>
          </w:tcPr>
          <w:p>
            <w:pPr>
              <w:spacing w:after="40" w:line="240" w:lineRule="auto"/>
              <w:jc w:val="center"/>
            </w:pPr>
            <w:r/>
            <w:r>
              <w:rPr>
                <w:b w:val="0"/>
                <w:sz w:val="20"/>
              </w:rPr>
              <w:t>All five architecture figures in the interim report show PostgreSQL. The data exchanged between modules is strongly relational, and running two stores would have split the integrity constraints that the provenance guarantees depend on.</w:t>
            </w:r>
          </w:p>
        </w:tc>
      </w:tr>
      <w:tr>
        <w:tc>
          <w:tcPr>
            <w:tcW w:type="dxa" w:w="2890"/>
          </w:tcPr>
          <w:p>
            <w:pPr>
              <w:spacing w:after="40" w:line="240" w:lineRule="auto"/>
              <w:jc w:val="left"/>
            </w:pPr>
            <w:r/>
            <w:r>
              <w:rPr>
                <w:b w:val="0"/>
                <w:sz w:val="20"/>
              </w:rPr>
              <w:t>The audience is supplied by uploading a CSV of customers.</w:t>
            </w:r>
          </w:p>
        </w:tc>
        <w:tc>
          <w:tcPr>
            <w:tcW w:type="dxa" w:w="2890"/>
          </w:tcPr>
          <w:p>
            <w:pPr>
              <w:spacing w:after="40" w:line="240" w:lineRule="auto"/>
              <w:jc w:val="center"/>
            </w:pPr>
            <w:r/>
            <w:r>
              <w:rPr>
                <w:b w:val="0"/>
                <w:sz w:val="20"/>
              </w:rPr>
              <w:t>The 8,000-customer dataset is imported as the customer base of a demonstration e-commerce store, which can also be browsed live.</w:t>
            </w:r>
          </w:p>
        </w:tc>
        <w:tc>
          <w:tcPr>
            <w:tcW w:type="dxa" w:w="2890"/>
          </w:tcPr>
          <w:p>
            <w:pPr>
              <w:spacing w:after="40" w:line="240" w:lineRule="auto"/>
              <w:jc w:val="center"/>
            </w:pPr>
            <w:r/>
            <w:r>
              <w:rPr>
                <w:b w:val="0"/>
                <w:sz w:val="20"/>
              </w:rPr>
              <w:t>A cold-start study is not credible if the audience arrives pre-formed. Importing the dataset through the same tracking path a live visitor uses means one code path, one feature definition and one provenance rule govern both — which is what makes the live comparison in Section 7.3.3 possible at all.</w:t>
            </w:r>
          </w:p>
        </w:tc>
      </w:tr>
    </w:tbl>
    <w:p>
      <w:pPr>
        <w:spacing w:after="120"/>
      </w:pPr>
    </w:p>
    <w:p>
      <w:pPr>
        <w:pStyle w:val="Heading2"/>
      </w:pPr>
      <w:r>
        <w:t>3.8 Summary</w:t>
      </w:r>
    </w:p>
    <w:p>
      <w:pPr>
        <w:pStyle w:val="TableCaption"/>
      </w:pPr>
      <w:r>
        <w:rPr>
          <w:b w:val="0"/>
          <w:i w:val="0"/>
        </w:rPr>
        <w:t>Table 3 — Summary of the adopted technology stack by layer.</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Layer</w:t>
            </w:r>
          </w:p>
        </w:tc>
        <w:tc>
          <w:tcPr>
            <w:tcW w:type="dxa" w:w="2890"/>
            <w:shd w:val="clear" w:color="auto" w:fill="E8EEF6"/>
          </w:tcPr>
          <w:p>
            <w:pPr>
              <w:spacing w:after="40" w:line="240" w:lineRule="auto"/>
              <w:jc w:val="center"/>
            </w:pPr>
            <w:r/>
            <w:r>
              <w:rPr>
                <w:b/>
                <w:sz w:val="20"/>
              </w:rPr>
              <w:t>Technology</w:t>
            </w:r>
          </w:p>
        </w:tc>
        <w:tc>
          <w:tcPr>
            <w:tcW w:type="dxa" w:w="2890"/>
            <w:shd w:val="clear" w:color="auto" w:fill="E8EEF6"/>
          </w:tcPr>
          <w:p>
            <w:pPr>
              <w:spacing w:after="40" w:line="240" w:lineRule="auto"/>
              <w:jc w:val="center"/>
            </w:pPr>
            <w:r/>
            <w:r>
              <w:rPr>
                <w:b/>
                <w:sz w:val="20"/>
              </w:rPr>
              <w:t>Role in the framework</w:t>
            </w:r>
          </w:p>
        </w:tc>
      </w:tr>
      <w:tr>
        <w:tc>
          <w:tcPr>
            <w:tcW w:type="dxa" w:w="2890"/>
          </w:tcPr>
          <w:p>
            <w:pPr>
              <w:spacing w:after="40" w:line="240" w:lineRule="auto"/>
              <w:jc w:val="left"/>
            </w:pPr>
            <w:r/>
            <w:r>
              <w:rPr>
                <w:b w:val="0"/>
                <w:sz w:val="20"/>
              </w:rPr>
              <w:t>Presentation</w:t>
            </w:r>
          </w:p>
        </w:tc>
        <w:tc>
          <w:tcPr>
            <w:tcW w:type="dxa" w:w="2890"/>
          </w:tcPr>
          <w:p>
            <w:pPr>
              <w:spacing w:after="40" w:line="240" w:lineRule="auto"/>
              <w:jc w:val="center"/>
            </w:pPr>
            <w:r/>
            <w:r>
              <w:rPr>
                <w:b w:val="0"/>
                <w:sz w:val="20"/>
              </w:rPr>
              <w:t>Next.js 16, React, TypeScript, Recharts</w:t>
            </w:r>
          </w:p>
        </w:tc>
        <w:tc>
          <w:tcPr>
            <w:tcW w:type="dxa" w:w="2890"/>
          </w:tcPr>
          <w:p>
            <w:pPr>
              <w:spacing w:after="40" w:line="240" w:lineRule="auto"/>
              <w:jc w:val="center"/>
            </w:pPr>
            <w:r/>
            <w:r>
              <w:rPr>
                <w:b w:val="0"/>
                <w:sz w:val="20"/>
              </w:rPr>
              <w:t>Marketer dashboard (7 pages), authentication, onboarding</w:t>
            </w:r>
          </w:p>
        </w:tc>
      </w:tr>
      <w:tr>
        <w:tc>
          <w:tcPr>
            <w:tcW w:type="dxa" w:w="2890"/>
          </w:tcPr>
          <w:p>
            <w:pPr>
              <w:spacing w:after="40" w:line="240" w:lineRule="auto"/>
              <w:jc w:val="left"/>
            </w:pPr>
            <w:r/>
            <w:r>
              <w:rPr>
                <w:b w:val="0"/>
                <w:sz w:val="20"/>
              </w:rPr>
              <w:t>Tracking</w:t>
            </w:r>
          </w:p>
        </w:tc>
        <w:tc>
          <w:tcPr>
            <w:tcW w:type="dxa" w:w="2890"/>
          </w:tcPr>
          <w:p>
            <w:pPr>
              <w:spacing w:after="40" w:line="240" w:lineRule="auto"/>
              <w:jc w:val="center"/>
            </w:pPr>
            <w:r/>
            <w:r>
              <w:rPr>
                <w:b w:val="0"/>
                <w:sz w:val="20"/>
              </w:rPr>
              <w:t>JavaScript (mos.js)</w:t>
            </w:r>
          </w:p>
        </w:tc>
        <w:tc>
          <w:tcPr>
            <w:tcW w:type="dxa" w:w="2890"/>
          </w:tcPr>
          <w:p>
            <w:pPr>
              <w:spacing w:after="40" w:line="240" w:lineRule="auto"/>
              <w:jc w:val="center"/>
            </w:pPr>
            <w:r/>
            <w:r>
              <w:rPr>
                <w:b w:val="0"/>
                <w:sz w:val="20"/>
              </w:rPr>
              <w:t>First-party event collection on the site under study</w:t>
            </w:r>
          </w:p>
        </w:tc>
      </w:tr>
      <w:tr>
        <w:tc>
          <w:tcPr>
            <w:tcW w:type="dxa" w:w="2890"/>
          </w:tcPr>
          <w:p>
            <w:pPr>
              <w:spacing w:after="40" w:line="240" w:lineRule="auto"/>
              <w:jc w:val="left"/>
            </w:pPr>
            <w:r/>
            <w:r>
              <w:rPr>
                <w:b w:val="0"/>
                <w:sz w:val="20"/>
              </w:rPr>
              <w:t>Application</w:t>
            </w:r>
          </w:p>
        </w:tc>
        <w:tc>
          <w:tcPr>
            <w:tcW w:type="dxa" w:w="2890"/>
          </w:tcPr>
          <w:p>
            <w:pPr>
              <w:spacing w:after="40" w:line="240" w:lineRule="auto"/>
              <w:jc w:val="center"/>
            </w:pPr>
            <w:r/>
            <w:r>
              <w:rPr>
                <w:b w:val="0"/>
                <w:sz w:val="20"/>
              </w:rPr>
              <w:t>FastAPI, Uvicorn, Pydantic</w:t>
            </w:r>
          </w:p>
        </w:tc>
        <w:tc>
          <w:tcPr>
            <w:tcW w:type="dxa" w:w="2890"/>
          </w:tcPr>
          <w:p>
            <w:pPr>
              <w:spacing w:after="40" w:line="240" w:lineRule="auto"/>
              <w:jc w:val="center"/>
            </w:pPr>
            <w:r/>
            <w:r>
              <w:rPr>
                <w:b w:val="0"/>
                <w:sz w:val="20"/>
              </w:rPr>
              <w:t>Routers, services, tenant isolation, decision logging, provenance</w:t>
            </w:r>
          </w:p>
        </w:tc>
      </w:tr>
      <w:tr>
        <w:tc>
          <w:tcPr>
            <w:tcW w:type="dxa" w:w="2890"/>
          </w:tcPr>
          <w:p>
            <w:pPr>
              <w:spacing w:after="40" w:line="240" w:lineRule="auto"/>
              <w:jc w:val="left"/>
            </w:pPr>
            <w:r/>
            <w:r>
              <w:rPr>
                <w:b w:val="0"/>
                <w:sz w:val="20"/>
              </w:rPr>
              <w:t>Research modules</w:t>
            </w:r>
          </w:p>
        </w:tc>
        <w:tc>
          <w:tcPr>
            <w:tcW w:type="dxa" w:w="2890"/>
          </w:tcPr>
          <w:p>
            <w:pPr>
              <w:spacing w:after="40" w:line="240" w:lineRule="auto"/>
              <w:jc w:val="center"/>
            </w:pPr>
            <w:r/>
            <w:r>
              <w:rPr>
                <w:b w:val="0"/>
                <w:sz w:val="20"/>
              </w:rPr>
              <w:t>scikit-learn, XGBoost, SHAP, sentence-transformers, pandas, NumPy</w:t>
            </w:r>
          </w:p>
        </w:tc>
        <w:tc>
          <w:tcPr>
            <w:tcW w:type="dxa" w:w="2890"/>
          </w:tcPr>
          <w:p>
            <w:pPr>
              <w:spacing w:after="40" w:line="240" w:lineRule="auto"/>
              <w:jc w:val="center"/>
            </w:pPr>
            <w:r/>
            <w:r>
              <w:rPr>
                <w:b w:val="0"/>
                <w:sz w:val="20"/>
              </w:rPr>
              <w:t>Segmentation, automation, analytics, uplift, OPE, content</w:t>
            </w:r>
          </w:p>
        </w:tc>
      </w:tr>
      <w:tr>
        <w:tc>
          <w:tcPr>
            <w:tcW w:type="dxa" w:w="2890"/>
          </w:tcPr>
          <w:p>
            <w:pPr>
              <w:spacing w:after="40" w:line="240" w:lineRule="auto"/>
              <w:jc w:val="left"/>
            </w:pPr>
            <w:r/>
            <w:r>
              <w:rPr>
                <w:b w:val="0"/>
                <w:sz w:val="20"/>
              </w:rPr>
              <w:t>Experiments</w:t>
            </w:r>
          </w:p>
        </w:tc>
        <w:tc>
          <w:tcPr>
            <w:tcW w:type="dxa" w:w="2890"/>
          </w:tcPr>
          <w:p>
            <w:pPr>
              <w:spacing w:after="40" w:line="240" w:lineRule="auto"/>
              <w:jc w:val="center"/>
            </w:pPr>
            <w:r/>
            <w:r>
              <w:rPr>
                <w:b w:val="0"/>
                <w:sz w:val="20"/>
              </w:rPr>
              <w:t>Python, SciPy, statsmodels, Matplotlib</w:t>
            </w:r>
          </w:p>
        </w:tc>
        <w:tc>
          <w:tcPr>
            <w:tcW w:type="dxa" w:w="2890"/>
          </w:tcPr>
          <w:p>
            <w:pPr>
              <w:spacing w:after="40" w:line="240" w:lineRule="auto"/>
              <w:jc w:val="center"/>
            </w:pPr>
            <w:r/>
            <w:r>
              <w:rPr>
                <w:b w:val="0"/>
                <w:sz w:val="20"/>
              </w:rPr>
              <w:t>Eleven experiments, the statistics layer, every figure in Chapter 7</w:t>
            </w:r>
          </w:p>
        </w:tc>
      </w:tr>
      <w:tr>
        <w:tc>
          <w:tcPr>
            <w:tcW w:type="dxa" w:w="2890"/>
          </w:tcPr>
          <w:p>
            <w:pPr>
              <w:spacing w:after="40" w:line="240" w:lineRule="auto"/>
              <w:jc w:val="left"/>
            </w:pPr>
            <w:r/>
            <w:r>
              <w:rPr>
                <w:b w:val="0"/>
                <w:sz w:val="20"/>
              </w:rPr>
              <w:t>Data</w:t>
            </w:r>
          </w:p>
        </w:tc>
        <w:tc>
          <w:tcPr>
            <w:tcW w:type="dxa" w:w="2890"/>
          </w:tcPr>
          <w:p>
            <w:pPr>
              <w:spacing w:after="40" w:line="240" w:lineRule="auto"/>
              <w:jc w:val="center"/>
            </w:pPr>
            <w:r/>
            <w:r>
              <w:rPr>
                <w:b w:val="0"/>
                <w:sz w:val="20"/>
              </w:rPr>
              <w:t>PostgreSQL 16, Docker</w:t>
            </w:r>
          </w:p>
        </w:tc>
        <w:tc>
          <w:tcPr>
            <w:tcW w:type="dxa" w:w="2890"/>
          </w:tcPr>
          <w:p>
            <w:pPr>
              <w:spacing w:after="40" w:line="240" w:lineRule="auto"/>
              <w:jc w:val="center"/>
            </w:pPr>
            <w:r/>
            <w:r>
              <w:rPr>
                <w:b w:val="0"/>
                <w:sz w:val="20"/>
              </w:rPr>
              <w:t>user_segments, interactions, analytics_output, action_log, content_assets</w:t>
            </w:r>
          </w:p>
        </w:tc>
      </w:tr>
      <w:tr>
        <w:tc>
          <w:tcPr>
            <w:tcW w:type="dxa" w:w="2890"/>
          </w:tcPr>
          <w:p>
            <w:pPr>
              <w:spacing w:after="40" w:line="240" w:lineRule="auto"/>
              <w:jc w:val="left"/>
            </w:pPr>
            <w:r/>
            <w:r>
              <w:rPr>
                <w:b w:val="0"/>
                <w:sz w:val="20"/>
              </w:rPr>
              <w:t>Quality</w:t>
            </w:r>
          </w:p>
        </w:tc>
        <w:tc>
          <w:tcPr>
            <w:tcW w:type="dxa" w:w="2890"/>
          </w:tcPr>
          <w:p>
            <w:pPr>
              <w:spacing w:after="40" w:line="240" w:lineRule="auto"/>
              <w:jc w:val="center"/>
            </w:pPr>
            <w:r/>
            <w:r>
              <w:rPr>
                <w:b w:val="0"/>
                <w:sz w:val="20"/>
              </w:rPr>
              <w:t>pytest, Git, Make</w:t>
            </w:r>
          </w:p>
        </w:tc>
        <w:tc>
          <w:tcPr>
            <w:tcW w:type="dxa" w:w="2890"/>
          </w:tcPr>
          <w:p>
            <w:pPr>
              <w:spacing w:after="40" w:line="240" w:lineRule="auto"/>
              <w:jc w:val="center"/>
            </w:pPr>
            <w:r/>
            <w:r>
              <w:rPr>
                <w:b w:val="0"/>
                <w:sz w:val="20"/>
              </w:rPr>
              <w:t>260 tests, regression tests per defect, one-command reproduction</w:t>
            </w:r>
          </w:p>
        </w:tc>
      </w:tr>
    </w:tbl>
    <w:p>
      <w:pPr>
        <w:spacing w:after="120"/>
      </w:pPr>
    </w:p>
    <w:p>
      <w:r>
        <w:t>The stack is deliberately conventional. The research contribution of this project lies in the integration and in the evaluation methodology, not in the novelty of the tools, and using well-understood components makes the results easier to reproduce and to challenge.</w:t>
      </w:r>
    </w:p>
    <w:p>
      <w:r>
        <w:br w:type="page"/>
      </w:r>
    </w:p>
    <w:p>
      <w:pPr>
        <w:pStyle w:val="Heading1"/>
      </w:pPr>
      <w:r>
        <w:t>CHAPTER 4 — APPROACH</w:t>
      </w:r>
    </w:p>
    <w:p>
      <w:pPr>
        <w:pStyle w:val="Heading2"/>
      </w:pPr>
      <w:r>
        <w:t>4.1 Introduction</w:t>
      </w:r>
    </w:p>
    <w:p>
      <w:r>
        <w:t>This chapter specifies what each module receives, what it does with it and what it produces. The four modules are described in the order in which data flows through them, followed by the integration strategy that joins them (Section 4.6) and the experimental strategy that governs how their results are measured and reported (Section 4.7).</w:t>
      </w:r>
    </w:p>
    <w:p>
      <w:r>
        <w:t xml:space="preserve">The overall methodology is experimental rather than constructive. Each module implements at least two competing approaches — three segmentation methods, three automation policies, four attribution models, two text representations, two targeting paradigms, three off-policy estimators — so that a comparison, and not merely a demonstration, is possible. Where a comparison cannot be made honestly on the project's own audience, the approach is to find data on which it </w:t>
      </w:r>
      <w:r>
        <w:rPr>
          <w:i/>
        </w:rPr>
        <w:t>can</w:t>
      </w:r>
      <w:r>
        <w:t xml:space="preserve"> be made and to state plainly what does and does not transfer.</w:t>
      </w:r>
    </w:p>
    <w:p>
      <w:pPr>
        <w:pStyle w:val="Heading2"/>
      </w:pPr>
      <w:r>
        <w:t>4.2 Module 1 — Audience Targeting and Personalization</w:t>
      </w:r>
    </w:p>
    <w:p>
      <w:pPr>
        <w:pStyle w:val="Heading3"/>
      </w:pPr>
      <w:r>
        <w:t>4.2.1 Input</w:t>
      </w:r>
    </w:p>
    <w:p>
      <w:r>
        <w:t>Module 1 operates over two feature domains using the same algorithm. Both are reduced to a common feature matrix before the engine sees them, which is what allows one implementation to serve the research audience and a live browser audience without either being treated as a special case.</w:t>
      </w:r>
    </w:p>
    <w:p>
      <w:pPr>
        <w:pStyle w:val="TableCaption"/>
      </w:pPr>
      <w:r>
        <w:rPr>
          <w:b w:val="0"/>
          <w:i w:val="0"/>
        </w:rPr>
        <w:t>Table 4 — The two feature domains of the segmentation engine.</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r>
          </w:p>
        </w:tc>
        <w:tc>
          <w:tcPr>
            <w:tcW w:type="dxa" w:w="2890"/>
            <w:shd w:val="clear" w:color="auto" w:fill="E8EEF6"/>
          </w:tcPr>
          <w:p>
            <w:pPr>
              <w:spacing w:after="40" w:line="240" w:lineRule="auto"/>
              <w:jc w:val="center"/>
            </w:pPr>
            <w:r/>
            <w:r>
              <w:rPr>
                <w:b/>
                <w:sz w:val="20"/>
              </w:rPr>
              <w:t>Research domain</w:t>
            </w:r>
          </w:p>
        </w:tc>
        <w:tc>
          <w:tcPr>
            <w:tcW w:type="dxa" w:w="2890"/>
            <w:shd w:val="clear" w:color="auto" w:fill="E8EEF6"/>
          </w:tcPr>
          <w:p>
            <w:pPr>
              <w:spacing w:after="40" w:line="240" w:lineRule="auto"/>
              <w:jc w:val="center"/>
            </w:pPr>
            <w:r/>
            <w:r>
              <w:rPr>
                <w:b/>
                <w:sz w:val="20"/>
              </w:rPr>
              <w:t>Live web domain</w:t>
            </w:r>
          </w:p>
        </w:tc>
      </w:tr>
      <w:tr>
        <w:tc>
          <w:tcPr>
            <w:tcW w:type="dxa" w:w="2890"/>
          </w:tcPr>
          <w:p>
            <w:pPr>
              <w:spacing w:after="40" w:line="240" w:lineRule="auto"/>
              <w:jc w:val="left"/>
            </w:pPr>
            <w:r/>
            <w:r>
              <w:rPr>
                <w:b w:val="0"/>
                <w:sz w:val="20"/>
              </w:rPr>
              <w:t>Source</w:t>
            </w:r>
          </w:p>
        </w:tc>
        <w:tc>
          <w:tcPr>
            <w:tcW w:type="dxa" w:w="2890"/>
          </w:tcPr>
          <w:p>
            <w:pPr>
              <w:spacing w:after="40" w:line="240" w:lineRule="auto"/>
              <w:jc w:val="center"/>
            </w:pPr>
            <w:r/>
            <w:r>
              <w:rPr>
                <w:b w:val="0"/>
                <w:sz w:val="20"/>
              </w:rPr>
              <w:t>Digital Marketing Campaign dataset — 8,000 customers imported into the demo store</w:t>
            </w:r>
          </w:p>
        </w:tc>
        <w:tc>
          <w:tcPr>
            <w:tcW w:type="dxa" w:w="2890"/>
          </w:tcPr>
          <w:p>
            <w:pPr>
              <w:spacing w:after="40" w:line="240" w:lineRule="auto"/>
              <w:jc w:val="center"/>
            </w:pPr>
            <w:r/>
            <w:r>
              <w:rPr>
                <w:b w:val="0"/>
                <w:sz w:val="20"/>
              </w:rPr>
              <w:t>Browser sessions collected by the mos.js snippet</w:t>
            </w:r>
          </w:p>
        </w:tc>
      </w:tr>
      <w:tr>
        <w:tc>
          <w:tcPr>
            <w:tcW w:type="dxa" w:w="2890"/>
          </w:tcPr>
          <w:p>
            <w:pPr>
              <w:spacing w:after="40" w:line="240" w:lineRule="auto"/>
              <w:jc w:val="left"/>
            </w:pPr>
            <w:r/>
            <w:r>
              <w:rPr>
                <w:b w:val="0"/>
                <w:sz w:val="20"/>
              </w:rPr>
              <w:t>Features</w:t>
            </w:r>
          </w:p>
        </w:tc>
        <w:tc>
          <w:tcPr>
            <w:tcW w:type="dxa" w:w="2890"/>
          </w:tcPr>
          <w:p>
            <w:pPr>
              <w:spacing w:after="40" w:line="240" w:lineRule="auto"/>
              <w:jc w:val="center"/>
            </w:pPr>
            <w:r/>
            <w:r>
              <w:rPr>
                <w:b w:val="0"/>
                <w:sz w:val="20"/>
              </w:rPr>
              <w:t>email opens and clicks, website visits, pages per visit, time on site, social shares, previous purchases, loyalty points</w:t>
            </w:r>
          </w:p>
        </w:tc>
        <w:tc>
          <w:tcPr>
            <w:tcW w:type="dxa" w:w="2890"/>
          </w:tcPr>
          <w:p>
            <w:pPr>
              <w:spacing w:after="40" w:line="240" w:lineRule="auto"/>
              <w:jc w:val="center"/>
            </w:pPr>
            <w:r/>
            <w:r>
              <w:rPr>
                <w:b w:val="0"/>
                <w:sz w:val="20"/>
              </w:rPr>
              <w:t>page views, clicks, sessions, unique pages, scroll depth, time on site, form submits, purchases</w:t>
            </w:r>
          </w:p>
        </w:tc>
      </w:tr>
      <w:tr>
        <w:tc>
          <w:tcPr>
            <w:tcW w:type="dxa" w:w="2890"/>
          </w:tcPr>
          <w:p>
            <w:pPr>
              <w:spacing w:after="40" w:line="240" w:lineRule="auto"/>
              <w:jc w:val="left"/>
            </w:pPr>
            <w:r/>
            <w:r>
              <w:rPr>
                <w:b w:val="0"/>
                <w:sz w:val="20"/>
              </w:rPr>
              <w:t>Row shape</w:t>
            </w:r>
          </w:p>
        </w:tc>
        <w:tc>
          <w:tcPr>
            <w:tcW w:type="dxa" w:w="2890"/>
          </w:tcPr>
          <w:p>
            <w:pPr>
              <w:spacing w:after="40" w:line="240" w:lineRule="auto"/>
              <w:jc w:val="center"/>
            </w:pPr>
            <w:r/>
            <w:r>
              <w:rPr>
                <w:b w:val="0"/>
                <w:sz w:val="20"/>
              </w:rPr>
              <w:t>One event per visit, carrying that visit's counts</w:t>
            </w:r>
          </w:p>
        </w:tc>
        <w:tc>
          <w:tcPr>
            <w:tcW w:type="dxa" w:w="2890"/>
          </w:tcPr>
          <w:p>
            <w:pPr>
              <w:spacing w:after="40" w:line="240" w:lineRule="auto"/>
              <w:jc w:val="center"/>
            </w:pPr>
            <w:r/>
            <w:r>
              <w:rPr>
                <w:b w:val="0"/>
                <w:sz w:val="20"/>
              </w:rPr>
              <w:t>One event per page, carrying no count</w:t>
            </w:r>
          </w:p>
        </w:tc>
      </w:tr>
      <w:tr>
        <w:tc>
          <w:tcPr>
            <w:tcW w:type="dxa" w:w="2890"/>
          </w:tcPr>
          <w:p>
            <w:pPr>
              <w:spacing w:after="40" w:line="240" w:lineRule="auto"/>
              <w:jc w:val="left"/>
            </w:pPr>
            <w:r/>
            <w:r>
              <w:rPr>
                <w:b w:val="0"/>
                <w:sz w:val="20"/>
              </w:rPr>
              <w:t>Reconciled by</w:t>
            </w:r>
          </w:p>
        </w:tc>
        <w:tc>
          <w:tcPr>
            <w:tcW w:type="dxa" w:w="2890"/>
          </w:tcPr>
          <w:p>
            <w:pPr>
              <w:spacing w:after="40" w:line="240" w:lineRule="auto"/>
              <w:jc w:val="center"/>
            </w:pPr>
            <w:r/>
            <w:r>
              <w:rPr>
                <w:b w:val="0"/>
                <w:sz w:val="20"/>
              </w:rPr>
              <w:t>VISITOR_FEATURES_SQL, which sums both identically (§6.2.3)</w:t>
            </w:r>
          </w:p>
        </w:tc>
        <w:tc>
          <w:tcPr>
            <w:tcW w:type="dxa" w:w="2890"/>
          </w:tcPr>
          <w:p>
            <w:pPr>
              <w:spacing w:after="40" w:line="240" w:lineRule="auto"/>
              <w:jc w:val="center"/>
            </w:pPr>
            <w:r/>
            <w:r>
              <w:rPr>
                <w:b w:val="0"/>
                <w:sz w:val="20"/>
              </w:rPr>
              <w:t>The same definition</w:t>
            </w:r>
          </w:p>
        </w:tc>
      </w:tr>
    </w:tbl>
    <w:p>
      <w:pPr>
        <w:spacing w:after="120"/>
      </w:pPr>
    </w:p>
    <w:p>
      <w:pPr>
        <w:pStyle w:val="Heading3"/>
      </w:pPr>
      <w:r>
        <w:t>4.2.2 Process</w:t>
      </w:r>
    </w:p>
    <w:p>
      <w:r>
        <w:t>Preprocessing handles missing values, encodes categorical attributes and standardises numeric features, since both k-means and Ward-linkage hierarchical clustering are distance-based. Derived behavioural features — engagement score, click ratio, recency — are then computed. Three methods run in parallel over that identical matrix:</w:t>
      </w:r>
    </w:p>
    <w:p>
      <w:pPr>
        <w:pStyle w:val="ListNumber"/>
        <w:spacing w:after="80" w:line="312" w:lineRule="auto"/>
        <w:jc w:val="both"/>
      </w:pPr>
      <w:r>
        <w:rPr>
          <w:b/>
        </w:rPr>
        <w:t>Rule-based segmentation.</w:t>
      </w:r>
      <w:r>
        <w:t xml:space="preserve"> Marketing heuristics expressed as explicit thresholds. Fully interpretable, and the only one of the three that can test for the </w:t>
      </w:r>
      <w:r>
        <w:rPr>
          <w:i/>
        </w:rPr>
        <w:t>absence</w:t>
      </w:r>
      <w:r>
        <w:t xml:space="preserve"> of history rather than for proximity to a centroid.</w:t>
      </w:r>
    </w:p>
    <w:p>
      <w:pPr>
        <w:pStyle w:val="ListNumber"/>
        <w:spacing w:after="80" w:line="312" w:lineRule="auto"/>
        <w:jc w:val="both"/>
      </w:pPr>
      <w:r>
        <w:rPr>
          <w:b/>
        </w:rPr>
        <w:t>k-means clustering</w:t>
      </w:r>
      <w:r>
        <w:t xml:space="preserve"> with </w:t>
      </w:r>
      <w:r>
        <w:rPr>
          <w:i/>
        </w:rPr>
        <w:t>k</w:t>
      </w:r>
      <w:r>
        <w:t xml:space="preserve"> = 4 on scaled features, capturing behavioural groupings no rule was written for.</w:t>
      </w:r>
    </w:p>
    <w:p>
      <w:pPr>
        <w:pStyle w:val="ListNumber"/>
        <w:spacing w:after="80" w:line="312" w:lineRule="auto"/>
        <w:jc w:val="both"/>
      </w:pPr>
      <w:r>
        <w:rPr>
          <w:b/>
        </w:rPr>
        <w:t>Hierarchical (agglomerative) clustering</w:t>
      </w:r>
      <w:r>
        <w:t xml:space="preserve"> with Ward linkage, providing a second, differently biased partition against which k-means can be checked.</w:t>
      </w:r>
    </w:p>
    <w:p>
      <w:r>
        <w:t xml:space="preserve">An </w:t>
      </w:r>
      <w:r>
        <w:rPr>
          <w:b/>
        </w:rPr>
        <w:t>agreement vote</w:t>
      </w:r>
      <w:r>
        <w:t xml:space="preserve"> then combines the three labels, and the order of its branches is the design decision that matters:</w:t>
      </w:r>
    </w:p>
    <w:p>
      <w:pPr>
        <w:pStyle w:val="ListBullet"/>
        <w:spacing w:after="80" w:line="312" w:lineRule="auto"/>
        <w:jc w:val="both"/>
      </w:pPr>
      <w:r>
        <w:rPr>
          <w:b/>
        </w:rPr>
        <w:t>① All three agree</w:t>
      </w:r>
      <w:r>
        <w:t xml:space="preserve"> — the label is taken with the highest confidence.</w:t>
      </w:r>
    </w:p>
    <w:p>
      <w:pPr>
        <w:pStyle w:val="ListBullet"/>
        <w:spacing w:after="80" w:line="312" w:lineRule="auto"/>
        <w:jc w:val="both"/>
      </w:pPr>
      <w:r>
        <w:rPr>
          <w:b/>
        </w:rPr>
        <w:t>② The rules identify a cold-start customer</w:t>
      </w:r>
      <w:r>
        <w:t xml:space="preserve"> — resolved next, </w:t>
      </w:r>
      <w:r>
        <w:rPr>
          <w:i/>
        </w:rPr>
        <w:t>before</w:t>
      </w:r>
      <w:r>
        <w:t xml:space="preserve"> any comparison between the two clusterings. A method that cannot represent a finding does not get a vote on it.</w:t>
      </w:r>
    </w:p>
    <w:p>
      <w:pPr>
        <w:pStyle w:val="ListBullet"/>
        <w:spacing w:after="80" w:line="312" w:lineRule="auto"/>
        <w:jc w:val="both"/>
      </w:pPr>
      <w:r>
        <w:rPr>
          <w:b/>
        </w:rPr>
        <w:t>③ Two of three agree</w:t>
      </w:r>
      <w:r>
        <w:t xml:space="preserve"> — the majority label, medium confidence.</w:t>
      </w:r>
    </w:p>
    <w:p>
      <w:pPr>
        <w:pStyle w:val="ListBullet"/>
        <w:spacing w:after="80" w:line="312" w:lineRule="auto"/>
        <w:jc w:val="both"/>
      </w:pPr>
      <w:r>
        <w:rPr>
          <w:b/>
        </w:rPr>
        <w:t>④ All three disagree</w:t>
      </w:r>
      <w:r>
        <w:t xml:space="preserve"> — the rule label is retained at the lowest confidence, and the confidence value is what tells a downstream module how much to trust it.</w:t>
      </w:r>
    </w:p>
    <w:p>
      <w:r>
        <w:t>Cluster names are derived from cluster centroids rather than assigned to cluster indices, so the same code produces correct names on a new audience and a new random seed. Segments below a minimum size (30 customers) are reported but excluded from the separation statistic, and below a minimum audience size the engine declines to cluster at all and says why. For a launch-stage product that is the normal condition, not an error.</w:t>
      </w:r>
    </w:p>
    <w:p>
      <w:pPr>
        <w:pStyle w:val="Heading3"/>
      </w:pPr>
      <w:r>
        <w:t>4.2.3 Output</w:t>
      </w:r>
    </w:p>
    <w:p>
      <w:r>
        <w:t xml:space="preserve">For every customer: a segment label from a fixed five-value taxonomy, the method that produced it, and a calibrated confidence, written to the shared </w:t>
      </w:r>
      <w:r>
        <w:rPr>
          <w:b/>
        </w:rPr>
        <w:t>user_segments</w:t>
      </w:r>
      <w:r>
        <w:t xml:space="preserve"> table.</w:t>
      </w:r>
    </w:p>
    <w:p>
      <w:pPr>
        <w:pStyle w:val="TableCaption"/>
      </w:pPr>
      <w:r>
        <w:rPr>
          <w:b w:val="0"/>
          <w:i w:val="0"/>
        </w:rPr>
        <w:t>Table 5 — The five shared audience segments.</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Segment</w:t>
            </w:r>
          </w:p>
        </w:tc>
        <w:tc>
          <w:tcPr>
            <w:tcW w:type="dxa" w:w="2890"/>
            <w:shd w:val="clear" w:color="auto" w:fill="E8EEF6"/>
          </w:tcPr>
          <w:p>
            <w:pPr>
              <w:spacing w:after="40" w:line="240" w:lineRule="auto"/>
              <w:jc w:val="center"/>
            </w:pPr>
            <w:r/>
            <w:r>
              <w:rPr>
                <w:b/>
                <w:sz w:val="20"/>
              </w:rPr>
              <w:t>Behavioural signature</w:t>
            </w:r>
          </w:p>
        </w:tc>
        <w:tc>
          <w:tcPr>
            <w:tcW w:type="dxa" w:w="2890"/>
            <w:shd w:val="clear" w:color="auto" w:fill="E8EEF6"/>
          </w:tcPr>
          <w:p>
            <w:pPr>
              <w:spacing w:after="40" w:line="240" w:lineRule="auto"/>
              <w:jc w:val="center"/>
            </w:pPr>
            <w:r/>
            <w:r>
              <w:rPr>
                <w:b/>
                <w:sz w:val="20"/>
              </w:rPr>
              <w:t>Marketing implication</w:t>
            </w:r>
          </w:p>
        </w:tc>
      </w:tr>
      <w:tr>
        <w:tc>
          <w:tcPr>
            <w:tcW w:type="dxa" w:w="2890"/>
          </w:tcPr>
          <w:p>
            <w:pPr>
              <w:spacing w:after="40" w:line="240" w:lineRule="auto"/>
              <w:jc w:val="left"/>
            </w:pPr>
            <w:r/>
            <w:r>
              <w:rPr>
                <w:b w:val="0"/>
                <w:sz w:val="20"/>
              </w:rPr>
              <w:t>High Intent</w:t>
            </w:r>
          </w:p>
        </w:tc>
        <w:tc>
          <w:tcPr>
            <w:tcW w:type="dxa" w:w="2890"/>
          </w:tcPr>
          <w:p>
            <w:pPr>
              <w:spacing w:after="40" w:line="240" w:lineRule="auto"/>
              <w:jc w:val="center"/>
            </w:pPr>
            <w:r/>
            <w:r>
              <w:rPr>
                <w:b w:val="0"/>
                <w:sz w:val="20"/>
              </w:rPr>
              <w:t>High click and visit frequency, short recency, strong purchase signals</w:t>
            </w:r>
          </w:p>
        </w:tc>
        <w:tc>
          <w:tcPr>
            <w:tcW w:type="dxa" w:w="2890"/>
          </w:tcPr>
          <w:p>
            <w:pPr>
              <w:spacing w:after="40" w:line="240" w:lineRule="auto"/>
              <w:jc w:val="center"/>
            </w:pPr>
            <w:r/>
            <w:r>
              <w:rPr>
                <w:b w:val="0"/>
                <w:sz w:val="20"/>
              </w:rPr>
              <w:t>Prioritise; expect the fastest conversion</w:t>
            </w:r>
          </w:p>
        </w:tc>
      </w:tr>
      <w:tr>
        <w:tc>
          <w:tcPr>
            <w:tcW w:type="dxa" w:w="2890"/>
          </w:tcPr>
          <w:p>
            <w:pPr>
              <w:spacing w:after="40" w:line="240" w:lineRule="auto"/>
              <w:jc w:val="left"/>
            </w:pPr>
            <w:r/>
            <w:r>
              <w:rPr>
                <w:b w:val="0"/>
                <w:sz w:val="20"/>
              </w:rPr>
              <w:t>Loyal Customer</w:t>
            </w:r>
          </w:p>
        </w:tc>
        <w:tc>
          <w:tcPr>
            <w:tcW w:type="dxa" w:w="2890"/>
          </w:tcPr>
          <w:p>
            <w:pPr>
              <w:spacing w:after="40" w:line="240" w:lineRule="auto"/>
              <w:jc w:val="center"/>
            </w:pPr>
            <w:r/>
            <w:r>
              <w:rPr>
                <w:b w:val="0"/>
                <w:sz w:val="20"/>
              </w:rPr>
              <w:t>Repeat purchases, high loyalty points, consistent engagement</w:t>
            </w:r>
          </w:p>
        </w:tc>
        <w:tc>
          <w:tcPr>
            <w:tcW w:type="dxa" w:w="2890"/>
          </w:tcPr>
          <w:p>
            <w:pPr>
              <w:spacing w:after="40" w:line="240" w:lineRule="auto"/>
              <w:jc w:val="center"/>
            </w:pPr>
            <w:r/>
            <w:r>
              <w:rPr>
                <w:b w:val="0"/>
                <w:sz w:val="20"/>
              </w:rPr>
              <w:t>Retain; premium and reactivation messaging</w:t>
            </w:r>
          </w:p>
        </w:tc>
      </w:tr>
      <w:tr>
        <w:tc>
          <w:tcPr>
            <w:tcW w:type="dxa" w:w="2890"/>
          </w:tcPr>
          <w:p>
            <w:pPr>
              <w:spacing w:after="40" w:line="240" w:lineRule="auto"/>
              <w:jc w:val="left"/>
            </w:pPr>
            <w:r/>
            <w:r>
              <w:rPr>
                <w:b w:val="0"/>
                <w:sz w:val="20"/>
              </w:rPr>
              <w:t>Price Sensitive</w:t>
            </w:r>
          </w:p>
        </w:tc>
        <w:tc>
          <w:tcPr>
            <w:tcW w:type="dxa" w:w="2890"/>
          </w:tcPr>
          <w:p>
            <w:pPr>
              <w:spacing w:after="40" w:line="240" w:lineRule="auto"/>
              <w:jc w:val="center"/>
            </w:pPr>
            <w:r/>
            <w:r>
              <w:rPr>
                <w:b w:val="0"/>
                <w:sz w:val="20"/>
              </w:rPr>
              <w:t>High browsing, low conversion relative to visits</w:t>
            </w:r>
          </w:p>
        </w:tc>
        <w:tc>
          <w:tcPr>
            <w:tcW w:type="dxa" w:w="2890"/>
          </w:tcPr>
          <w:p>
            <w:pPr>
              <w:spacing w:after="40" w:line="240" w:lineRule="auto"/>
              <w:jc w:val="center"/>
            </w:pPr>
            <w:r/>
            <w:r>
              <w:rPr>
                <w:b w:val="0"/>
                <w:sz w:val="20"/>
              </w:rPr>
              <w:t>Discount-led messaging; the largest drop-off risk</w:t>
            </w:r>
          </w:p>
        </w:tc>
      </w:tr>
      <w:tr>
        <w:tc>
          <w:tcPr>
            <w:tcW w:type="dxa" w:w="2890"/>
          </w:tcPr>
          <w:p>
            <w:pPr>
              <w:spacing w:after="40" w:line="240" w:lineRule="auto"/>
              <w:jc w:val="left"/>
            </w:pPr>
            <w:r/>
            <w:r>
              <w:rPr>
                <w:b w:val="0"/>
                <w:sz w:val="20"/>
              </w:rPr>
              <w:t>Low Engagement</w:t>
            </w:r>
          </w:p>
        </w:tc>
        <w:tc>
          <w:tcPr>
            <w:tcW w:type="dxa" w:w="2890"/>
          </w:tcPr>
          <w:p>
            <w:pPr>
              <w:spacing w:after="40" w:line="240" w:lineRule="auto"/>
              <w:jc w:val="center"/>
            </w:pPr>
            <w:r/>
            <w:r>
              <w:rPr>
                <w:b w:val="0"/>
                <w:sz w:val="20"/>
              </w:rPr>
              <w:t>Few opens, few clicks, long recency</w:t>
            </w:r>
          </w:p>
        </w:tc>
        <w:tc>
          <w:tcPr>
            <w:tcW w:type="dxa" w:w="2890"/>
          </w:tcPr>
          <w:p>
            <w:pPr>
              <w:spacing w:after="40" w:line="240" w:lineRule="auto"/>
              <w:jc w:val="center"/>
            </w:pPr>
            <w:r/>
            <w:r>
              <w:rPr>
                <w:b w:val="0"/>
                <w:sz w:val="20"/>
              </w:rPr>
              <w:t>Re-engagement, or suppression to protect deliverability</w:t>
            </w:r>
          </w:p>
        </w:tc>
      </w:tr>
      <w:tr>
        <w:tc>
          <w:tcPr>
            <w:tcW w:type="dxa" w:w="2890"/>
          </w:tcPr>
          <w:p>
            <w:pPr>
              <w:spacing w:after="40" w:line="240" w:lineRule="auto"/>
              <w:jc w:val="left"/>
            </w:pPr>
            <w:r/>
            <w:r>
              <w:rPr>
                <w:b w:val="0"/>
                <w:sz w:val="20"/>
              </w:rPr>
              <w:t>New Cold User</w:t>
            </w:r>
          </w:p>
        </w:tc>
        <w:tc>
          <w:tcPr>
            <w:tcW w:type="dxa" w:w="2890"/>
          </w:tcPr>
          <w:p>
            <w:pPr>
              <w:spacing w:after="40" w:line="240" w:lineRule="auto"/>
              <w:jc w:val="center"/>
            </w:pPr>
            <w:r/>
            <w:r>
              <w:rPr>
                <w:b w:val="0"/>
                <w:sz w:val="20"/>
              </w:rPr>
              <w:t>Almost no interaction history</w:t>
            </w:r>
          </w:p>
        </w:tc>
        <w:tc>
          <w:tcPr>
            <w:tcW w:type="dxa" w:w="2890"/>
          </w:tcPr>
          <w:p>
            <w:pPr>
              <w:spacing w:after="40" w:line="240" w:lineRule="auto"/>
              <w:jc w:val="center"/>
            </w:pPr>
            <w:r/>
            <w:r>
              <w:rPr>
                <w:b w:val="0"/>
                <w:sz w:val="20"/>
              </w:rPr>
              <w:t>The cold-start case: onboarding, not prediction</w:t>
            </w:r>
          </w:p>
        </w:tc>
      </w:tr>
    </w:tbl>
    <w:p>
      <w:pPr>
        <w:spacing w:after="120"/>
      </w:pPr>
    </w:p>
    <w:p>
      <w:pPr>
        <w:pStyle w:val="Heading2"/>
      </w:pPr>
      <w:r>
        <w:t>4.3 Module 2 — Marketing Automation and Campaign Management</w:t>
      </w:r>
    </w:p>
    <w:p>
      <w:pPr>
        <w:pStyle w:val="Heading3"/>
      </w:pPr>
      <w:r>
        <w:t>4.3.1 Input</w:t>
      </w:r>
    </w:p>
    <w:p>
      <w:r>
        <w:t>Segment labels and confidences from Module 1, joined to each customer's behavioural profile, together with a library of campaign message templates (welcome, product information, social proof, discount offer, final reminder, reactivation).</w:t>
      </w:r>
    </w:p>
    <w:p>
      <w:pPr>
        <w:pStyle w:val="Heading3"/>
      </w:pPr>
      <w:r>
        <w:t>4.3.2 Process</w:t>
      </w:r>
    </w:p>
    <w:p>
      <w:r>
        <w:t>A campaign policy engine selects the next action for each customer. Three policies are implemented and compared under identical conditions — the same customers, the same templates, the same response model — so that any difference in outcome is attributable to the policy alone. The policy engine is the only component that differs between the three arms.</w:t>
      </w:r>
    </w:p>
    <w:p>
      <w:pPr>
        <w:pStyle w:val="TableCaption"/>
      </w:pPr>
      <w:r>
        <w:rPr>
          <w:b w:val="0"/>
          <w:i w:val="0"/>
        </w:rPr>
        <w:t>Table 6 — The three automation policies compared.</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Policy</w:t>
            </w:r>
          </w:p>
        </w:tc>
        <w:tc>
          <w:tcPr>
            <w:tcW w:type="dxa" w:w="2890"/>
            <w:shd w:val="clear" w:color="auto" w:fill="E8EEF6"/>
          </w:tcPr>
          <w:p>
            <w:pPr>
              <w:spacing w:after="40" w:line="240" w:lineRule="auto"/>
              <w:jc w:val="center"/>
            </w:pPr>
            <w:r/>
            <w:r>
              <w:rPr>
                <w:b/>
                <w:sz w:val="20"/>
              </w:rPr>
              <w:t>Decision basis</w:t>
            </w:r>
          </w:p>
        </w:tc>
        <w:tc>
          <w:tcPr>
            <w:tcW w:type="dxa" w:w="2890"/>
            <w:shd w:val="clear" w:color="auto" w:fill="E8EEF6"/>
          </w:tcPr>
          <w:p>
            <w:pPr>
              <w:spacing w:after="40" w:line="240" w:lineRule="auto"/>
              <w:jc w:val="center"/>
            </w:pPr>
            <w:r/>
            <w:r>
              <w:rPr>
                <w:b/>
                <w:sz w:val="20"/>
              </w:rPr>
              <w:t>Expected trade-off</w:t>
            </w:r>
          </w:p>
        </w:tc>
      </w:tr>
      <w:tr>
        <w:tc>
          <w:tcPr>
            <w:tcW w:type="dxa" w:w="2890"/>
          </w:tcPr>
          <w:p>
            <w:pPr>
              <w:spacing w:after="40" w:line="240" w:lineRule="auto"/>
              <w:jc w:val="left"/>
            </w:pPr>
            <w:r/>
            <w:r>
              <w:rPr>
                <w:b w:val="0"/>
                <w:sz w:val="20"/>
              </w:rPr>
              <w:t>Fixed workflow</w:t>
            </w:r>
          </w:p>
        </w:tc>
        <w:tc>
          <w:tcPr>
            <w:tcW w:type="dxa" w:w="2890"/>
          </w:tcPr>
          <w:p>
            <w:pPr>
              <w:spacing w:after="40" w:line="240" w:lineRule="auto"/>
              <w:jc w:val="center"/>
            </w:pPr>
            <w:r/>
            <w:r>
              <w:rPr>
                <w:b w:val="0"/>
                <w:sz w:val="20"/>
              </w:rPr>
              <w:t>Predetermined schedule, identical for every customer</w:t>
            </w:r>
          </w:p>
        </w:tc>
        <w:tc>
          <w:tcPr>
            <w:tcW w:type="dxa" w:w="2890"/>
          </w:tcPr>
          <w:p>
            <w:pPr>
              <w:spacing w:after="40" w:line="240" w:lineRule="auto"/>
              <w:jc w:val="center"/>
            </w:pPr>
            <w:r/>
            <w:r>
              <w:rPr>
                <w:b w:val="0"/>
                <w:sz w:val="20"/>
              </w:rPr>
              <w:t>Simple and cheap to operate; no personalisation; sends the most messages</w:t>
            </w:r>
          </w:p>
        </w:tc>
      </w:tr>
      <w:tr>
        <w:tc>
          <w:tcPr>
            <w:tcW w:type="dxa" w:w="2890"/>
          </w:tcPr>
          <w:p>
            <w:pPr>
              <w:spacing w:after="40" w:line="240" w:lineRule="auto"/>
              <w:jc w:val="left"/>
            </w:pPr>
            <w:r/>
            <w:r>
              <w:rPr>
                <w:b w:val="0"/>
                <w:sz w:val="20"/>
              </w:rPr>
              <w:t>Trigger-based</w:t>
            </w:r>
          </w:p>
        </w:tc>
        <w:tc>
          <w:tcPr>
            <w:tcW w:type="dxa" w:w="2890"/>
          </w:tcPr>
          <w:p>
            <w:pPr>
              <w:spacing w:after="40" w:line="240" w:lineRule="auto"/>
              <w:jc w:val="center"/>
            </w:pPr>
            <w:r/>
            <w:r>
              <w:rPr>
                <w:b w:val="0"/>
                <w:sz w:val="20"/>
              </w:rPr>
              <w:t>The customer's most recent observed event selects the next action</w:t>
            </w:r>
          </w:p>
        </w:tc>
        <w:tc>
          <w:tcPr>
            <w:tcW w:type="dxa" w:w="2890"/>
          </w:tcPr>
          <w:p>
            <w:pPr>
              <w:spacing w:after="40" w:line="240" w:lineRule="auto"/>
              <w:jc w:val="center"/>
            </w:pPr>
            <w:r/>
            <w:r>
              <w:rPr>
                <w:b w:val="0"/>
                <w:sz w:val="20"/>
              </w:rPr>
              <w:t>Responsive and message-efficient; stops early; rule count grows</w:t>
            </w:r>
          </w:p>
        </w:tc>
      </w:tr>
      <w:tr>
        <w:tc>
          <w:tcPr>
            <w:tcW w:type="dxa" w:w="2890"/>
          </w:tcPr>
          <w:p>
            <w:pPr>
              <w:spacing w:after="40" w:line="240" w:lineRule="auto"/>
              <w:jc w:val="left"/>
            </w:pPr>
            <w:r/>
            <w:r>
              <w:rPr>
                <w:b w:val="0"/>
                <w:sz w:val="20"/>
              </w:rPr>
              <w:t>Hybrid</w:t>
            </w:r>
          </w:p>
        </w:tc>
        <w:tc>
          <w:tcPr>
            <w:tcW w:type="dxa" w:w="2890"/>
          </w:tcPr>
          <w:p>
            <w:pPr>
              <w:spacing w:after="40" w:line="240" w:lineRule="auto"/>
              <w:jc w:val="center"/>
            </w:pPr>
            <w:r/>
            <w:r>
              <w:rPr>
                <w:b w:val="0"/>
                <w:sz w:val="20"/>
              </w:rPr>
              <w:t>Schedule + triggers + segment label + predicted response probability</w:t>
            </w:r>
          </w:p>
        </w:tc>
        <w:tc>
          <w:tcPr>
            <w:tcW w:type="dxa" w:w="2890"/>
          </w:tcPr>
          <w:p>
            <w:pPr>
              <w:spacing w:after="40" w:line="240" w:lineRule="auto"/>
              <w:jc w:val="center"/>
            </w:pPr>
            <w:r/>
            <w:r>
              <w:rPr>
                <w:b w:val="0"/>
                <w:sz w:val="20"/>
              </w:rPr>
              <w:t>Best personalisation; highest operational complexity</w:t>
            </w:r>
          </w:p>
        </w:tc>
      </w:tr>
    </w:tbl>
    <w:p>
      <w:pPr>
        <w:spacing w:after="120"/>
      </w:pPr>
    </w:p>
    <w:p>
      <w:r>
        <w:t>Response probability is supplied by a supervised model trained on the campaign dataset. Logistic regression and a random forest are both fitted, and a stratified dummy classifier is fitted alongside them as a floor, because the dataset is strongly imbalanced and accuracy alone would be misleading.</w:t>
      </w:r>
    </w:p>
    <w:p>
      <w:r>
        <w:t xml:space="preserve">A response simulation layer converts each campaign action into interaction events — sent, opened, clicked, ignored, converted — using segment-level propensities calibrated against the dataset's own conversion rates. The comparison is run over </w:t>
      </w:r>
      <w:r>
        <w:rPr>
          <w:b/>
        </w:rPr>
        <w:t>30 independent seeds</w:t>
      </w:r>
      <w:r>
        <w:t>, each putting the same 8,000 customers through all three policies, so the trials are paired and the statistics are paired accordingly. The same three policies are then run a second time against the imported audience in the live system, and both results are reported — including where they disagree.</w:t>
      </w:r>
    </w:p>
    <w:p>
      <w:pPr>
        <w:pStyle w:val="Heading3"/>
      </w:pPr>
      <w:r>
        <w:t>4.3.3 Output</w:t>
      </w:r>
    </w:p>
    <w:p>
      <w:r>
        <w:t xml:space="preserve">A customer-level interaction log written to </w:t>
      </w:r>
      <w:r>
        <w:rPr>
          <w:b/>
        </w:rPr>
        <w:t>interactions</w:t>
      </w:r>
      <w:r>
        <w:t xml:space="preserve">, a decision record written to </w:t>
      </w:r>
      <w:r>
        <w:rPr>
          <w:b/>
        </w:rPr>
        <w:t>action_log</w:t>
      </w:r>
      <w:r>
        <w:t>, and a policy comparison table reporting conversions per thousand sends, messages per customer and decision-rule count for each policy.</w:t>
      </w:r>
    </w:p>
    <w:p>
      <w:pPr>
        <w:pStyle w:val="Heading2"/>
      </w:pPr>
      <w:r>
        <w:t>4.4 Module 3 — Marketing Analytics and Decision Support</w:t>
      </w:r>
    </w:p>
    <w:p>
      <w:pPr>
        <w:pStyle w:val="Heading3"/>
      </w:pPr>
      <w:r>
        <w:t>4.4.1 Input</w:t>
      </w:r>
    </w:p>
    <w:p>
      <w:r>
        <w:t>The interaction log from Module 2, the segment labels from Module 1 and the propensity-logged decision record. For the controlled attribution experiment a simulator is used whose per-channel influence weights are known — the property that makes ground-truth scoring possible at all. For the targeting experiment the Hillstrom MineThatData dataset is used, because it is randomised and the project's own audience is not.</w:t>
      </w:r>
    </w:p>
    <w:p>
      <w:pPr>
        <w:pStyle w:val="Heading3"/>
      </w:pPr>
      <w:r>
        <w:t>4.4.2 Process</w:t>
      </w:r>
    </w:p>
    <w:p>
      <w:r>
        <w:t>Processing proceeds along five tracks over a common journey-level feature matrix.</w:t>
      </w:r>
    </w:p>
    <w:p>
      <w:r>
        <w:rPr>
          <w:b/>
        </w:rPr>
        <w:t>Funnel construction and drop-off analysis.</w:t>
      </w:r>
      <w:r>
        <w:t xml:space="preserve"> Journeys are assembled into the canonical sequence sent → opened → clicked → converted, and transition rates are computed overall and disaggregated by segment, channel and policy, so a loss can be localised to a stage of a specific audience under a specific policy.</w:t>
      </w:r>
    </w:p>
    <w:p>
      <w:r>
        <w:rPr>
          <w:b/>
        </w:rPr>
        <w:t>Attribution modelling.</w:t>
      </w:r>
      <w:r>
        <w:t xml:space="preserve"> Four models assign conversion credit across the touchpoints of each converting journey.</w:t>
      </w:r>
    </w:p>
    <w:p>
      <w:pPr>
        <w:pStyle w:val="TableCaption"/>
      </w:pPr>
      <w:r>
        <w:rPr>
          <w:b w:val="0"/>
          <w:i w:val="0"/>
        </w:rPr>
        <w:t>Table 7 — Attribution models implemented in Module 3.</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Model</w:t>
            </w:r>
          </w:p>
        </w:tc>
        <w:tc>
          <w:tcPr>
            <w:tcW w:type="dxa" w:w="2890"/>
            <w:shd w:val="clear" w:color="auto" w:fill="E8EEF6"/>
          </w:tcPr>
          <w:p>
            <w:pPr>
              <w:spacing w:after="40" w:line="240" w:lineRule="auto"/>
              <w:jc w:val="center"/>
            </w:pPr>
            <w:r/>
            <w:r>
              <w:rPr>
                <w:b/>
                <w:sz w:val="20"/>
              </w:rPr>
              <w:t>Credit rule</w:t>
            </w:r>
          </w:p>
        </w:tc>
        <w:tc>
          <w:tcPr>
            <w:tcW w:type="dxa" w:w="2890"/>
            <w:shd w:val="clear" w:color="auto" w:fill="E8EEF6"/>
          </w:tcPr>
          <w:p>
            <w:pPr>
              <w:spacing w:after="40" w:line="240" w:lineRule="auto"/>
              <w:jc w:val="center"/>
            </w:pPr>
            <w:r/>
            <w:r>
              <w:rPr>
                <w:b/>
                <w:sz w:val="20"/>
              </w:rPr>
              <w:t>Known weakness</w:t>
            </w:r>
          </w:p>
        </w:tc>
      </w:tr>
      <w:tr>
        <w:tc>
          <w:tcPr>
            <w:tcW w:type="dxa" w:w="2890"/>
          </w:tcPr>
          <w:p>
            <w:pPr>
              <w:spacing w:after="40" w:line="240" w:lineRule="auto"/>
              <w:jc w:val="left"/>
            </w:pPr>
            <w:r/>
            <w:r>
              <w:rPr>
                <w:b w:val="0"/>
                <w:sz w:val="20"/>
              </w:rPr>
              <w:t>First-touch</w:t>
            </w:r>
          </w:p>
        </w:tc>
        <w:tc>
          <w:tcPr>
            <w:tcW w:type="dxa" w:w="2890"/>
          </w:tcPr>
          <w:p>
            <w:pPr>
              <w:spacing w:after="40" w:line="240" w:lineRule="auto"/>
              <w:jc w:val="center"/>
            </w:pPr>
            <w:r/>
            <w:r>
              <w:rPr>
                <w:b w:val="0"/>
                <w:sz w:val="20"/>
              </w:rPr>
              <w:t>All credit to the first touchpoint</w:t>
            </w:r>
          </w:p>
        </w:tc>
        <w:tc>
          <w:tcPr>
            <w:tcW w:type="dxa" w:w="2890"/>
          </w:tcPr>
          <w:p>
            <w:pPr>
              <w:spacing w:after="40" w:line="240" w:lineRule="auto"/>
              <w:jc w:val="center"/>
            </w:pPr>
            <w:r/>
            <w:r>
              <w:rPr>
                <w:b w:val="0"/>
                <w:sz w:val="20"/>
              </w:rPr>
              <w:t>Ignores everything that closed the sale</w:t>
            </w:r>
          </w:p>
        </w:tc>
      </w:tr>
      <w:tr>
        <w:tc>
          <w:tcPr>
            <w:tcW w:type="dxa" w:w="2890"/>
          </w:tcPr>
          <w:p>
            <w:pPr>
              <w:spacing w:after="40" w:line="240" w:lineRule="auto"/>
              <w:jc w:val="left"/>
            </w:pPr>
            <w:r/>
            <w:r>
              <w:rPr>
                <w:b w:val="0"/>
                <w:sz w:val="20"/>
              </w:rPr>
              <w:t>Last-touch</w:t>
            </w:r>
          </w:p>
        </w:tc>
        <w:tc>
          <w:tcPr>
            <w:tcW w:type="dxa" w:w="2890"/>
          </w:tcPr>
          <w:p>
            <w:pPr>
              <w:spacing w:after="40" w:line="240" w:lineRule="auto"/>
              <w:jc w:val="center"/>
            </w:pPr>
            <w:r/>
            <w:r>
              <w:rPr>
                <w:b w:val="0"/>
                <w:sz w:val="20"/>
              </w:rPr>
              <w:t>All credit to the final touchpoint</w:t>
            </w:r>
          </w:p>
        </w:tc>
        <w:tc>
          <w:tcPr>
            <w:tcW w:type="dxa" w:w="2890"/>
          </w:tcPr>
          <w:p>
            <w:pPr>
              <w:spacing w:after="40" w:line="240" w:lineRule="auto"/>
              <w:jc w:val="center"/>
            </w:pPr>
            <w:r/>
            <w:r>
              <w:rPr>
                <w:b w:val="0"/>
                <w:sz w:val="20"/>
              </w:rPr>
              <w:t>Ignores everything that created the audience</w:t>
            </w:r>
          </w:p>
        </w:tc>
      </w:tr>
      <w:tr>
        <w:tc>
          <w:tcPr>
            <w:tcW w:type="dxa" w:w="2890"/>
          </w:tcPr>
          <w:p>
            <w:pPr>
              <w:spacing w:after="40" w:line="240" w:lineRule="auto"/>
              <w:jc w:val="left"/>
            </w:pPr>
            <w:r/>
            <w:r>
              <w:rPr>
                <w:b w:val="0"/>
                <w:sz w:val="20"/>
              </w:rPr>
              <w:t>Linear</w:t>
            </w:r>
          </w:p>
        </w:tc>
        <w:tc>
          <w:tcPr>
            <w:tcW w:type="dxa" w:w="2890"/>
          </w:tcPr>
          <w:p>
            <w:pPr>
              <w:spacing w:after="40" w:line="240" w:lineRule="auto"/>
              <w:jc w:val="center"/>
            </w:pPr>
            <w:r/>
            <w:r>
              <w:rPr>
                <w:b w:val="0"/>
                <w:sz w:val="20"/>
              </w:rPr>
              <w:t>Credit divided equally across touchpoints</w:t>
            </w:r>
          </w:p>
        </w:tc>
        <w:tc>
          <w:tcPr>
            <w:tcW w:type="dxa" w:w="2890"/>
          </w:tcPr>
          <w:p>
            <w:pPr>
              <w:spacing w:after="40" w:line="240" w:lineRule="auto"/>
              <w:jc w:val="center"/>
            </w:pPr>
            <w:r/>
            <w:r>
              <w:rPr>
                <w:b w:val="0"/>
                <w:sz w:val="20"/>
              </w:rPr>
              <w:t>Assumes every touch contributed equally</w:t>
            </w:r>
          </w:p>
        </w:tc>
      </w:tr>
      <w:tr>
        <w:tc>
          <w:tcPr>
            <w:tcW w:type="dxa" w:w="2890"/>
          </w:tcPr>
          <w:p>
            <w:pPr>
              <w:spacing w:after="40" w:line="240" w:lineRule="auto"/>
              <w:jc w:val="left"/>
            </w:pPr>
            <w:r/>
            <w:r>
              <w:rPr>
                <w:b w:val="0"/>
                <w:sz w:val="20"/>
              </w:rPr>
              <w:t>Markov (removal effect)</w:t>
            </w:r>
          </w:p>
        </w:tc>
        <w:tc>
          <w:tcPr>
            <w:tcW w:type="dxa" w:w="2890"/>
          </w:tcPr>
          <w:p>
            <w:pPr>
              <w:spacing w:after="40" w:line="240" w:lineRule="auto"/>
              <w:jc w:val="center"/>
            </w:pPr>
            <w:r/>
            <w:r>
              <w:rPr>
                <w:b w:val="0"/>
                <w:sz w:val="20"/>
              </w:rPr>
              <w:t>Credit from the drop in conversion probability when a channel is removed</w:t>
            </w:r>
          </w:p>
        </w:tc>
        <w:tc>
          <w:tcPr>
            <w:tcW w:type="dxa" w:w="2890"/>
          </w:tcPr>
          <w:p>
            <w:pPr>
              <w:spacing w:after="40" w:line="240" w:lineRule="auto"/>
              <w:jc w:val="center"/>
            </w:pPr>
            <w:r/>
            <w:r>
              <w:rPr>
                <w:b w:val="0"/>
                <w:sz w:val="20"/>
              </w:rPr>
              <w:t>Needs substantial journey volume to be stable</w:t>
            </w:r>
          </w:p>
        </w:tc>
      </w:tr>
    </w:tbl>
    <w:p>
      <w:pPr>
        <w:spacing w:after="120"/>
      </w:pPr>
    </w:p>
    <w:p>
      <w:r>
        <w:t xml:space="preserve">Where journeys are simulated, the true credit distribution is known by construction and each model is scored by mean absolute error against it. Where they are not — on the imported audience — no such column exists, so the module reports </w:t>
      </w:r>
      <w:r>
        <w:rPr>
          <w:b/>
        </w:rPr>
        <w:t>pairwise disagreement</w:t>
      </w:r>
      <w:r>
        <w:t xml:space="preserve"> instead of accuracy. Reporting accuracy there would require a ground truth that does not exist.</w:t>
      </w:r>
    </w:p>
    <w:p>
      <w:r>
        <w:rPr>
          <w:b/>
        </w:rPr>
        <w:t>Predictive modelling.</w:t>
      </w:r>
      <w:r>
        <w:t xml:space="preserve"> A journey-level feature matrix (counts of sends, opens and clicks; recency; journey length; average inter-event time; first and last channel; segment; policy) is used to fit logistic regression, random forest and XGBoost models for conversion probability and drop-off risk, each compared against a stratified baseline with bootstrap intervals. Applying them to the imported audience is treated explicitly as a transfer across distributions: the ranking is usable, the absolute probabilities are not calibrated for it, and the report says so.</w:t>
      </w:r>
    </w:p>
    <w:p>
      <w:r>
        <w:rPr>
          <w:b/>
        </w:rPr>
        <w:t>Uplift modelling.</w:t>
      </w:r>
      <w:r>
        <w:t xml:space="preserve"> Ranking customers by predicted conversion answers </w:t>
      </w:r>
      <w:r>
        <w:rPr>
          <w:i/>
        </w:rPr>
        <w:t>who is most likely to convert</w:t>
      </w:r>
      <w:r>
        <w:t xml:space="preserve">. A campaign needs to know </w:t>
      </w:r>
      <w:r>
        <w:rPr>
          <w:i/>
        </w:rPr>
        <w:t>for whom does contacting them change the outcome</w:t>
      </w:r>
      <w:r>
        <w:t>. S-learner and T-learner uplift models are fitted and compared against the predicted-response policy and a random baseline using Qini curves. This is done on Hillstrom's randomised data because uplift is identifiable only where assignment was randomised — and the report declines to compute it on the project's own audience, where no action was ever randomised.</w:t>
      </w:r>
    </w:p>
    <w:p>
      <w:r>
        <w:rPr>
          <w:b/>
        </w:rPr>
        <w:t>Off-policy evaluation.</w:t>
      </w:r>
      <w:r>
        <w:t xml:space="preserve"> The system records every decision, the action taken, </w:t>
      </w:r>
      <w:r>
        <w:rPr>
          <w:b/>
        </w:rPr>
        <w:t>the probability it was taken under</w:t>
      </w:r>
      <w:r>
        <w:t>, and what followed. Inverse-propensity, self-normalised and doubly-robust estimators are validated against a known answer in simulation, including the effect of the exploration rate. Ten per cent of decisions are randomised on purpose, because a deterministic policy assigns probability zero to every action it does not take and nothing can be learned from a denominator of zero.</w:t>
      </w:r>
    </w:p>
    <w:p>
      <w:r>
        <w:t>A refusal guard sits across the module: attribution is not reported below five converting journeys, and degenerate prediction distributions raise a calibration warning rather than a confident answer.</w:t>
      </w:r>
    </w:p>
    <w:p>
      <w:pPr>
        <w:pStyle w:val="Heading3"/>
      </w:pPr>
      <w:r>
        <w:t>4.4.3 Output</w:t>
      </w:r>
    </w:p>
    <w:p>
      <w:r>
        <w:t xml:space="preserve">Per-customer predicted conversion probability, drop-off risk, channel and platform credit, a recommended action and platform, written to </w:t>
      </w:r>
      <w:r>
        <w:rPr>
          <w:b/>
        </w:rPr>
        <w:t>analytics_output</w:t>
      </w:r>
      <w:r>
        <w:t xml:space="preserve">; an append-only </w:t>
      </w:r>
      <w:r>
        <w:rPr>
          <w:b/>
        </w:rPr>
        <w:t>action_log</w:t>
      </w:r>
      <w:r>
        <w:t>; a set of funnel, attribution, prediction, uplift and estimator figures; and a system-level insight summary consumed by Module 2 for campaign optimisation and Module 4 for platform priority.</w:t>
      </w:r>
    </w:p>
    <w:p>
      <w:pPr>
        <w:pStyle w:val="Heading2"/>
      </w:pPr>
      <w:r>
        <w:t>4.5 Module 4 — AI Content Refinery and Multi-Platform Distribution</w:t>
      </w:r>
    </w:p>
    <w:p>
      <w:pPr>
        <w:pStyle w:val="Heading3"/>
      </w:pPr>
      <w:r>
        <w:t>4.5.1 Input</w:t>
      </w:r>
    </w:p>
    <w:p>
      <w:r>
        <w:t>The client's own website, crawled to extract page copy, headings and product descriptions into a business summary and brand vocabulary; a labelled corpus for campaign-goal and tone classification; and platform priority supplied by Module 3's attribution output.</w:t>
      </w:r>
    </w:p>
    <w:p>
      <w:pPr>
        <w:pStyle w:val="Heading3"/>
      </w:pPr>
      <w:r>
        <w:t>4.5.2 Process</w:t>
      </w:r>
    </w:p>
    <w:p>
      <w:r>
        <w:rPr>
          <w:b/>
        </w:rPr>
        <w:t>Capability detection</w:t>
      </w:r>
      <w:r>
        <w:t xml:space="preserve"> runs first. The crawler reads the site and decides what the business can actually do, as independent flags rather than as a single category — a charity that sells merchandise has both donation and commerce; a publisher running a store has commerce as well as content.</w:t>
      </w:r>
    </w:p>
    <w:p>
      <w:pPr>
        <w:pStyle w:val="TableCaption"/>
      </w:pPr>
      <w:r>
        <w:rPr>
          <w:b w:val="0"/>
          <w:i w:val="0"/>
        </w:rPr>
        <w:t>Table 8 — Detected site capabilities and the actions each unlocks.</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Capability</w:t>
            </w:r>
          </w:p>
        </w:tc>
        <w:tc>
          <w:tcPr>
            <w:tcW w:type="dxa" w:w="2890"/>
            <w:shd w:val="clear" w:color="auto" w:fill="E8EEF6"/>
          </w:tcPr>
          <w:p>
            <w:pPr>
              <w:spacing w:after="40" w:line="240" w:lineRule="auto"/>
              <w:jc w:val="center"/>
            </w:pPr>
            <w:r/>
            <w:r>
              <w:rPr>
                <w:b/>
                <w:sz w:val="20"/>
              </w:rPr>
              <w:t>Evidence sought</w:t>
            </w:r>
          </w:p>
        </w:tc>
        <w:tc>
          <w:tcPr>
            <w:tcW w:type="dxa" w:w="2890"/>
            <w:shd w:val="clear" w:color="auto" w:fill="E8EEF6"/>
          </w:tcPr>
          <w:p>
            <w:pPr>
              <w:spacing w:after="40" w:line="240" w:lineRule="auto"/>
              <w:jc w:val="center"/>
            </w:pPr>
            <w:r/>
            <w:r>
              <w:rPr>
                <w:b/>
                <w:sz w:val="20"/>
              </w:rPr>
              <w:t>Actions it makes available</w:t>
            </w:r>
          </w:p>
        </w:tc>
      </w:tr>
      <w:tr>
        <w:tc>
          <w:tcPr>
            <w:tcW w:type="dxa" w:w="2890"/>
          </w:tcPr>
          <w:p>
            <w:pPr>
              <w:spacing w:after="40" w:line="240" w:lineRule="auto"/>
              <w:jc w:val="left"/>
            </w:pPr>
            <w:r/>
            <w:r>
              <w:rPr>
                <w:b w:val="0"/>
                <w:sz w:val="20"/>
              </w:rPr>
              <w:t>commerce</w:t>
            </w:r>
          </w:p>
        </w:tc>
        <w:tc>
          <w:tcPr>
            <w:tcW w:type="dxa" w:w="2890"/>
          </w:tcPr>
          <w:p>
            <w:pPr>
              <w:spacing w:after="40" w:line="240" w:lineRule="auto"/>
              <w:jc w:val="center"/>
            </w:pPr>
            <w:r/>
            <w:r>
              <w:rPr>
                <w:b w:val="0"/>
                <w:sz w:val="20"/>
              </w:rPr>
              <w:t>Basket, checkout and product paths, price markup</w:t>
            </w:r>
          </w:p>
        </w:tc>
        <w:tc>
          <w:tcPr>
            <w:tcW w:type="dxa" w:w="2890"/>
          </w:tcPr>
          <w:p>
            <w:pPr>
              <w:spacing w:after="40" w:line="240" w:lineRule="auto"/>
              <w:jc w:val="center"/>
            </w:pPr>
            <w:r/>
            <w:r>
              <w:rPr>
                <w:b w:val="0"/>
                <w:sz w:val="20"/>
              </w:rPr>
              <w:t>Abandoned-basket recovery, product promotion, discount offer</w:t>
            </w:r>
          </w:p>
        </w:tc>
      </w:tr>
      <w:tr>
        <w:tc>
          <w:tcPr>
            <w:tcW w:type="dxa" w:w="2890"/>
          </w:tcPr>
          <w:p>
            <w:pPr>
              <w:spacing w:after="40" w:line="240" w:lineRule="auto"/>
              <w:jc w:val="left"/>
            </w:pPr>
            <w:r/>
            <w:r>
              <w:rPr>
                <w:b w:val="0"/>
                <w:sz w:val="20"/>
              </w:rPr>
              <w:t>subscription</w:t>
            </w:r>
          </w:p>
        </w:tc>
        <w:tc>
          <w:tcPr>
            <w:tcW w:type="dxa" w:w="2890"/>
          </w:tcPr>
          <w:p>
            <w:pPr>
              <w:spacing w:after="40" w:line="240" w:lineRule="auto"/>
              <w:jc w:val="center"/>
            </w:pPr>
            <w:r/>
            <w:r>
              <w:rPr>
                <w:b w:val="0"/>
                <w:sz w:val="20"/>
              </w:rPr>
              <w:t>Pricing tiers, plan or trial paths</w:t>
            </w:r>
          </w:p>
        </w:tc>
        <w:tc>
          <w:tcPr>
            <w:tcW w:type="dxa" w:w="2890"/>
          </w:tcPr>
          <w:p>
            <w:pPr>
              <w:spacing w:after="40" w:line="240" w:lineRule="auto"/>
              <w:jc w:val="center"/>
            </w:pPr>
            <w:r/>
            <w:r>
              <w:rPr>
                <w:b w:val="0"/>
                <w:sz w:val="20"/>
              </w:rPr>
              <w:t>Trial nudge, upgrade prompt, renewal reminder</w:t>
            </w:r>
          </w:p>
        </w:tc>
      </w:tr>
      <w:tr>
        <w:tc>
          <w:tcPr>
            <w:tcW w:type="dxa" w:w="2890"/>
          </w:tcPr>
          <w:p>
            <w:pPr>
              <w:spacing w:after="40" w:line="240" w:lineRule="auto"/>
              <w:jc w:val="left"/>
            </w:pPr>
            <w:r/>
            <w:r>
              <w:rPr>
                <w:b w:val="0"/>
                <w:sz w:val="20"/>
              </w:rPr>
              <w:t>lead_capture</w:t>
            </w:r>
          </w:p>
        </w:tc>
        <w:tc>
          <w:tcPr>
            <w:tcW w:type="dxa" w:w="2890"/>
          </w:tcPr>
          <w:p>
            <w:pPr>
              <w:spacing w:after="40" w:line="240" w:lineRule="auto"/>
              <w:jc w:val="center"/>
            </w:pPr>
            <w:r/>
            <w:r>
              <w:rPr>
                <w:b w:val="0"/>
                <w:sz w:val="20"/>
              </w:rPr>
              <w:t>Contact, demo or quote forms</w:t>
            </w:r>
          </w:p>
        </w:tc>
        <w:tc>
          <w:tcPr>
            <w:tcW w:type="dxa" w:w="2890"/>
          </w:tcPr>
          <w:p>
            <w:pPr>
              <w:spacing w:after="40" w:line="240" w:lineRule="auto"/>
              <w:jc w:val="center"/>
            </w:pPr>
            <w:r/>
            <w:r>
              <w:rPr>
                <w:b w:val="0"/>
                <w:sz w:val="20"/>
              </w:rPr>
              <w:t>Lead-nurture sequence, demo invitation</w:t>
            </w:r>
          </w:p>
        </w:tc>
      </w:tr>
      <w:tr>
        <w:tc>
          <w:tcPr>
            <w:tcW w:type="dxa" w:w="2890"/>
          </w:tcPr>
          <w:p>
            <w:pPr>
              <w:spacing w:after="40" w:line="240" w:lineRule="auto"/>
              <w:jc w:val="left"/>
            </w:pPr>
            <w:r/>
            <w:r>
              <w:rPr>
                <w:b w:val="0"/>
                <w:sz w:val="20"/>
              </w:rPr>
              <w:t>donation</w:t>
            </w:r>
          </w:p>
        </w:tc>
        <w:tc>
          <w:tcPr>
            <w:tcW w:type="dxa" w:w="2890"/>
          </w:tcPr>
          <w:p>
            <w:pPr>
              <w:spacing w:after="40" w:line="240" w:lineRule="auto"/>
              <w:jc w:val="center"/>
            </w:pPr>
            <w:r/>
            <w:r>
              <w:rPr>
                <w:b w:val="0"/>
                <w:sz w:val="20"/>
              </w:rPr>
              <w:t>Donate paths, appeal or campaign pages</w:t>
            </w:r>
          </w:p>
        </w:tc>
        <w:tc>
          <w:tcPr>
            <w:tcW w:type="dxa" w:w="2890"/>
          </w:tcPr>
          <w:p>
            <w:pPr>
              <w:spacing w:after="40" w:line="240" w:lineRule="auto"/>
              <w:jc w:val="center"/>
            </w:pPr>
            <w:r/>
            <w:r>
              <w:rPr>
                <w:b w:val="0"/>
                <w:sz w:val="20"/>
              </w:rPr>
              <w:t>Appeal message, recurring-gift prompt</w:t>
            </w:r>
          </w:p>
        </w:tc>
      </w:tr>
    </w:tbl>
    <w:p>
      <w:pPr>
        <w:spacing w:after="120"/>
      </w:pPr>
    </w:p>
    <w:p>
      <w:r>
        <w:t xml:space="preserve">This matters for two reasons. Recommending </w:t>
      </w:r>
      <w:r>
        <w:rPr>
          <w:i/>
        </w:rPr>
        <w:t>drive to checkout</w:t>
      </w:r>
      <w:r>
        <w:t xml:space="preserve"> to a site with no checkout is an error the marketer sees immediately and which destroys trust in every other recommendation. And because the action set determines how thinly the exploration budget is spread, the catalogue must stay as small as honestly covers what the site can do — a cost Section 7.3.10 measures directly.</w:t>
      </w:r>
    </w:p>
    <w:p>
      <w:r>
        <w:t>The campaign goal (awareness, conversion, engagement, lead generation, retention) and tone (professional, persuasive, friendly, luxury, emotional) are then classified from the source text. Two representations are compared for both targets — TF-IDF with logistic regression, and Sentence-BERT embeddings with XGBoost — and the better model per target is selected on held-out performance using a test appropriate to two classifiers on one test set, rather than assumed.</w:t>
      </w:r>
    </w:p>
    <w:p>
      <w:r>
        <w:t>A platform-aware generation engine then produces, for each target platform, a caption, hashtags, a call to action, an image prompt and — where the platform supports it — a short-video brief, respecting that platform's length, formality and format conventions. Every asset is scored on three axes and ranked by a weighted composite.</w:t>
      </w:r>
    </w:p>
    <w:p>
      <w:pPr>
        <w:pStyle w:val="TableCaption"/>
      </w:pPr>
      <w:r>
        <w:rPr>
          <w:b w:val="0"/>
          <w:i w:val="0"/>
        </w:rPr>
        <w:t>Table 9 — Content scoring components and their weights.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Component</w:t>
            </w:r>
          </w:p>
        </w:tc>
        <w:tc>
          <w:tcPr>
            <w:tcW w:type="dxa" w:w="2167"/>
            <w:shd w:val="clear" w:color="auto" w:fill="E8EEF6"/>
          </w:tcPr>
          <w:p>
            <w:pPr>
              <w:spacing w:after="40" w:line="240" w:lineRule="auto"/>
              <w:jc w:val="center"/>
            </w:pPr>
            <w:r/>
            <w:r>
              <w:rPr>
                <w:b/>
                <w:sz w:val="20"/>
              </w:rPr>
              <w:t>Method</w:t>
            </w:r>
          </w:p>
        </w:tc>
        <w:tc>
          <w:tcPr>
            <w:tcW w:type="dxa" w:w="2167"/>
            <w:shd w:val="clear" w:color="auto" w:fill="E8EEF6"/>
          </w:tcPr>
          <w:p>
            <w:pPr>
              <w:spacing w:after="40" w:line="240" w:lineRule="auto"/>
              <w:jc w:val="center"/>
            </w:pPr>
            <w:r/>
            <w:r>
              <w:rPr>
                <w:b/>
                <w:sz w:val="20"/>
              </w:rPr>
              <w:t>Weight</w:t>
            </w:r>
          </w:p>
        </w:tc>
        <w:tc>
          <w:tcPr>
            <w:tcW w:type="dxa" w:w="2167"/>
            <w:shd w:val="clear" w:color="auto" w:fill="E8EEF6"/>
          </w:tcPr>
          <w:p>
            <w:pPr>
              <w:spacing w:after="40" w:line="240" w:lineRule="auto"/>
              <w:jc w:val="center"/>
            </w:pPr>
            <w:r/>
            <w:r>
              <w:rPr>
                <w:b/>
                <w:sz w:val="20"/>
              </w:rPr>
              <w:t>Rationale</w:t>
            </w:r>
          </w:p>
        </w:tc>
      </w:tr>
      <w:tr>
        <w:tc>
          <w:tcPr>
            <w:tcW w:type="dxa" w:w="2167"/>
          </w:tcPr>
          <w:p>
            <w:pPr>
              <w:spacing w:after="40" w:line="240" w:lineRule="auto"/>
              <w:jc w:val="left"/>
            </w:pPr>
            <w:r/>
            <w:r>
              <w:rPr>
                <w:b w:val="0"/>
                <w:sz w:val="20"/>
              </w:rPr>
              <w:t>Semantic similarity</w:t>
            </w:r>
          </w:p>
        </w:tc>
        <w:tc>
          <w:tcPr>
            <w:tcW w:type="dxa" w:w="2167"/>
          </w:tcPr>
          <w:p>
            <w:pPr>
              <w:spacing w:after="40" w:line="240" w:lineRule="auto"/>
              <w:jc w:val="center"/>
            </w:pPr>
            <w:r/>
            <w:r>
              <w:rPr>
                <w:b w:val="0"/>
                <w:sz w:val="20"/>
              </w:rPr>
              <w:t>Sentence-BERT cosine similarity between source summary and generated asset</w:t>
            </w:r>
          </w:p>
        </w:tc>
        <w:tc>
          <w:tcPr>
            <w:tcW w:type="dxa" w:w="2167"/>
          </w:tcPr>
          <w:p>
            <w:pPr>
              <w:spacing w:after="40" w:line="240" w:lineRule="auto"/>
              <w:jc w:val="center"/>
            </w:pPr>
            <w:r/>
            <w:r>
              <w:rPr>
                <w:b w:val="0"/>
                <w:sz w:val="20"/>
              </w:rPr>
              <w:t>0.40</w:t>
            </w:r>
          </w:p>
        </w:tc>
        <w:tc>
          <w:tcPr>
            <w:tcW w:type="dxa" w:w="2167"/>
          </w:tcPr>
          <w:p>
            <w:pPr>
              <w:spacing w:after="40" w:line="240" w:lineRule="auto"/>
              <w:jc w:val="center"/>
            </w:pPr>
            <w:r/>
            <w:r>
              <w:rPr>
                <w:b w:val="0"/>
                <w:sz w:val="20"/>
              </w:rPr>
              <w:t>Guards against the model inventing claims the business does not make</w:t>
            </w:r>
          </w:p>
        </w:tc>
      </w:tr>
      <w:tr>
        <w:tc>
          <w:tcPr>
            <w:tcW w:type="dxa" w:w="2167"/>
          </w:tcPr>
          <w:p>
            <w:pPr>
              <w:spacing w:after="40" w:line="240" w:lineRule="auto"/>
              <w:jc w:val="left"/>
            </w:pPr>
            <w:r/>
            <w:r>
              <w:rPr>
                <w:b w:val="0"/>
                <w:sz w:val="20"/>
              </w:rPr>
              <w:t>Platform suitability</w:t>
            </w:r>
          </w:p>
        </w:tc>
        <w:tc>
          <w:tcPr>
            <w:tcW w:type="dxa" w:w="2167"/>
          </w:tcPr>
          <w:p>
            <w:pPr>
              <w:spacing w:after="40" w:line="240" w:lineRule="auto"/>
              <w:jc w:val="center"/>
            </w:pPr>
            <w:r/>
            <w:r>
              <w:rPr>
                <w:b w:val="0"/>
                <w:sz w:val="20"/>
              </w:rPr>
              <w:t>Rule-based check of length, hashtag count, emoji use and structure</w:t>
            </w:r>
          </w:p>
        </w:tc>
        <w:tc>
          <w:tcPr>
            <w:tcW w:type="dxa" w:w="2167"/>
          </w:tcPr>
          <w:p>
            <w:pPr>
              <w:spacing w:after="40" w:line="240" w:lineRule="auto"/>
              <w:jc w:val="center"/>
            </w:pPr>
            <w:r/>
            <w:r>
              <w:rPr>
                <w:b w:val="0"/>
                <w:sz w:val="20"/>
              </w:rPr>
              <w:t>0.40</w:t>
            </w:r>
          </w:p>
        </w:tc>
        <w:tc>
          <w:tcPr>
            <w:tcW w:type="dxa" w:w="2167"/>
          </w:tcPr>
          <w:p>
            <w:pPr>
              <w:spacing w:after="40" w:line="240" w:lineRule="auto"/>
              <w:jc w:val="center"/>
            </w:pPr>
            <w:r/>
            <w:r>
              <w:rPr>
                <w:b w:val="0"/>
                <w:sz w:val="20"/>
              </w:rPr>
              <w:t>Deterministic, auditable and platform-specific</w:t>
            </w:r>
          </w:p>
        </w:tc>
      </w:tr>
      <w:tr>
        <w:tc>
          <w:tcPr>
            <w:tcW w:type="dxa" w:w="2167"/>
          </w:tcPr>
          <w:p>
            <w:pPr>
              <w:spacing w:after="40" w:line="240" w:lineRule="auto"/>
              <w:jc w:val="left"/>
            </w:pPr>
            <w:r/>
            <w:r>
              <w:rPr>
                <w:b w:val="0"/>
                <w:sz w:val="20"/>
              </w:rPr>
              <w:t>Predicted engagement</w:t>
            </w:r>
          </w:p>
        </w:tc>
        <w:tc>
          <w:tcPr>
            <w:tcW w:type="dxa" w:w="2167"/>
          </w:tcPr>
          <w:p>
            <w:pPr>
              <w:spacing w:after="40" w:line="240" w:lineRule="auto"/>
              <w:jc w:val="center"/>
            </w:pPr>
            <w:r/>
            <w:r>
              <w:rPr>
                <w:b w:val="0"/>
                <w:sz w:val="20"/>
              </w:rPr>
              <w:t>XGBoost regressor over text features</w:t>
            </w:r>
          </w:p>
        </w:tc>
        <w:tc>
          <w:tcPr>
            <w:tcW w:type="dxa" w:w="2167"/>
          </w:tcPr>
          <w:p>
            <w:pPr>
              <w:spacing w:after="40" w:line="240" w:lineRule="auto"/>
              <w:jc w:val="center"/>
            </w:pPr>
            <w:r/>
            <w:r>
              <w:rPr>
                <w:b w:val="0"/>
                <w:sz w:val="20"/>
              </w:rPr>
              <w:t>0.20</w:t>
            </w:r>
          </w:p>
        </w:tc>
        <w:tc>
          <w:tcPr>
            <w:tcW w:type="dxa" w:w="2167"/>
          </w:tcPr>
          <w:p>
            <w:pPr>
              <w:spacing w:after="40" w:line="240" w:lineRule="auto"/>
              <w:jc w:val="center"/>
            </w:pPr>
            <w:r/>
            <w:r>
              <w:rPr>
                <w:b w:val="0"/>
                <w:sz w:val="20"/>
              </w:rPr>
              <w:t>Reduced from an originally intended 0.45 after the model was shown to have no demonstrable skill (§7.3.7)</w:t>
            </w:r>
          </w:p>
        </w:tc>
      </w:tr>
    </w:tbl>
    <w:p>
      <w:pPr>
        <w:spacing w:after="120"/>
      </w:pPr>
    </w:p>
    <w:p>
      <w:r>
        <w:t>A human-baseline harness scores manually written marketing copy through the identical pipeline, so that AI-generated assets are compared with human assets on the same scale rather than against an assertion.</w:t>
      </w:r>
    </w:p>
    <w:p>
      <w:pPr>
        <w:pStyle w:val="Heading3"/>
      </w:pPr>
      <w:r>
        <w:t>4.5.3 Output</w:t>
      </w:r>
    </w:p>
    <w:p>
      <w:r>
        <w:t xml:space="preserve">Ranked, platform-ready marketing assets written to </w:t>
      </w:r>
      <w:r>
        <w:rPr>
          <w:b/>
        </w:rPr>
        <w:t>content_assets</w:t>
      </w:r>
      <w:r>
        <w:t>, ordered by platform according to Module 3's measured attribution credit, and restricted to actions the site is capable of performing.</w:t>
      </w:r>
    </w:p>
    <w:p>
      <w:pPr>
        <w:pStyle w:val="Heading2"/>
      </w:pPr>
      <w:r>
        <w:t>4.6 Integration Strategy</w:t>
      </w:r>
    </w:p>
    <w:p>
      <w:r>
        <w:t>Integration is achieved through a shared relational data layer rather than through direct calls between modules. Each module reads the tables it needs and writes the tables it owns, which keeps the modules independently testable and replaceable while still allowing the loop to close.</w:t>
      </w:r>
    </w:p>
    <w:p>
      <w:r>
        <w:t xml:space="preserve">The loop runs as follows. The imported audience and any live sessions populate </w:t>
      </w:r>
      <w:r>
        <w:rPr>
          <w:b/>
        </w:rPr>
        <w:t>visitors</w:t>
      </w:r>
      <w:r>
        <w:t xml:space="preserve"> and raw events. Module 1 writes </w:t>
      </w:r>
      <w:r>
        <w:rPr>
          <w:b/>
        </w:rPr>
        <w:t>user_segments</w:t>
      </w:r>
      <w:r>
        <w:t xml:space="preserve">. Module 2 reads segments and writes </w:t>
      </w:r>
      <w:r>
        <w:rPr>
          <w:b/>
        </w:rPr>
        <w:t>interactions</w:t>
      </w:r>
      <w:r>
        <w:t xml:space="preserve"> and </w:t>
      </w:r>
      <w:r>
        <w:rPr>
          <w:b/>
        </w:rPr>
        <w:t>action_log</w:t>
      </w:r>
      <w:r>
        <w:t xml:space="preserve">. Module 3 reads all three and writes </w:t>
      </w:r>
      <w:r>
        <w:rPr>
          <w:b/>
        </w:rPr>
        <w:t>analytics_output</w:t>
      </w:r>
      <w:r>
        <w:t xml:space="preserve">. Module 4 reads analytics output for platform priority, writes </w:t>
      </w:r>
      <w:r>
        <w:rPr>
          <w:b/>
        </w:rPr>
        <w:t>content_assets</w:t>
      </w:r>
      <w:r>
        <w:t>, and supplies the capability set that constrains what Module 3 may recommend. Module 2's next cycle reads both analytics output and the highest-scoring content asset.</w:t>
      </w:r>
    </w:p>
    <w:p>
      <w:r>
        <w:t>Four integration properties were treated as requirements rather than conveniences.</w:t>
      </w:r>
    </w:p>
    <w:p>
      <w:pPr>
        <w:pStyle w:val="ListBullet"/>
        <w:spacing w:after="80" w:line="312" w:lineRule="auto"/>
        <w:jc w:val="both"/>
      </w:pPr>
      <w:r>
        <w:rPr>
          <w:b/>
        </w:rPr>
        <w:t>Isolation.</w:t>
      </w:r>
      <w:r>
        <w:t xml:space="preserve"> Every site-scoped route is filtered by ownership in one place, so one account can never read another's audience.</w:t>
      </w:r>
    </w:p>
    <w:p>
      <w:pPr>
        <w:pStyle w:val="ListBullet"/>
        <w:spacing w:after="80" w:line="312" w:lineRule="auto"/>
        <w:jc w:val="both"/>
      </w:pPr>
      <w:r>
        <w:rPr>
          <w:b/>
        </w:rPr>
        <w:t>Provenance.</w:t>
      </w:r>
      <w:r>
        <w:t xml:space="preserve"> Every visitor and every event records whether it came from the dataset or from live observation, and that value is derived at write time rather than supplied by the caller.</w:t>
      </w:r>
    </w:p>
    <w:p>
      <w:pPr>
        <w:pStyle w:val="ListBullet"/>
        <w:spacing w:after="80" w:line="312" w:lineRule="auto"/>
        <w:jc w:val="both"/>
      </w:pPr>
      <w:r>
        <w:rPr>
          <w:b/>
        </w:rPr>
        <w:t>Evaluability.</w:t>
      </w:r>
      <w:r>
        <w:t xml:space="preserve"> Every decision is written with the probability it was taken under. Without it the system's own history cannot be used to assess a change to the policy.</w:t>
      </w:r>
    </w:p>
    <w:p>
      <w:pPr>
        <w:pStyle w:val="ListBullet"/>
        <w:spacing w:after="80" w:line="312" w:lineRule="auto"/>
        <w:jc w:val="both"/>
      </w:pPr>
      <w:r>
        <w:rPr>
          <w:b/>
        </w:rPr>
        <w:t>Degradation.</w:t>
      </w:r>
      <w:r>
        <w:t xml:space="preserve"> When a module has insufficient data it must decline and explain, not guess — the normal condition at launch.</w:t>
      </w:r>
    </w:p>
    <w:p>
      <w:pPr>
        <w:pStyle w:val="Heading2"/>
      </w:pPr>
      <w:r>
        <w:t>4.7 Experimental Strategy</w:t>
      </w:r>
    </w:p>
    <w:p>
      <w:r>
        <w:t>Evaluation operates at two levels: module-level, where each module's competing approaches are compared on their own metrics; and system-level, where the integration itself is examined. Eleven experiments implement this, and the whole apparatus runs from one command.</w:t>
      </w:r>
    </w:p>
    <w:p>
      <w:pPr>
        <w:keepNext/>
        <w:keepLines/>
        <w:spacing w:before="360" w:after="120" w:line="240" w:lineRule="auto"/>
        <w:jc w:val="center"/>
      </w:pPr>
      <w:r>
        <w:drawing>
          <wp:inline xmlns:a="http://schemas.openxmlformats.org/drawingml/2006/main" xmlns:pic="http://schemas.openxmlformats.org/drawingml/2006/picture">
            <wp:extent cx="5760720" cy="3092502"/>
            <wp:docPr id="2" name="Picture 2"/>
            <wp:cNvGraphicFramePr>
              <a:graphicFrameLocks noChangeAspect="1"/>
            </wp:cNvGraphicFramePr>
            <a:graphic>
              <a:graphicData uri="http://schemas.openxmlformats.org/drawingml/2006/picture">
                <pic:pic>
                  <pic:nvPicPr>
                    <pic:cNvPr id="0" name="fig03_research_pipeline.png"/>
                    <pic:cNvPicPr/>
                  </pic:nvPicPr>
                  <pic:blipFill>
                    <a:blip r:embed="rId12"/>
                    <a:stretch>
                      <a:fillRect/>
                    </a:stretch>
                  </pic:blipFill>
                  <pic:spPr>
                    <a:xfrm>
                      <a:off x="0" y="0"/>
                      <a:ext cx="5760720" cy="3092502"/>
                    </a:xfrm>
                    <a:prstGeom prst="rect"/>
                  </pic:spPr>
                </pic:pic>
              </a:graphicData>
            </a:graphic>
          </wp:inline>
        </w:drawing>
      </w:r>
    </w:p>
    <w:p>
      <w:pPr>
        <w:pStyle w:val="Caption"/>
        <w:keepLines/>
        <w:spacing w:before="40" w:after="400" w:line="240" w:lineRule="auto"/>
      </w:pPr>
      <w:r>
        <w:rPr>
          <w:b w:val="0"/>
          <w:i w:val="0"/>
        </w:rPr>
        <w:t>Figure 2 — The research pipeline. Experiments write tables; the statistics layer computes intervals; figures are drawn from the tables and the chapter is generated from the results file, so no number in Chapter 7 is copied by hand.</w:t>
      </w:r>
    </w:p>
    <w:p>
      <w:r>
        <w:t>Five principles govern the experiments and are applied consistently in Chapter 7.</w:t>
      </w:r>
    </w:p>
    <w:p>
      <w:pPr>
        <w:pStyle w:val="ListNumber"/>
        <w:spacing w:after="80" w:line="312" w:lineRule="auto"/>
        <w:jc w:val="both"/>
      </w:pPr>
      <w:r>
        <w:rPr>
          <w:b/>
        </w:rPr>
        <w:t>Compare, do not merely demonstrate.</w:t>
      </w:r>
      <w:r>
        <w:t xml:space="preserve"> Every module reports at least two competing approaches under identical conditions, plus a naive baseline — a dummy classifier, a mean predictor, a majority-class floor or random targeting — so the reader can see the floor as well as the ceiling.</w:t>
      </w:r>
    </w:p>
    <w:p>
      <w:pPr>
        <w:pStyle w:val="ListNumber"/>
        <w:spacing w:after="80" w:line="312" w:lineRule="auto"/>
        <w:jc w:val="both"/>
      </w:pPr>
      <w:r>
        <w:rPr>
          <w:b/>
        </w:rPr>
        <w:t>Report the interval, not just the point.</w:t>
      </w:r>
      <w:r>
        <w:t xml:space="preserve"> All uncertainty is quantified by percentile bootstrap with 10,000 resamples, because the quantities involved — separation, silhouette, macro-F1, Qini — are not means and have no closed-form standard error.</w:t>
      </w:r>
    </w:p>
    <w:p>
      <w:pPr>
        <w:pStyle w:val="ListNumber"/>
        <w:spacing w:after="80" w:line="312" w:lineRule="auto"/>
        <w:jc w:val="both"/>
      </w:pPr>
      <w:r>
        <w:rPr>
          <w:b/>
        </w:rPr>
        <w:t>Pair what is paired.</w:t>
      </w:r>
      <w:r>
        <w:t xml:space="preserve"> The policy comparison puts the same 8,000 customers through all three policies on each of thirty seeds, so paired tests are used; treating the runs as independent would overstate the p-value and waste power.</w:t>
      </w:r>
    </w:p>
    <w:p>
      <w:pPr>
        <w:pStyle w:val="ListNumber"/>
        <w:spacing w:after="80" w:line="312" w:lineRule="auto"/>
        <w:jc w:val="both"/>
      </w:pPr>
      <w:r>
        <w:rPr>
          <w:b/>
        </w:rPr>
        <w:t>Prefer the metric that survives the data's shape.</w:t>
      </w:r>
      <w:r>
        <w:t xml:space="preserve"> Conversions per thousand sends rather than conversion rate; macro-F1 rather than accuracy; Spearman rather than R² for a ranking model; effect size beside every p-value.</w:t>
      </w:r>
    </w:p>
    <w:p>
      <w:pPr>
        <w:pStyle w:val="ListNumber"/>
        <w:spacing w:after="80" w:line="312" w:lineRule="auto"/>
        <w:jc w:val="both"/>
      </w:pPr>
      <w:r>
        <w:rPr>
          <w:b/>
        </w:rPr>
        <w:t>Report negative results as findings.</w:t>
      </w:r>
      <w:r>
        <w:t xml:space="preserve"> A model with no demonstrable skill, a hybrid that does not beat its own components, and a policy ranking that does not survive a change of simulator are all reported as headlines rather than removed.</w:t>
      </w:r>
    </w:p>
    <w:p>
      <w:pPr>
        <w:pStyle w:val="Heading2"/>
      </w:pPr>
      <w:r>
        <w:t>4.8 Summary</w:t>
      </w:r>
    </w:p>
    <w:p>
      <w:r>
        <w:t>The approach specifies four modules exchanging data through a shared relational layer, each implementing competing methods so that comparison is possible, and an experimental strategy designed to resist the failure modes most likely to affect a project of this kind: leakage from features that encode the target, optimism from evaluating on the data that generated the model, and the temptation to quote whichever of two disagreeing runs is more flattering. Chapter 5 converts this approach into a concrete architecture.</w:t>
      </w:r>
    </w:p>
    <w:p>
      <w:r>
        <w:br w:type="page"/>
      </w:r>
    </w:p>
    <w:p>
      <w:pPr>
        <w:pStyle w:val="Heading1"/>
      </w:pPr>
      <w:r>
        <w:t>CHAPTER 5 — ANALYSIS AND DESIGN</w:t>
      </w:r>
    </w:p>
    <w:p>
      <w:pPr>
        <w:pStyle w:val="Heading2"/>
      </w:pPr>
      <w:r>
        <w:t>5.1 Introduction</w:t>
      </w:r>
    </w:p>
    <w:p>
      <w:r>
        <w:t>This chapter presents the architecture of the delivered system: the overall layered design (Section 5.2), the internal architecture of each module (Section 5.3), the shared database (Section 5.4), the design decisions taken specifically to protect research integrity (Section 5.5) and the multi-tenant design (Section 5.6).</w:t>
      </w:r>
    </w:p>
    <w:p>
      <w:pPr>
        <w:pStyle w:val="Heading2"/>
      </w:pPr>
      <w:r>
        <w:t>5.2 High-Level Architecture of the Overall System</w:t>
      </w:r>
    </w:p>
    <w:p>
      <w:r>
        <w:t>The system is organised into four layers, shown in Figure 3. Separation is strict: the presentation layer holds no marketing logic, the research modules hold no HTTP concerns, and all cross-module communication passes through the data layer.</w:t>
      </w:r>
    </w:p>
    <w:p>
      <w:pPr>
        <w:keepNext/>
        <w:keepLines/>
        <w:spacing w:before="360" w:after="120" w:line="240" w:lineRule="auto"/>
        <w:jc w:val="center"/>
      </w:pPr>
      <w:r>
        <w:drawing>
          <wp:inline xmlns:a="http://schemas.openxmlformats.org/drawingml/2006/main" xmlns:pic="http://schemas.openxmlformats.org/drawingml/2006/picture">
            <wp:extent cx="5852160" cy="4067372"/>
            <wp:docPr id="3" name="Picture 3"/>
            <wp:cNvGraphicFramePr>
              <a:graphicFrameLocks noChangeAspect="1"/>
            </wp:cNvGraphicFramePr>
            <a:graphic>
              <a:graphicData uri="http://schemas.openxmlformats.org/drawingml/2006/picture">
                <pic:pic>
                  <pic:nvPicPr>
                    <pic:cNvPr id="0" name="fig02_architecture.png"/>
                    <pic:cNvPicPr/>
                  </pic:nvPicPr>
                  <pic:blipFill>
                    <a:blip r:embed="rId13"/>
                    <a:stretch>
                      <a:fillRect/>
                    </a:stretch>
                  </pic:blipFill>
                  <pic:spPr>
                    <a:xfrm>
                      <a:off x="0" y="0"/>
                      <a:ext cx="5852160" cy="4067372"/>
                    </a:xfrm>
                    <a:prstGeom prst="rect"/>
                  </pic:spPr>
                </pic:pic>
              </a:graphicData>
            </a:graphic>
          </wp:inline>
        </w:drawing>
      </w:r>
    </w:p>
    <w:p>
      <w:pPr>
        <w:pStyle w:val="Caption"/>
        <w:keepLines/>
        <w:spacing w:before="40" w:after="400" w:line="240" w:lineRule="auto"/>
      </w:pPr>
      <w:r>
        <w:rPr>
          <w:b w:val="0"/>
          <w:i w:val="0"/>
        </w:rPr>
        <w:t>Figure 3 — High-level layered architecture of the orchestration platform.</w:t>
      </w:r>
    </w:p>
    <w:p>
      <w:r>
        <w:rPr>
          <w:b/>
        </w:rPr>
        <w:t>Presentation layer.</w:t>
      </w:r>
      <w:r>
        <w:t xml:space="preserve"> A Next.js dashboard with seven pages (Overview, Plan, Audience, Campaigns, Analytics, Content and Research) plus authentication and site-onboarding flows. Separately, the demonstration e-commerce store carries the mos.js snippet; its visitors are part of the audience and never interact with the dashboard.</w:t>
      </w:r>
    </w:p>
    <w:p>
      <w:r>
        <w:rPr>
          <w:b/>
        </w:rPr>
        <w:t>Application layer.</w:t>
      </w:r>
      <w:r>
        <w:t xml:space="preserve"> A FastAPI service exposing site-scoped routers for segments, campaigns, analytics, content, actions and decisions; public tracking endpoints requiring no authentication, because a website's visitors are not signed in to anything; an ownership middleware enforcing tenant isolation in a single place; a decision service that holds the action catalogue and writes every decision with its propensity; and a provenance service that reports at request time which data is dataset-derived and which is live.</w:t>
      </w:r>
    </w:p>
    <w:p>
      <w:r>
        <w:rPr>
          <w:b/>
        </w:rPr>
        <w:t>Research module layer.</w:t>
      </w:r>
      <w:r>
        <w:t xml:space="preserve"> The four modules as importable Python packages. Because the API is itself Python, the module that produced a reported research number is the same object the API loads at run time; there is no re-implementation gap between the experiment and the running system.</w:t>
      </w:r>
    </w:p>
    <w:p>
      <w:r>
        <w:rPr>
          <w:b/>
        </w:rPr>
        <w:t>Data layer.</w:t>
      </w:r>
      <w:r>
        <w:t xml:space="preserve"> A single PostgreSQL database whose principal tables carry the names specified in the interim report's architecture figures, with </w:t>
      </w:r>
      <w:r>
        <w:rPr>
          <w:b/>
        </w:rPr>
        <w:t>action_log</w:t>
      </w:r>
      <w:r>
        <w:t xml:space="preserve"> added after the interim stage as a direct consequence of experiments E8 and E9.</w:t>
      </w:r>
    </w:p>
    <w:p>
      <w:pPr>
        <w:pStyle w:val="Heading2"/>
      </w:pPr>
      <w:r>
        <w:t>5.3 High-Level Architectures of Individual Modules</w:t>
      </w:r>
    </w:p>
    <w:p>
      <w:pPr>
        <w:pStyle w:val="Heading3"/>
      </w:pPr>
      <w:r>
        <w:t>5.3.1 Module 1 — Audience Targeting and Personalization</w:t>
      </w:r>
    </w:p>
    <w:p>
      <w:r>
        <w:t>Figure 4 shows the segmentation engine. The three methods are peers rather than a pipeline: each produces a complete labelling of the audience, and the agreement vote arbitrates. The confidence score is a first-class output, because a downstream module needs to know not only which segment a customer is in but how much to trust it.</w:t>
      </w:r>
    </w:p>
    <w:p>
      <w:pPr>
        <w:keepNext/>
        <w:keepLines/>
        <w:spacing w:before="360" w:after="120" w:line="240" w:lineRule="auto"/>
        <w:jc w:val="center"/>
      </w:pPr>
      <w:r>
        <w:drawing>
          <wp:inline xmlns:a="http://schemas.openxmlformats.org/drawingml/2006/main" xmlns:pic="http://schemas.openxmlformats.org/drawingml/2006/picture">
            <wp:extent cx="5577840" cy="3541005"/>
            <wp:docPr id="4" name="Picture 4"/>
            <wp:cNvGraphicFramePr>
              <a:graphicFrameLocks noChangeAspect="1"/>
            </wp:cNvGraphicFramePr>
            <a:graphic>
              <a:graphicData uri="http://schemas.openxmlformats.org/drawingml/2006/picture">
                <pic:pic>
                  <pic:nvPicPr>
                    <pic:cNvPr id="0" name="fig05_module1.png"/>
                    <pic:cNvPicPr/>
                  </pic:nvPicPr>
                  <pic:blipFill>
                    <a:blip r:embed="rId14"/>
                    <a:stretch>
                      <a:fillRect/>
                    </a:stretch>
                  </pic:blipFill>
                  <pic:spPr>
                    <a:xfrm>
                      <a:off x="0" y="0"/>
                      <a:ext cx="5577840" cy="3541005"/>
                    </a:xfrm>
                    <a:prstGeom prst="rect"/>
                  </pic:spPr>
                </pic:pic>
              </a:graphicData>
            </a:graphic>
          </wp:inline>
        </w:drawing>
      </w:r>
    </w:p>
    <w:p>
      <w:pPr>
        <w:pStyle w:val="Caption"/>
        <w:keepLines/>
        <w:spacing w:before="40" w:after="400" w:line="240" w:lineRule="auto"/>
      </w:pPr>
      <w:r>
        <w:rPr>
          <w:b w:val="0"/>
          <w:i w:val="0"/>
        </w:rPr>
        <w:t>Figure 4 — Architecture of the hybrid segmentation engine. The numbered branches of the agreement vote are evaluated in that order, and the ordering is the contribution.</w:t>
      </w:r>
    </w:p>
    <w:p>
      <w:r>
        <w:t>Two design points are load-bearing. The cold-start branch is resolved before any clustering comparison, so a genuinely new customer cannot be absorbed into an established cluster. And the minimum-audience threshold causes the engine to decline clustering outright, returning interpretable rule-based labels with an explicit explanation rather than an unstable partition presented as a result.</w:t>
      </w:r>
    </w:p>
    <w:p>
      <w:pPr>
        <w:pStyle w:val="Heading3"/>
      </w:pPr>
      <w:r>
        <w:t>5.3.2 Module 2 — Marketing Automation and Campaign Management</w:t>
      </w:r>
    </w:p>
    <w:p>
      <w:r>
        <w:t>Figure 5 shows the campaign engine. The policy engine is the single point at which the three policies differ; profile builder, response model, templates, response simulation and evaluation are all shared. That is what makes the comparison in Section 7.3.3 a controlled one.</w:t>
      </w:r>
    </w:p>
    <w:p>
      <w:pPr>
        <w:keepNext/>
        <w:keepLines/>
        <w:spacing w:before="360" w:after="120" w:line="240" w:lineRule="auto"/>
        <w:jc w:val="center"/>
      </w:pPr>
      <w:r>
        <w:drawing>
          <wp:inline xmlns:a="http://schemas.openxmlformats.org/drawingml/2006/main" xmlns:pic="http://schemas.openxmlformats.org/drawingml/2006/picture">
            <wp:extent cx="5577840" cy="3235328"/>
            <wp:docPr id="5" name="Picture 5"/>
            <wp:cNvGraphicFramePr>
              <a:graphicFrameLocks noChangeAspect="1"/>
            </wp:cNvGraphicFramePr>
            <a:graphic>
              <a:graphicData uri="http://schemas.openxmlformats.org/drawingml/2006/picture">
                <pic:pic>
                  <pic:nvPicPr>
                    <pic:cNvPr id="0" name="fig06_module2.png"/>
                    <pic:cNvPicPr/>
                  </pic:nvPicPr>
                  <pic:blipFill>
                    <a:blip r:embed="rId15"/>
                    <a:stretch>
                      <a:fillRect/>
                    </a:stretch>
                  </pic:blipFill>
                  <pic:spPr>
                    <a:xfrm>
                      <a:off x="0" y="0"/>
                      <a:ext cx="5577840" cy="3235328"/>
                    </a:xfrm>
                    <a:prstGeom prst="rect"/>
                  </pic:spPr>
                </pic:pic>
              </a:graphicData>
            </a:graphic>
          </wp:inline>
        </w:drawing>
      </w:r>
    </w:p>
    <w:p>
      <w:pPr>
        <w:pStyle w:val="Caption"/>
        <w:keepLines/>
        <w:spacing w:before="40" w:after="400" w:line="240" w:lineRule="auto"/>
      </w:pPr>
      <w:r>
        <w:rPr>
          <w:b w:val="0"/>
          <w:i w:val="0"/>
        </w:rPr>
        <w:t>Figure 5 — Architecture of the campaign automation engine, annotated with the measured outcome and cost of each policy.</w:t>
      </w:r>
    </w:p>
    <w:p>
      <w:pPr>
        <w:pStyle w:val="Heading3"/>
      </w:pPr>
      <w:r>
        <w:t>5.3.3 Module 3 — Marketing Analytics and Decision Support</w:t>
      </w:r>
    </w:p>
    <w:p>
      <w:r>
        <w:t>Figure 6 shows the analytics module. Five analytical tracks feed two predictive models and a shared explainability and validation stage, which in turn feed the recommendation generator. The exploration component and the refusal guard sit between the generator and the published output.</w:t>
      </w:r>
    </w:p>
    <w:p>
      <w:pPr>
        <w:keepNext/>
        <w:keepLines/>
        <w:spacing w:before="360" w:after="120" w:line="240" w:lineRule="auto"/>
        <w:jc w:val="center"/>
      </w:pPr>
      <w:r>
        <w:drawing>
          <wp:inline xmlns:a="http://schemas.openxmlformats.org/drawingml/2006/main" xmlns:pic="http://schemas.openxmlformats.org/drawingml/2006/picture">
            <wp:extent cx="5852160" cy="3796781"/>
            <wp:docPr id="6" name="Picture 6"/>
            <wp:cNvGraphicFramePr>
              <a:graphicFrameLocks noChangeAspect="1"/>
            </wp:cNvGraphicFramePr>
            <a:graphic>
              <a:graphicData uri="http://schemas.openxmlformats.org/drawingml/2006/picture">
                <pic:pic>
                  <pic:nvPicPr>
                    <pic:cNvPr id="0" name="fig07_module3.png"/>
                    <pic:cNvPicPr/>
                  </pic:nvPicPr>
                  <pic:blipFill>
                    <a:blip r:embed="rId16"/>
                    <a:stretch>
                      <a:fillRect/>
                    </a:stretch>
                  </pic:blipFill>
                  <pic:spPr>
                    <a:xfrm>
                      <a:off x="0" y="0"/>
                      <a:ext cx="5852160" cy="3796781"/>
                    </a:xfrm>
                    <a:prstGeom prst="rect"/>
                  </pic:spPr>
                </pic:pic>
              </a:graphicData>
            </a:graphic>
          </wp:inline>
        </w:drawing>
      </w:r>
    </w:p>
    <w:p>
      <w:pPr>
        <w:pStyle w:val="Caption"/>
        <w:keepLines/>
        <w:spacing w:before="40" w:after="400" w:line="240" w:lineRule="auto"/>
      </w:pPr>
      <w:r>
        <w:rPr>
          <w:b w:val="0"/>
          <w:i w:val="0"/>
        </w:rPr>
        <w:t>Figure 6 — Architecture of the analytics and decision support module, including the uplift and off-policy evaluation tracks added after the interim stage.</w:t>
      </w:r>
    </w:p>
    <w:p>
      <w:r>
        <w:t>The refusal guard is drawn as a distinct component because it is one: it can suppress a result entirely. Below five converting journeys attribution returns no numbers and states why, and a prediction distribution that has collapsed to a constant raises a calibration warning rather than being presented as a confident forecast. The exploration component is equally deliberate — it spends a measurable fraction of achievable reward in order to keep the decision record informative, and Section 7.3.9 quotes that price rather than presenting exploration as free.</w:t>
      </w:r>
    </w:p>
    <w:p>
      <w:pPr>
        <w:pStyle w:val="Heading3"/>
      </w:pPr>
      <w:r>
        <w:t>5.3.4 Module 4 — AI Content Refinery and Multi-Platform Distribution</w:t>
      </w:r>
    </w:p>
    <w:p>
      <w:r>
        <w:t>Figure 7 shows the content refinery. Two arrows into it are the integration points the literature review found missing: platform generation order is set by measured attribution credit rather than assumption, and the action catalogue is constrained by what the site is detected to be capable of.</w:t>
      </w:r>
    </w:p>
    <w:p>
      <w:pPr>
        <w:keepNext/>
        <w:keepLines/>
        <w:spacing w:before="360" w:after="120" w:line="240" w:lineRule="auto"/>
        <w:jc w:val="center"/>
      </w:pPr>
      <w:r>
        <w:drawing>
          <wp:inline xmlns:a="http://schemas.openxmlformats.org/drawingml/2006/main" xmlns:pic="http://schemas.openxmlformats.org/drawingml/2006/picture">
            <wp:extent cx="5577840" cy="3541005"/>
            <wp:docPr id="7" name="Picture 7"/>
            <wp:cNvGraphicFramePr>
              <a:graphicFrameLocks noChangeAspect="1"/>
            </wp:cNvGraphicFramePr>
            <a:graphic>
              <a:graphicData uri="http://schemas.openxmlformats.org/drawingml/2006/picture">
                <pic:pic>
                  <pic:nvPicPr>
                    <pic:cNvPr id="0" name="fig08_module4.png"/>
                    <pic:cNvPicPr/>
                  </pic:nvPicPr>
                  <pic:blipFill>
                    <a:blip r:embed="rId17"/>
                    <a:stretch>
                      <a:fillRect/>
                    </a:stretch>
                  </pic:blipFill>
                  <pic:spPr>
                    <a:xfrm>
                      <a:off x="0" y="0"/>
                      <a:ext cx="5577840" cy="3541005"/>
                    </a:xfrm>
                    <a:prstGeom prst="rect"/>
                  </pic:spPr>
                </pic:pic>
              </a:graphicData>
            </a:graphic>
          </wp:inline>
        </w:drawing>
      </w:r>
    </w:p>
    <w:p>
      <w:pPr>
        <w:pStyle w:val="Caption"/>
        <w:keepLines/>
        <w:spacing w:before="40" w:after="400" w:line="240" w:lineRule="auto"/>
      </w:pPr>
      <w:r>
        <w:rPr>
          <w:b w:val="0"/>
          <w:i w:val="0"/>
        </w:rPr>
        <w:t>Figure 7 — Architecture of the AI content refinery, including capability detection and the scoring weights justified in Chapter 7.</w:t>
      </w:r>
    </w:p>
    <w:p>
      <w:pPr>
        <w:pStyle w:val="Heading2"/>
      </w:pPr>
      <w:r>
        <w:t>5.4 Database Design</w:t>
      </w:r>
    </w:p>
    <w:p>
      <w:r>
        <w:t>Figure 8 shows the schema. The design follows the interim report's table naming so that the delivered system can be read directly against the architecture figures approved at that stage, with two additions: `visitors.source` replaces the pair of boolean flags used earlier, and `action_log` is new.</w:t>
      </w:r>
    </w:p>
    <w:p>
      <w:pPr>
        <w:keepNext/>
        <w:keepLines/>
        <w:spacing w:before="360" w:after="120" w:line="240" w:lineRule="auto"/>
        <w:jc w:val="center"/>
      </w:pPr>
      <w:r>
        <w:drawing>
          <wp:inline xmlns:a="http://schemas.openxmlformats.org/drawingml/2006/main" xmlns:pic="http://schemas.openxmlformats.org/drawingml/2006/picture">
            <wp:extent cx="5852160" cy="3401404"/>
            <wp:docPr id="8" name="Picture 8"/>
            <wp:cNvGraphicFramePr>
              <a:graphicFrameLocks noChangeAspect="1"/>
            </wp:cNvGraphicFramePr>
            <a:graphic>
              <a:graphicData uri="http://schemas.openxmlformats.org/drawingml/2006/picture">
                <pic:pic>
                  <pic:nvPicPr>
                    <pic:cNvPr id="0" name="fig09_schema.png"/>
                    <pic:cNvPicPr/>
                  </pic:nvPicPr>
                  <pic:blipFill>
                    <a:blip r:embed="rId18"/>
                    <a:stretch>
                      <a:fillRect/>
                    </a:stretch>
                  </pic:blipFill>
                  <pic:spPr>
                    <a:xfrm>
                      <a:off x="0" y="0"/>
                      <a:ext cx="5852160" cy="3401404"/>
                    </a:xfrm>
                    <a:prstGeom prst="rect"/>
                  </pic:spPr>
                </pic:pic>
              </a:graphicData>
            </a:graphic>
          </wp:inline>
        </w:drawing>
      </w:r>
    </w:p>
    <w:p>
      <w:pPr>
        <w:pStyle w:val="Caption"/>
        <w:keepLines/>
        <w:spacing w:before="40" w:after="400" w:line="240" w:lineRule="auto"/>
      </w:pPr>
      <w:r>
        <w:rPr>
          <w:b w:val="0"/>
          <w:i w:val="0"/>
        </w:rPr>
        <w:t>Figure 8 — Shared database schema. Provenance is derived at write time; the propensity column is mandatory.</w:t>
      </w:r>
    </w:p>
    <w:p>
      <w:pPr>
        <w:pStyle w:val="TableCaption"/>
      </w:pPr>
      <w:r>
        <w:rPr>
          <w:b w:val="0"/>
          <w:i w:val="0"/>
        </w:rPr>
        <w:t>Table 10 — Principal database tables and their owning module.</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Table</w:t>
            </w:r>
          </w:p>
        </w:tc>
        <w:tc>
          <w:tcPr>
            <w:tcW w:type="dxa" w:w="2167"/>
            <w:shd w:val="clear" w:color="auto" w:fill="E8EEF6"/>
          </w:tcPr>
          <w:p>
            <w:pPr>
              <w:spacing w:after="40" w:line="240" w:lineRule="auto"/>
              <w:jc w:val="center"/>
            </w:pPr>
            <w:r/>
            <w:r>
              <w:rPr>
                <w:b/>
                <w:sz w:val="20"/>
              </w:rPr>
              <w:t>Written by</w:t>
            </w:r>
          </w:p>
        </w:tc>
        <w:tc>
          <w:tcPr>
            <w:tcW w:type="dxa" w:w="2167"/>
            <w:shd w:val="clear" w:color="auto" w:fill="E8EEF6"/>
          </w:tcPr>
          <w:p>
            <w:pPr>
              <w:spacing w:after="40" w:line="240" w:lineRule="auto"/>
              <w:jc w:val="center"/>
            </w:pPr>
            <w:r/>
            <w:r>
              <w:rPr>
                <w:b/>
                <w:sz w:val="20"/>
              </w:rPr>
              <w:t>Read by</w:t>
            </w:r>
          </w:p>
        </w:tc>
        <w:tc>
          <w:tcPr>
            <w:tcW w:type="dxa" w:w="2167"/>
            <w:shd w:val="clear" w:color="auto" w:fill="E8EEF6"/>
          </w:tcPr>
          <w:p>
            <w:pPr>
              <w:spacing w:after="40" w:line="240" w:lineRule="auto"/>
              <w:jc w:val="center"/>
            </w:pPr>
            <w:r/>
            <w:r>
              <w:rPr>
                <w:b/>
                <w:sz w:val="20"/>
              </w:rPr>
              <w:t>Key content</w:t>
            </w:r>
          </w:p>
        </w:tc>
      </w:tr>
      <w:tr>
        <w:tc>
          <w:tcPr>
            <w:tcW w:type="dxa" w:w="2167"/>
          </w:tcPr>
          <w:p>
            <w:pPr>
              <w:spacing w:after="40" w:line="240" w:lineRule="auto"/>
              <w:jc w:val="left"/>
            </w:pPr>
            <w:r/>
            <w:r>
              <w:rPr>
                <w:b w:val="0"/>
                <w:sz w:val="20"/>
              </w:rPr>
              <w:t>users, sessions</w:t>
            </w:r>
          </w:p>
        </w:tc>
        <w:tc>
          <w:tcPr>
            <w:tcW w:type="dxa" w:w="2167"/>
          </w:tcPr>
          <w:p>
            <w:pPr>
              <w:spacing w:after="40" w:line="240" w:lineRule="auto"/>
              <w:jc w:val="center"/>
            </w:pPr>
            <w:r/>
            <w:r>
              <w:rPr>
                <w:b w:val="0"/>
                <w:sz w:val="20"/>
              </w:rPr>
              <w:t>Auth service</w:t>
            </w:r>
          </w:p>
        </w:tc>
        <w:tc>
          <w:tcPr>
            <w:tcW w:type="dxa" w:w="2167"/>
          </w:tcPr>
          <w:p>
            <w:pPr>
              <w:spacing w:after="40" w:line="240" w:lineRule="auto"/>
              <w:jc w:val="center"/>
            </w:pPr>
            <w:r/>
            <w:r>
              <w:rPr>
                <w:b w:val="0"/>
                <w:sz w:val="20"/>
              </w:rPr>
              <w:t>All routes</w:t>
            </w:r>
          </w:p>
        </w:tc>
        <w:tc>
          <w:tcPr>
            <w:tcW w:type="dxa" w:w="2167"/>
          </w:tcPr>
          <w:p>
            <w:pPr>
              <w:spacing w:after="40" w:line="240" w:lineRule="auto"/>
              <w:jc w:val="center"/>
            </w:pPr>
            <w:r/>
            <w:r>
              <w:rPr>
                <w:b w:val="0"/>
                <w:sz w:val="20"/>
              </w:rPr>
              <w:t>Accounts, scrypt password hashes, database-row sessions</w:t>
            </w:r>
          </w:p>
        </w:tc>
      </w:tr>
      <w:tr>
        <w:tc>
          <w:tcPr>
            <w:tcW w:type="dxa" w:w="2167"/>
          </w:tcPr>
          <w:p>
            <w:pPr>
              <w:spacing w:after="40" w:line="240" w:lineRule="auto"/>
              <w:jc w:val="left"/>
            </w:pPr>
            <w:r/>
            <w:r>
              <w:rPr>
                <w:b w:val="0"/>
                <w:sz w:val="20"/>
              </w:rPr>
              <w:t>sites</w:t>
            </w:r>
          </w:p>
        </w:tc>
        <w:tc>
          <w:tcPr>
            <w:tcW w:type="dxa" w:w="2167"/>
          </w:tcPr>
          <w:p>
            <w:pPr>
              <w:spacing w:after="40" w:line="240" w:lineRule="auto"/>
              <w:jc w:val="center"/>
            </w:pPr>
            <w:r/>
            <w:r>
              <w:rPr>
                <w:b w:val="0"/>
                <w:sz w:val="20"/>
              </w:rPr>
              <w:t>Onboarding, Module 4</w:t>
            </w:r>
          </w:p>
        </w:tc>
        <w:tc>
          <w:tcPr>
            <w:tcW w:type="dxa" w:w="2167"/>
          </w:tcPr>
          <w:p>
            <w:pPr>
              <w:spacing w:after="40" w:line="240" w:lineRule="auto"/>
              <w:jc w:val="center"/>
            </w:pPr>
            <w:r/>
            <w:r>
              <w:rPr>
                <w:b w:val="0"/>
                <w:sz w:val="20"/>
              </w:rPr>
              <w:t>All site-scoped routes</w:t>
            </w:r>
          </w:p>
        </w:tc>
        <w:tc>
          <w:tcPr>
            <w:tcW w:type="dxa" w:w="2167"/>
          </w:tcPr>
          <w:p>
            <w:pPr>
              <w:spacing w:after="40" w:line="240" w:lineRule="auto"/>
              <w:jc w:val="center"/>
            </w:pPr>
            <w:r/>
            <w:r>
              <w:rPr>
                <w:b w:val="0"/>
                <w:sz w:val="20"/>
              </w:rPr>
              <w:t>Registered site, owner, write key, detected capabilities</w:t>
            </w:r>
          </w:p>
        </w:tc>
      </w:tr>
      <w:tr>
        <w:tc>
          <w:tcPr>
            <w:tcW w:type="dxa" w:w="2167"/>
          </w:tcPr>
          <w:p>
            <w:pPr>
              <w:spacing w:after="40" w:line="240" w:lineRule="auto"/>
              <w:jc w:val="left"/>
            </w:pPr>
            <w:r/>
            <w:r>
              <w:rPr>
                <w:b w:val="0"/>
                <w:sz w:val="20"/>
              </w:rPr>
              <w:t>visitors</w:t>
            </w:r>
          </w:p>
        </w:tc>
        <w:tc>
          <w:tcPr>
            <w:tcW w:type="dxa" w:w="2167"/>
          </w:tcPr>
          <w:p>
            <w:pPr>
              <w:spacing w:after="40" w:line="240" w:lineRule="auto"/>
              <w:jc w:val="center"/>
            </w:pPr>
            <w:r/>
            <w:r>
              <w:rPr>
                <w:b w:val="0"/>
                <w:sz w:val="20"/>
              </w:rPr>
              <w:t>Importer, tracking endpoint</w:t>
            </w:r>
          </w:p>
        </w:tc>
        <w:tc>
          <w:tcPr>
            <w:tcW w:type="dxa" w:w="2167"/>
          </w:tcPr>
          <w:p>
            <w:pPr>
              <w:spacing w:after="40" w:line="240" w:lineRule="auto"/>
              <w:jc w:val="center"/>
            </w:pPr>
            <w:r/>
            <w:r>
              <w:rPr>
                <w:b w:val="0"/>
                <w:sz w:val="20"/>
              </w:rPr>
              <w:t>Modules 1, 3</w:t>
            </w:r>
          </w:p>
        </w:tc>
        <w:tc>
          <w:tcPr>
            <w:tcW w:type="dxa" w:w="2167"/>
          </w:tcPr>
          <w:p>
            <w:pPr>
              <w:spacing w:after="40" w:line="240" w:lineRule="auto"/>
              <w:jc w:val="center"/>
            </w:pPr>
            <w:r/>
            <w:r>
              <w:rPr>
                <w:b w:val="0"/>
                <w:sz w:val="20"/>
              </w:rPr>
              <w:t>Anonymous identity, source ('dataset' | 'live')</w:t>
            </w:r>
          </w:p>
        </w:tc>
      </w:tr>
      <w:tr>
        <w:tc>
          <w:tcPr>
            <w:tcW w:type="dxa" w:w="2167"/>
          </w:tcPr>
          <w:p>
            <w:pPr>
              <w:spacing w:after="40" w:line="240" w:lineRule="auto"/>
              <w:jc w:val="left"/>
            </w:pPr>
            <w:r/>
            <w:r>
              <w:rPr>
                <w:b w:val="0"/>
                <w:sz w:val="20"/>
              </w:rPr>
              <w:t>user_segments</w:t>
            </w:r>
          </w:p>
        </w:tc>
        <w:tc>
          <w:tcPr>
            <w:tcW w:type="dxa" w:w="2167"/>
          </w:tcPr>
          <w:p>
            <w:pPr>
              <w:spacing w:after="40" w:line="240" w:lineRule="auto"/>
              <w:jc w:val="center"/>
            </w:pPr>
            <w:r/>
            <w:r>
              <w:rPr>
                <w:b w:val="0"/>
                <w:sz w:val="20"/>
              </w:rPr>
              <w:t>Module 1</w:t>
            </w:r>
          </w:p>
        </w:tc>
        <w:tc>
          <w:tcPr>
            <w:tcW w:type="dxa" w:w="2167"/>
          </w:tcPr>
          <w:p>
            <w:pPr>
              <w:spacing w:after="40" w:line="240" w:lineRule="auto"/>
              <w:jc w:val="center"/>
            </w:pPr>
            <w:r/>
            <w:r>
              <w:rPr>
                <w:b w:val="0"/>
                <w:sz w:val="20"/>
              </w:rPr>
              <w:t>Modules 2, 3, 4</w:t>
            </w:r>
          </w:p>
        </w:tc>
        <w:tc>
          <w:tcPr>
            <w:tcW w:type="dxa" w:w="2167"/>
          </w:tcPr>
          <w:p>
            <w:pPr>
              <w:spacing w:after="40" w:line="240" w:lineRule="auto"/>
              <w:jc w:val="center"/>
            </w:pPr>
            <w:r/>
            <w:r>
              <w:rPr>
                <w:b w:val="0"/>
                <w:sz w:val="20"/>
              </w:rPr>
              <w:t>Segment name, method, calibrated confidence</w:t>
            </w:r>
          </w:p>
        </w:tc>
      </w:tr>
      <w:tr>
        <w:tc>
          <w:tcPr>
            <w:tcW w:type="dxa" w:w="2167"/>
          </w:tcPr>
          <w:p>
            <w:pPr>
              <w:spacing w:after="40" w:line="240" w:lineRule="auto"/>
              <w:jc w:val="left"/>
            </w:pPr>
            <w:r/>
            <w:r>
              <w:rPr>
                <w:b w:val="0"/>
                <w:sz w:val="20"/>
              </w:rPr>
              <w:t>interactions</w:t>
            </w:r>
          </w:p>
        </w:tc>
        <w:tc>
          <w:tcPr>
            <w:tcW w:type="dxa" w:w="2167"/>
          </w:tcPr>
          <w:p>
            <w:pPr>
              <w:spacing w:after="40" w:line="240" w:lineRule="auto"/>
              <w:jc w:val="center"/>
            </w:pPr>
            <w:r/>
            <w:r>
              <w:rPr>
                <w:b w:val="0"/>
                <w:sz w:val="20"/>
              </w:rPr>
              <w:t>Module 2, tracking</w:t>
            </w:r>
          </w:p>
        </w:tc>
        <w:tc>
          <w:tcPr>
            <w:tcW w:type="dxa" w:w="2167"/>
          </w:tcPr>
          <w:p>
            <w:pPr>
              <w:spacing w:after="40" w:line="240" w:lineRule="auto"/>
              <w:jc w:val="center"/>
            </w:pPr>
            <w:r/>
            <w:r>
              <w:rPr>
                <w:b w:val="0"/>
                <w:sz w:val="20"/>
              </w:rPr>
              <w:t>Module 3</w:t>
            </w:r>
          </w:p>
        </w:tc>
        <w:tc>
          <w:tcPr>
            <w:tcW w:type="dxa" w:w="2167"/>
          </w:tcPr>
          <w:p>
            <w:pPr>
              <w:spacing w:after="40" w:line="240" w:lineRule="auto"/>
              <w:jc w:val="center"/>
            </w:pPr>
            <w:r/>
            <w:r>
              <w:rPr>
                <w:b w:val="0"/>
                <w:sz w:val="20"/>
              </w:rPr>
              <w:t>Event type, channel, platform, source (derived)</w:t>
            </w:r>
          </w:p>
        </w:tc>
      </w:tr>
      <w:tr>
        <w:tc>
          <w:tcPr>
            <w:tcW w:type="dxa" w:w="2167"/>
          </w:tcPr>
          <w:p>
            <w:pPr>
              <w:spacing w:after="40" w:line="240" w:lineRule="auto"/>
              <w:jc w:val="left"/>
            </w:pPr>
            <w:r/>
            <w:r>
              <w:rPr>
                <w:b w:val="0"/>
                <w:sz w:val="20"/>
              </w:rPr>
              <w:t>action_log</w:t>
            </w:r>
          </w:p>
        </w:tc>
        <w:tc>
          <w:tcPr>
            <w:tcW w:type="dxa" w:w="2167"/>
          </w:tcPr>
          <w:p>
            <w:pPr>
              <w:spacing w:after="40" w:line="240" w:lineRule="auto"/>
              <w:jc w:val="center"/>
            </w:pPr>
            <w:r/>
            <w:r>
              <w:rPr>
                <w:b w:val="0"/>
                <w:sz w:val="20"/>
              </w:rPr>
              <w:t>Decision service</w:t>
            </w:r>
          </w:p>
        </w:tc>
        <w:tc>
          <w:tcPr>
            <w:tcW w:type="dxa" w:w="2167"/>
          </w:tcPr>
          <w:p>
            <w:pPr>
              <w:spacing w:after="40" w:line="240" w:lineRule="auto"/>
              <w:jc w:val="center"/>
            </w:pPr>
            <w:r/>
            <w:r>
              <w:rPr>
                <w:b w:val="0"/>
                <w:sz w:val="20"/>
              </w:rPr>
              <w:t>Module 3</w:t>
            </w:r>
          </w:p>
        </w:tc>
        <w:tc>
          <w:tcPr>
            <w:tcW w:type="dxa" w:w="2167"/>
          </w:tcPr>
          <w:p>
            <w:pPr>
              <w:spacing w:after="40" w:line="240" w:lineRule="auto"/>
              <w:jc w:val="center"/>
            </w:pPr>
            <w:r/>
            <w:r>
              <w:rPr>
                <w:b w:val="0"/>
                <w:sz w:val="20"/>
              </w:rPr>
              <w:t>Action, propensity, exploration flag, reward</w:t>
            </w:r>
          </w:p>
        </w:tc>
      </w:tr>
      <w:tr>
        <w:tc>
          <w:tcPr>
            <w:tcW w:type="dxa" w:w="2167"/>
          </w:tcPr>
          <w:p>
            <w:pPr>
              <w:spacing w:after="40" w:line="240" w:lineRule="auto"/>
              <w:jc w:val="left"/>
            </w:pPr>
            <w:r/>
            <w:r>
              <w:rPr>
                <w:b w:val="0"/>
                <w:sz w:val="20"/>
              </w:rPr>
              <w:t>analytics_output</w:t>
            </w:r>
          </w:p>
        </w:tc>
        <w:tc>
          <w:tcPr>
            <w:tcW w:type="dxa" w:w="2167"/>
          </w:tcPr>
          <w:p>
            <w:pPr>
              <w:spacing w:after="40" w:line="240" w:lineRule="auto"/>
              <w:jc w:val="center"/>
            </w:pPr>
            <w:r/>
            <w:r>
              <w:rPr>
                <w:b w:val="0"/>
                <w:sz w:val="20"/>
              </w:rPr>
              <w:t>Module 3</w:t>
            </w:r>
          </w:p>
        </w:tc>
        <w:tc>
          <w:tcPr>
            <w:tcW w:type="dxa" w:w="2167"/>
          </w:tcPr>
          <w:p>
            <w:pPr>
              <w:spacing w:after="40" w:line="240" w:lineRule="auto"/>
              <w:jc w:val="center"/>
            </w:pPr>
            <w:r/>
            <w:r>
              <w:rPr>
                <w:b w:val="0"/>
                <w:sz w:val="20"/>
              </w:rPr>
              <w:t>Modules 2, 4, dashboard</w:t>
            </w:r>
          </w:p>
        </w:tc>
        <w:tc>
          <w:tcPr>
            <w:tcW w:type="dxa" w:w="2167"/>
          </w:tcPr>
          <w:p>
            <w:pPr>
              <w:spacing w:after="40" w:line="240" w:lineRule="auto"/>
              <w:jc w:val="center"/>
            </w:pPr>
            <w:r/>
            <w:r>
              <w:rPr>
                <w:b w:val="0"/>
                <w:sz w:val="20"/>
              </w:rPr>
              <w:t>Conversion probability, drop-off risk, credits, recommendation</w:t>
            </w:r>
          </w:p>
        </w:tc>
      </w:tr>
      <w:tr>
        <w:tc>
          <w:tcPr>
            <w:tcW w:type="dxa" w:w="2167"/>
          </w:tcPr>
          <w:p>
            <w:pPr>
              <w:spacing w:after="40" w:line="240" w:lineRule="auto"/>
              <w:jc w:val="left"/>
            </w:pPr>
            <w:r/>
            <w:r>
              <w:rPr>
                <w:b w:val="0"/>
                <w:sz w:val="20"/>
              </w:rPr>
              <w:t>content_assets</w:t>
            </w:r>
          </w:p>
        </w:tc>
        <w:tc>
          <w:tcPr>
            <w:tcW w:type="dxa" w:w="2167"/>
          </w:tcPr>
          <w:p>
            <w:pPr>
              <w:spacing w:after="40" w:line="240" w:lineRule="auto"/>
              <w:jc w:val="center"/>
            </w:pPr>
            <w:r/>
            <w:r>
              <w:rPr>
                <w:b w:val="0"/>
                <w:sz w:val="20"/>
              </w:rPr>
              <w:t>Module 4</w:t>
            </w:r>
          </w:p>
        </w:tc>
        <w:tc>
          <w:tcPr>
            <w:tcW w:type="dxa" w:w="2167"/>
          </w:tcPr>
          <w:p>
            <w:pPr>
              <w:spacing w:after="40" w:line="240" w:lineRule="auto"/>
              <w:jc w:val="center"/>
            </w:pPr>
            <w:r/>
            <w:r>
              <w:rPr>
                <w:b w:val="0"/>
                <w:sz w:val="20"/>
              </w:rPr>
              <w:t>Module 2, dashboard</w:t>
            </w:r>
          </w:p>
        </w:tc>
        <w:tc>
          <w:tcPr>
            <w:tcW w:type="dxa" w:w="2167"/>
          </w:tcPr>
          <w:p>
            <w:pPr>
              <w:spacing w:after="40" w:line="240" w:lineRule="auto"/>
              <w:jc w:val="center"/>
            </w:pPr>
            <w:r/>
            <w:r>
              <w:rPr>
                <w:b w:val="0"/>
                <w:sz w:val="20"/>
              </w:rPr>
              <w:t>Caption, hashtags, CTA, component and composite scores</w:t>
            </w:r>
          </w:p>
        </w:tc>
      </w:tr>
    </w:tbl>
    <w:p>
      <w:pPr>
        <w:spacing w:after="120"/>
      </w:pPr>
    </w:p>
    <w:p>
      <w:pPr>
        <w:pStyle w:val="Heading2"/>
      </w:pPr>
      <w:r>
        <w:t>5.5 Design for Research Integrity</w:t>
      </w:r>
    </w:p>
    <w:p>
      <w:r>
        <w:t>The largest risk to a project of this kind is not that a model performs poorly but that a reader — or the team itself — mistakes a reconstructed or simulated result for a measured one. Four mechanisms were designed into the system rather than documented as conventions.</w:t>
      </w:r>
    </w:p>
    <w:p>
      <w:r>
        <w:rPr>
          <w:b/>
        </w:rPr>
        <w:t>Provenance is derived, not asserted.</w:t>
      </w:r>
      <w:r>
        <w:t xml:space="preserve"> Every visitor and every interaction carries a `source` column whose value is computed when the row is written, from the visitor the row belongs to. A caller cannot declare its own data live. An automated test fails the build if a dataset-derived customer ever produces a row claiming live observation.</w:t>
      </w:r>
    </w:p>
    <w:p>
      <w:r>
        <w:rPr>
          <w:b/>
        </w:rPr>
        <w:t>Measured and reconstructed are separated at the point of import.</w:t>
      </w:r>
      <w:r>
        <w:t xml:space="preserve"> The importer preserves every total from the source dataset exactly and reconstructs only what the dataset never contained. Section 6.2.2 states which is which, and Chapter 7 repeats the distinction wherever a result depends on it.</w:t>
      </w:r>
    </w:p>
    <w:p>
      <w:r>
        <w:rPr>
          <w:b/>
        </w:rPr>
        <w:t>The evaluation chapter is generated, not written.</w:t>
      </w:r>
      <w:r>
        <w:t xml:space="preserve"> Chapter 7's prose is authored once in `research/chapters.py` with the numbers interpolated from the results file, so a figure cannot drift away from the value it plots and a number cannot be quietly rounded in the report but not in the code.</w:t>
      </w:r>
    </w:p>
    <w:p>
      <w:r>
        <w:rPr>
          <w:b/>
        </w:rPr>
        <w:t>The system declines to report what it cannot support.</w:t>
      </w:r>
      <w:r>
        <w:t xml:space="preserve"> The refusal thresholds are enforced in code, and every dashboard figure carries a provenance badge derived from the rows behind it.</w:t>
      </w:r>
    </w:p>
    <w:p>
      <w:pPr>
        <w:pStyle w:val="Heading2"/>
      </w:pPr>
      <w:r>
        <w:t>5.6 Multi-Tenant Design</w:t>
      </w:r>
    </w:p>
    <w:p>
      <w:r>
        <w:t>Although the study operates on one demonstration store, the platform is designed so that any organisation could register a website and receive its own segmentation, campaigns, analytics and content. This required the security design to be part of the architecture rather than an afterthought.</w:t>
      </w:r>
    </w:p>
    <w:p>
      <w:pPr>
        <w:pStyle w:val="ListBullet"/>
        <w:spacing w:after="80" w:line="312" w:lineRule="auto"/>
        <w:jc w:val="both"/>
      </w:pPr>
      <w:r>
        <w:rPr>
          <w:b/>
        </w:rPr>
        <w:t>One isolation point.</w:t>
      </w:r>
      <w:r>
        <w:t xml:space="preserve"> All site-scoped routes pass through a single ownership middleware. A request for a site owned by another account returns 404 rather than 403, so the response does not confirm that the site exists. A regression test registers two accounts and asserts the isolation.</w:t>
      </w:r>
    </w:p>
    <w:p>
      <w:pPr>
        <w:pStyle w:val="ListBullet"/>
        <w:spacing w:after="80" w:line="312" w:lineRule="auto"/>
        <w:jc w:val="both"/>
      </w:pPr>
      <w:r>
        <w:rPr>
          <w:b/>
        </w:rPr>
        <w:t>Sessions are database rows.</w:t>
      </w:r>
      <w:r>
        <w:t xml:space="preserve"> Signing out deletes the row, so the token dies immediately rather than remaining valid until expiry. Passwords are hashed with salted scrypt.</w:t>
      </w:r>
    </w:p>
    <w:p>
      <w:pPr>
        <w:pStyle w:val="ListBullet"/>
        <w:spacing w:after="80" w:line="312" w:lineRule="auto"/>
        <w:jc w:val="both"/>
      </w:pPr>
      <w:r>
        <w:rPr>
          <w:b/>
        </w:rPr>
        <w:t>The browser never holds the token.</w:t>
      </w:r>
      <w:r>
        <w:t xml:space="preserve"> The dashboard receives an HttpOnly cookie set on its own origin, so client-side script cannot read it.</w:t>
      </w:r>
    </w:p>
    <w:p>
      <w:pPr>
        <w:pStyle w:val="ListBullet"/>
        <w:spacing w:after="80" w:line="312" w:lineRule="auto"/>
        <w:jc w:val="both"/>
      </w:pPr>
      <w:r>
        <w:rPr>
          <w:b/>
        </w:rPr>
        <w:t>Public routes stay public.</w:t>
      </w:r>
      <w:r>
        <w:t xml:space="preserve"> The tracking endpoints require no authentication, because a website's visitors are not signed in to the platform and must not be asked to be.</w:t>
      </w:r>
    </w:p>
    <w:p>
      <w:pPr>
        <w:pStyle w:val="Heading2"/>
      </w:pPr>
      <w:r>
        <w:t>5.7 Summary</w:t>
      </w:r>
    </w:p>
    <w:p>
      <w:r>
        <w:t>The design is a four-layer architecture in which the research modules are ordinary Python packages behind an API, joined by a single relational store whose provenance column is derived rather than declared and whose decision log makes the system's own policy evaluable. The next chapter describes how this design was implemented, including the defects discovered in the process.</w:t>
      </w:r>
    </w:p>
    <w:p>
      <w:r>
        <w:br w:type="page"/>
      </w:r>
    </w:p>
    <w:p>
      <w:pPr>
        <w:pStyle w:val="Heading1"/>
      </w:pPr>
      <w:r>
        <w:t>CHAPTER 6 — IMPLEMENTATION</w:t>
      </w:r>
    </w:p>
    <w:p>
      <w:pPr>
        <w:pStyle w:val="Heading2"/>
      </w:pPr>
      <w:r>
        <w:t>6.1 Introduction</w:t>
      </w:r>
    </w:p>
    <w:p>
      <w:r>
        <w:t>This chapter describes the implementation of the framework: the data it is built on (Section 6.2), the site under study (Section 6.3), each module in turn (Section 6.4), the integrated platform (Section 6.5), the research infrastructure (Section 6.6), the defects found in the project's own research code (Section 6.7) and the testing arrangements (Section 6.8).</w:t>
      </w:r>
    </w:p>
    <w:p>
      <w:pPr>
        <w:pStyle w:val="Heading2"/>
      </w:pPr>
      <w:r>
        <w:t>6.2 Data Collection</w:t>
      </w:r>
    </w:p>
    <w:p>
      <w:pPr>
        <w:pStyle w:val="Heading3"/>
      </w:pPr>
      <w:r>
        <w:t>6.2.1 Datasets</w:t>
      </w:r>
    </w:p>
    <w:p>
      <w:r>
        <w:t>Six data sources are used. Their provenance determines the strength of every claim built on them, so it is stated explicitly here and repeated in Chapter 7 wherever it matters.</w:t>
      </w:r>
    </w:p>
    <w:p>
      <w:pPr>
        <w:pStyle w:val="TableCaption"/>
      </w:pPr>
      <w:r>
        <w:rPr>
          <w:b w:val="0"/>
          <w:i w:val="0"/>
        </w:rPr>
        <w:t>Table 11 — Data sources, with size, nature and role.</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Source</w:t>
            </w:r>
          </w:p>
        </w:tc>
        <w:tc>
          <w:tcPr>
            <w:tcW w:type="dxa" w:w="2167"/>
            <w:shd w:val="clear" w:color="auto" w:fill="E8EEF6"/>
          </w:tcPr>
          <w:p>
            <w:pPr>
              <w:spacing w:after="40" w:line="240" w:lineRule="auto"/>
              <w:jc w:val="center"/>
            </w:pPr>
            <w:r/>
            <w:r>
              <w:rPr>
                <w:b/>
                <w:sz w:val="20"/>
              </w:rPr>
              <w:t>Size</w:t>
            </w:r>
          </w:p>
        </w:tc>
        <w:tc>
          <w:tcPr>
            <w:tcW w:type="dxa" w:w="2167"/>
            <w:shd w:val="clear" w:color="auto" w:fill="E8EEF6"/>
          </w:tcPr>
          <w:p>
            <w:pPr>
              <w:spacing w:after="40" w:line="240" w:lineRule="auto"/>
              <w:jc w:val="center"/>
            </w:pPr>
            <w:r/>
            <w:r>
              <w:rPr>
                <w:b/>
                <w:sz w:val="20"/>
              </w:rPr>
              <w:t>Nature</w:t>
            </w:r>
          </w:p>
        </w:tc>
        <w:tc>
          <w:tcPr>
            <w:tcW w:type="dxa" w:w="2167"/>
            <w:shd w:val="clear" w:color="auto" w:fill="E8EEF6"/>
          </w:tcPr>
          <w:p>
            <w:pPr>
              <w:spacing w:after="40" w:line="240" w:lineRule="auto"/>
              <w:jc w:val="center"/>
            </w:pPr>
            <w:r/>
            <w:r>
              <w:rPr>
                <w:b/>
                <w:sz w:val="20"/>
              </w:rPr>
              <w:t>Used by</w:t>
            </w:r>
          </w:p>
        </w:tc>
      </w:tr>
      <w:tr>
        <w:tc>
          <w:tcPr>
            <w:tcW w:type="dxa" w:w="2167"/>
          </w:tcPr>
          <w:p>
            <w:pPr>
              <w:spacing w:after="40" w:line="240" w:lineRule="auto"/>
              <w:jc w:val="left"/>
            </w:pPr>
            <w:r/>
            <w:r>
              <w:rPr>
                <w:b w:val="0"/>
                <w:sz w:val="20"/>
              </w:rPr>
              <w:t>Digital Marketing Campaign dataset</w:t>
            </w:r>
          </w:p>
        </w:tc>
        <w:tc>
          <w:tcPr>
            <w:tcW w:type="dxa" w:w="2167"/>
          </w:tcPr>
          <w:p>
            <w:pPr>
              <w:spacing w:after="40" w:line="240" w:lineRule="auto"/>
              <w:jc w:val="center"/>
            </w:pPr>
            <w:r/>
            <w:r>
              <w:rPr>
                <w:b w:val="0"/>
                <w:sz w:val="20"/>
              </w:rPr>
              <w:t>8,000 customers</w:t>
            </w:r>
          </w:p>
        </w:tc>
        <w:tc>
          <w:tcPr>
            <w:tcW w:type="dxa" w:w="2167"/>
          </w:tcPr>
          <w:p>
            <w:pPr>
              <w:spacing w:after="40" w:line="240" w:lineRule="auto"/>
              <w:jc w:val="center"/>
            </w:pPr>
            <w:r/>
            <w:r>
              <w:rPr>
                <w:b w:val="0"/>
                <w:sz w:val="20"/>
              </w:rPr>
              <w:t>Real, per-customer totals</w:t>
            </w:r>
          </w:p>
        </w:tc>
        <w:tc>
          <w:tcPr>
            <w:tcW w:type="dxa" w:w="2167"/>
          </w:tcPr>
          <w:p>
            <w:pPr>
              <w:spacing w:after="40" w:line="240" w:lineRule="auto"/>
              <w:jc w:val="center"/>
            </w:pPr>
            <w:r/>
            <w:r>
              <w:rPr>
                <w:b w:val="0"/>
                <w:sz w:val="20"/>
              </w:rPr>
              <w:t>The study audience — Modules 1–4; E1, E2, E3</w:t>
            </w:r>
          </w:p>
        </w:tc>
      </w:tr>
      <w:tr>
        <w:tc>
          <w:tcPr>
            <w:tcW w:type="dxa" w:w="2167"/>
          </w:tcPr>
          <w:p>
            <w:pPr>
              <w:spacing w:after="40" w:line="240" w:lineRule="auto"/>
              <w:jc w:val="left"/>
            </w:pPr>
            <w:r/>
            <w:r>
              <w:rPr>
                <w:b w:val="0"/>
                <w:sz w:val="20"/>
              </w:rPr>
              <w:t>Hillstrom MineThatData</w:t>
            </w:r>
          </w:p>
        </w:tc>
        <w:tc>
          <w:tcPr>
            <w:tcW w:type="dxa" w:w="2167"/>
          </w:tcPr>
          <w:p>
            <w:pPr>
              <w:spacing w:after="40" w:line="240" w:lineRule="auto"/>
              <w:jc w:val="center"/>
            </w:pPr>
            <w:r/>
            <w:r>
              <w:rPr>
                <w:b w:val="0"/>
                <w:sz w:val="20"/>
              </w:rPr>
              <w:t>64,000 customers, 3 randomised arms</w:t>
            </w:r>
          </w:p>
        </w:tc>
        <w:tc>
          <w:tcPr>
            <w:tcW w:type="dxa" w:w="2167"/>
          </w:tcPr>
          <w:p>
            <w:pPr>
              <w:spacing w:after="40" w:line="240" w:lineRule="auto"/>
              <w:jc w:val="center"/>
            </w:pPr>
            <w:r/>
            <w:r>
              <w:rPr>
                <w:b w:val="0"/>
                <w:sz w:val="20"/>
              </w:rPr>
              <w:t>Real, randomised assignment</w:t>
            </w:r>
          </w:p>
        </w:tc>
        <w:tc>
          <w:tcPr>
            <w:tcW w:type="dxa" w:w="2167"/>
          </w:tcPr>
          <w:p>
            <w:pPr>
              <w:spacing w:after="40" w:line="240" w:lineRule="auto"/>
              <w:jc w:val="center"/>
            </w:pPr>
            <w:r/>
            <w:r>
              <w:rPr>
                <w:b w:val="0"/>
                <w:sz w:val="20"/>
              </w:rPr>
              <w:t>E8 — the only causal claim in the report</w:t>
            </w:r>
          </w:p>
        </w:tc>
      </w:tr>
      <w:tr>
        <w:tc>
          <w:tcPr>
            <w:tcW w:type="dxa" w:w="2167"/>
          </w:tcPr>
          <w:p>
            <w:pPr>
              <w:spacing w:after="40" w:line="240" w:lineRule="auto"/>
              <w:jc w:val="left"/>
            </w:pPr>
            <w:r/>
            <w:r>
              <w:rPr>
                <w:b w:val="0"/>
                <w:sz w:val="20"/>
              </w:rPr>
              <w:t>Social-media engagement corpus</w:t>
            </w:r>
          </w:p>
        </w:tc>
        <w:tc>
          <w:tcPr>
            <w:tcW w:type="dxa" w:w="2167"/>
          </w:tcPr>
          <w:p>
            <w:pPr>
              <w:spacing w:after="40" w:line="240" w:lineRule="auto"/>
              <w:jc w:val="center"/>
            </w:pPr>
            <w:r/>
            <w:r>
              <w:rPr>
                <w:b w:val="0"/>
                <w:sz w:val="20"/>
              </w:rPr>
              <w:t>12,000 posts</w:t>
            </w:r>
          </w:p>
        </w:tc>
        <w:tc>
          <w:tcPr>
            <w:tcW w:type="dxa" w:w="2167"/>
          </w:tcPr>
          <w:p>
            <w:pPr>
              <w:spacing w:after="40" w:line="240" w:lineRule="auto"/>
              <w:jc w:val="center"/>
            </w:pPr>
            <w:r/>
            <w:r>
              <w:rPr>
                <w:b w:val="0"/>
                <w:sz w:val="20"/>
              </w:rPr>
              <w:t>Real (public)</w:t>
            </w:r>
          </w:p>
        </w:tc>
        <w:tc>
          <w:tcPr>
            <w:tcW w:type="dxa" w:w="2167"/>
          </w:tcPr>
          <w:p>
            <w:pPr>
              <w:spacing w:after="40" w:line="240" w:lineRule="auto"/>
              <w:jc w:val="center"/>
            </w:pPr>
            <w:r/>
            <w:r>
              <w:rPr>
                <w:b w:val="0"/>
                <w:sz w:val="20"/>
              </w:rPr>
              <w:t>Module 4 engagement regressor — E7</w:t>
            </w:r>
          </w:p>
        </w:tc>
      </w:tr>
      <w:tr>
        <w:tc>
          <w:tcPr>
            <w:tcW w:type="dxa" w:w="2167"/>
          </w:tcPr>
          <w:p>
            <w:pPr>
              <w:spacing w:after="40" w:line="240" w:lineRule="auto"/>
              <w:jc w:val="left"/>
            </w:pPr>
            <w:r/>
            <w:r>
              <w:rPr>
                <w:b w:val="0"/>
                <w:sz w:val="20"/>
              </w:rPr>
              <w:t>Campaign goal / tone corpus</w:t>
            </w:r>
          </w:p>
        </w:tc>
        <w:tc>
          <w:tcPr>
            <w:tcW w:type="dxa" w:w="2167"/>
          </w:tcPr>
          <w:p>
            <w:pPr>
              <w:spacing w:after="40" w:line="240" w:lineRule="auto"/>
              <w:jc w:val="center"/>
            </w:pPr>
            <w:r/>
            <w:r>
              <w:rPr>
                <w:b w:val="0"/>
                <w:sz w:val="20"/>
              </w:rPr>
              <w:t>527 labelled rows</w:t>
            </w:r>
          </w:p>
        </w:tc>
        <w:tc>
          <w:tcPr>
            <w:tcW w:type="dxa" w:w="2167"/>
          </w:tcPr>
          <w:p>
            <w:pPr>
              <w:spacing w:after="40" w:line="240" w:lineRule="auto"/>
              <w:jc w:val="center"/>
            </w:pPr>
            <w:r/>
            <w:r>
              <w:rPr>
                <w:b w:val="0"/>
                <w:sz w:val="20"/>
              </w:rPr>
              <w:t>Real, semi-automatically labelled</w:t>
            </w:r>
          </w:p>
        </w:tc>
        <w:tc>
          <w:tcPr>
            <w:tcW w:type="dxa" w:w="2167"/>
          </w:tcPr>
          <w:p>
            <w:pPr>
              <w:spacing w:after="40" w:line="240" w:lineRule="auto"/>
              <w:jc w:val="center"/>
            </w:pPr>
            <w:r/>
            <w:r>
              <w:rPr>
                <w:b w:val="0"/>
                <w:sz w:val="20"/>
              </w:rPr>
              <w:t>Module 4 text classifiers — E6</w:t>
            </w:r>
          </w:p>
        </w:tc>
      </w:tr>
      <w:tr>
        <w:tc>
          <w:tcPr>
            <w:tcW w:type="dxa" w:w="2167"/>
          </w:tcPr>
          <w:p>
            <w:pPr>
              <w:spacing w:after="40" w:line="240" w:lineRule="auto"/>
              <w:jc w:val="left"/>
            </w:pPr>
            <w:r/>
            <w:r>
              <w:rPr>
                <w:b w:val="0"/>
                <w:sz w:val="20"/>
              </w:rPr>
              <w:t>Capability website sample</w:t>
            </w:r>
          </w:p>
        </w:tc>
        <w:tc>
          <w:tcPr>
            <w:tcW w:type="dxa" w:w="2167"/>
          </w:tcPr>
          <w:p>
            <w:pPr>
              <w:spacing w:after="40" w:line="240" w:lineRule="auto"/>
              <w:jc w:val="center"/>
            </w:pPr>
            <w:r/>
            <w:r>
              <w:rPr>
                <w:b w:val="0"/>
                <w:sz w:val="20"/>
              </w:rPr>
              <w:t>15 real websites, hand-labelled</w:t>
            </w:r>
          </w:p>
        </w:tc>
        <w:tc>
          <w:tcPr>
            <w:tcW w:type="dxa" w:w="2167"/>
          </w:tcPr>
          <w:p>
            <w:pPr>
              <w:spacing w:after="40" w:line="240" w:lineRule="auto"/>
              <w:jc w:val="center"/>
            </w:pPr>
            <w:r/>
            <w:r>
              <w:rPr>
                <w:b w:val="0"/>
                <w:sz w:val="20"/>
              </w:rPr>
              <w:t>Real, fetched live</w:t>
            </w:r>
          </w:p>
        </w:tc>
        <w:tc>
          <w:tcPr>
            <w:tcW w:type="dxa" w:w="2167"/>
          </w:tcPr>
          <w:p>
            <w:pPr>
              <w:spacing w:after="40" w:line="240" w:lineRule="auto"/>
              <w:jc w:val="center"/>
            </w:pPr>
            <w:r/>
            <w:r>
              <w:rPr>
                <w:b w:val="0"/>
                <w:sz w:val="20"/>
              </w:rPr>
              <w:t>Module 4 capability detection — E10</w:t>
            </w:r>
          </w:p>
        </w:tc>
      </w:tr>
      <w:tr>
        <w:tc>
          <w:tcPr>
            <w:tcW w:type="dxa" w:w="2167"/>
          </w:tcPr>
          <w:p>
            <w:pPr>
              <w:spacing w:after="40" w:line="240" w:lineRule="auto"/>
              <w:jc w:val="left"/>
            </w:pPr>
            <w:r/>
            <w:r>
              <w:rPr>
                <w:b w:val="0"/>
                <w:sz w:val="20"/>
              </w:rPr>
              <w:t>Module 2 and Module 3 simulators</w:t>
            </w:r>
          </w:p>
        </w:tc>
        <w:tc>
          <w:tcPr>
            <w:tcW w:type="dxa" w:w="2167"/>
          </w:tcPr>
          <w:p>
            <w:pPr>
              <w:spacing w:after="40" w:line="240" w:lineRule="auto"/>
              <w:jc w:val="center"/>
            </w:pPr>
            <w:r/>
            <w:r>
              <w:rPr>
                <w:b w:val="0"/>
                <w:sz w:val="20"/>
              </w:rPr>
              <w:t>8,000 customers × 30 seeds; known-reward worlds</w:t>
            </w:r>
          </w:p>
        </w:tc>
        <w:tc>
          <w:tcPr>
            <w:tcW w:type="dxa" w:w="2167"/>
          </w:tcPr>
          <w:p>
            <w:pPr>
              <w:spacing w:after="40" w:line="240" w:lineRule="auto"/>
              <w:jc w:val="center"/>
            </w:pPr>
            <w:r/>
            <w:r>
              <w:rPr>
                <w:b w:val="0"/>
                <w:sz w:val="20"/>
              </w:rPr>
              <w:t>Simulated, calibrated</w:t>
            </w:r>
          </w:p>
        </w:tc>
        <w:tc>
          <w:tcPr>
            <w:tcW w:type="dxa" w:w="2167"/>
          </w:tcPr>
          <w:p>
            <w:pPr>
              <w:spacing w:after="40" w:line="240" w:lineRule="auto"/>
              <w:jc w:val="center"/>
            </w:pPr>
            <w:r/>
            <w:r>
              <w:rPr>
                <w:b w:val="0"/>
                <w:sz w:val="20"/>
              </w:rPr>
              <w:t>E3; E4 ground truth; E5, E9, E11</w:t>
            </w:r>
          </w:p>
        </w:tc>
      </w:tr>
    </w:tbl>
    <w:p>
      <w:pPr>
        <w:spacing w:after="120"/>
      </w:pPr>
    </w:p>
    <w:p>
      <w:pPr>
        <w:pStyle w:val="NoteBox"/>
      </w:pPr>
      <w:r>
        <w:rPr>
          <w:b/>
        </w:rPr>
        <w:t>Why simulation appears at all.</w:t>
      </w:r>
      <w:r>
        <w:t xml:space="preserve"> Three claims in this report are properties of an estimator rather than of customers — that attribution recovers known influence, that an off-policy estimator is unbiased, and how error scales with action-set size. Each is decided by mathematics and can therefore be checked exactly against a known answer, which no real dataset permits. Where a claim concerns people rather than estimators, real data is used.</w:t>
      </w:r>
    </w:p>
    <w:p>
      <w:pPr>
        <w:pStyle w:val="Heading3"/>
      </w:pPr>
      <w:r>
        <w:t>6.2.2 The importer, and what it does not invent</w:t>
      </w:r>
    </w:p>
    <w:p>
      <w:r>
        <w:t xml:space="preserve">The study audience is imported by `scripts/import_research_audience.py`, which turns 8,000 dataset rows into customers of the demonstration store. The dataset is real, but it was measured as </w:t>
      </w:r>
      <w:r>
        <w:rPr>
          <w:b/>
        </w:rPr>
        <w:t>per-customer totals</w:t>
      </w:r>
      <w:r>
        <w:t xml:space="preserve"> — 25 website visits, 5.5 pages per visit, 9 email opens — and not as an event log. Nobody recorded when visit 14 happened or which page it was.</w:t>
      </w:r>
    </w:p>
    <w:p>
      <w:pPr>
        <w:keepNext/>
        <w:keepLines/>
        <w:spacing w:before="360" w:after="120" w:line="240" w:lineRule="auto"/>
        <w:jc w:val="center"/>
      </w:pPr>
      <w:r>
        <w:drawing>
          <wp:inline xmlns:a="http://schemas.openxmlformats.org/drawingml/2006/main" xmlns:pic="http://schemas.openxmlformats.org/drawingml/2006/picture">
            <wp:extent cx="5760720" cy="3194092"/>
            <wp:docPr id="9" name="Picture 9"/>
            <wp:cNvGraphicFramePr>
              <a:graphicFrameLocks noChangeAspect="1"/>
            </wp:cNvGraphicFramePr>
            <a:graphic>
              <a:graphicData uri="http://schemas.openxmlformats.org/drawingml/2006/picture">
                <pic:pic>
                  <pic:nvPicPr>
                    <pic:cNvPr id="0" name="fig04_importer.png"/>
                    <pic:cNvPicPr/>
                  </pic:nvPicPr>
                  <pic:blipFill>
                    <a:blip r:embed="rId19"/>
                    <a:stretch>
                      <a:fillRect/>
                    </a:stretch>
                  </pic:blipFill>
                  <pic:spPr>
                    <a:xfrm>
                      <a:off x="0" y="0"/>
                      <a:ext cx="5760720" cy="3194092"/>
                    </a:xfrm>
                    <a:prstGeom prst="rect"/>
                  </pic:spPr>
                </pic:pic>
              </a:graphicData>
            </a:graphic>
          </wp:inline>
        </w:drawing>
      </w:r>
    </w:p>
    <w:p>
      <w:pPr>
        <w:pStyle w:val="Caption"/>
        <w:keepLines/>
        <w:spacing w:before="40" w:after="400" w:line="240" w:lineRule="auto"/>
      </w:pPr>
      <w:r>
        <w:rPr>
          <w:b w:val="0"/>
          <w:i w:val="0"/>
        </w:rPr>
        <w:t>Figure 9 — What the importer preserves and what it reconstructs. The distinction is kept in the data, not only in prose.</w:t>
      </w:r>
    </w:p>
    <w:p>
      <w:r>
        <w:t>The importer therefore preserves every total exactly and reconstructs only what the dataset never contained: the timestamp of each visit, which page it landed on, scroll depth, the ordering of email events and basket value. Fidelity is asserted against the source CSV after every import — sessions, page views, time on site, clicks and purchases all match exactly, and a re-import is byte-identical — so a reconstruction error cannot pass silently.</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10" name="Picture 10"/>
            <wp:cNvGraphicFramePr>
              <a:graphicFrameLocks noChangeAspect="1"/>
            </wp:cNvGraphicFramePr>
            <a:graphic>
              <a:graphicData uri="http://schemas.openxmlformats.org/drawingml/2006/picture">
                <pic:pic>
                  <pic:nvPicPr>
                    <pic:cNvPr id="0" name="shot_code_importer.png"/>
                    <pic:cNvPicPr/>
                  </pic:nvPicPr>
                  <pic:blipFill>
                    <a:blip r:embed="rId20"/>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10 — The fidelity check in the importer. Totals are asserted against the source CSV after import.</w:t>
      </w:r>
    </w:p>
    <w:p>
      <w:pPr>
        <w:pStyle w:val="NoteBox"/>
      </w:pPr>
      <w:r>
        <w:rPr>
          <w:b/>
        </w:rPr>
        <w:t>Consequence for every result in Chapter 7.</w:t>
      </w:r>
      <w:r>
        <w:t xml:space="preserve"> Anything depending only on the totals — segment membership, conversion rate by segment, funnel counts — rests on real measurements. Anything depending on event </w:t>
      </w:r>
      <w:r>
        <w:rPr>
          <w:i/>
        </w:rPr>
        <w:t>order</w:t>
      </w:r>
      <w:r>
        <w:t xml:space="preserve"> or </w:t>
      </w:r>
      <w:r>
        <w:rPr>
          <w:i/>
        </w:rPr>
        <w:t>timing</w:t>
      </w:r>
      <w:r>
        <w:t xml:space="preserve"> — attribution paths, journey length, inter-event gaps — is a property of the reconstruction as much as of the data. Chapter 7 says which is which every time it matters.</w:t>
      </w:r>
    </w:p>
    <w:p>
      <w:pPr>
        <w:pStyle w:val="Heading3"/>
      </w:pPr>
      <w:r>
        <w:t>6.2.3 One feature definition for two kinds of row</w:t>
      </w:r>
    </w:p>
    <w:p>
      <w:r>
        <w:t xml:space="preserve">A live browser writes one event per page view and carries no count; the importer writes one event per </w:t>
      </w:r>
      <w:r>
        <w:rPr>
          <w:i/>
        </w:rPr>
        <w:t>visit</w:t>
      </w:r>
      <w:r>
        <w:t xml:space="preserve"> carrying that visit's counts. Rather than maintain two feature paths — which would eventually diverge — a single SQL definition sums both identically, treating a missing count as one. Imported and live customers are therefore described by the same features without either pretending to be the other.</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11" name="Picture 11"/>
            <wp:cNvGraphicFramePr>
              <a:graphicFrameLocks noChangeAspect="1"/>
            </wp:cNvGraphicFramePr>
            <a:graphic>
              <a:graphicData uri="http://schemas.openxmlformats.org/drawingml/2006/picture">
                <pic:pic>
                  <pic:nvPicPr>
                    <pic:cNvPr id="0" name="shot_code_features.png"/>
                    <pic:cNvPicPr/>
                  </pic:nvPicPr>
                  <pic:blipFill>
                    <a:blip r:embed="rId21"/>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11 — The shared feature definition. One expression serves imported per-visit counts and live per-page events.</w:t>
      </w:r>
    </w:p>
    <w:p>
      <w:pPr>
        <w:pStyle w:val="Heading2"/>
      </w:pPr>
      <w:r>
        <w:t>6.3 The Site Under Study</w:t>
      </w:r>
    </w:p>
    <w:p>
      <w:r>
        <w:t>The demonstration store is a small e-commerce site with six product pages, a basket and a checkout path, served on port 4000 with the mos.js snippet installed. It is the site Module 4 crawls, the site whose capabilities are detected, and the site whose visitors form the live half of the audience.</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12" name="Picture 12"/>
            <wp:cNvGraphicFramePr>
              <a:graphicFrameLocks noChangeAspect="1"/>
            </wp:cNvGraphicFramePr>
            <a:graphic>
              <a:graphicData uri="http://schemas.openxmlformats.org/drawingml/2006/picture">
                <pic:pic>
                  <pic:nvPicPr>
                    <pic:cNvPr id="0" name="shot_store_home.png"/>
                    <pic:cNvPicPr/>
                  </pic:nvPicPr>
                  <pic:blipFill>
                    <a:blip r:embed="rId22"/>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12 — The demonstration e-commerce store, home page.</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13" name="Picture 13"/>
            <wp:cNvGraphicFramePr>
              <a:graphicFrameLocks noChangeAspect="1"/>
            </wp:cNvGraphicFramePr>
            <a:graphic>
              <a:graphicData uri="http://schemas.openxmlformats.org/drawingml/2006/picture">
                <pic:pic>
                  <pic:nvPicPr>
                    <pic:cNvPr id="0" name="shot_store_product.png"/>
                    <pic:cNvPicPr/>
                  </pic:nvPicPr>
                  <pic:blipFill>
                    <a:blip r:embed="rId23"/>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13 — A product page with the tracking status indicator, confirming first-party event collection.</w:t>
      </w:r>
    </w:p>
    <w:p>
      <w:r>
        <w:t xml:space="preserve">Browsing the store during a demonstration changes the provenance badge throughout the dashboard from </w:t>
      </w:r>
      <w:r>
        <w:rPr>
          <w:i/>
        </w:rPr>
        <w:t>research dataset</w:t>
      </w:r>
      <w:r>
        <w:t xml:space="preserve"> to </w:t>
      </w:r>
      <w:r>
        <w:rPr>
          <w:i/>
        </w:rPr>
        <w:t>dataset + live</w:t>
      </w:r>
      <w:r>
        <w:t>, which is the most direct way to show that the provenance mechanism is real rather than a label.</w:t>
      </w:r>
    </w:p>
    <w:p>
      <w:pPr>
        <w:pStyle w:val="Heading2"/>
      </w:pPr>
      <w:r>
        <w:t>6.4 Implementation of Individual Modules</w:t>
      </w:r>
    </w:p>
    <w:p>
      <w:pPr>
        <w:pStyle w:val="Heading3"/>
      </w:pPr>
      <w:r>
        <w:t>6.4.1 Module 1 — Audience Targeting and Personalization</w:t>
      </w:r>
    </w:p>
    <w:p>
      <w:r>
        <w:t>The engine is implemented in `modules/m1_segmentation/segment.py` as a feature-set-agnostic function with two callers, one for the research audience and one for live visitors. Preprocessing uses `StandardScaler`; clustering uses `KMeans` (k = 4, `n_init` = 10, fixed random state) and `AgglomerativeClustering` with Ward linkage. Cluster naming is derived at run time by ranking centroids on engagement and purchase dimensions.</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14" name="Picture 14"/>
            <wp:cNvGraphicFramePr>
              <a:graphicFrameLocks noChangeAspect="1"/>
            </wp:cNvGraphicFramePr>
            <a:graphic>
              <a:graphicData uri="http://schemas.openxmlformats.org/drawingml/2006/picture">
                <pic:pic>
                  <pic:nvPicPr>
                    <pic:cNvPr id="0" name="shot_code_vote.png"/>
                    <pic:cNvPicPr/>
                  </pic:nvPicPr>
                  <pic:blipFill>
                    <a:blip r:embed="rId24"/>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14 — The agreement vote. Cold start is resolved immediately after unanimity, before the clustering comparison.</w:t>
      </w:r>
    </w:p>
    <w:p>
      <w:r>
        <w:t>The confidence score is produced by a classifier trained on the vote outcome with the vote's own encoded label excluded from the feature set. Section 6.7 explains why that exclusion is not optional, and Section 7.3.2 measures what it changes.</w:t>
      </w:r>
    </w:p>
    <w:p>
      <w:pPr>
        <w:pStyle w:val="Heading3"/>
      </w:pPr>
      <w:r>
        <w:t>6.4.2 Module 2 — Marketing Automation and Campaign Management</w:t>
      </w:r>
    </w:p>
    <w:p>
      <w:r>
        <w:t>Module 2 is implemented under `modules/m2_automation/src/` with the three policies in a `strategies/` package behind a common interface, so that the simulator and evaluator are identical across policies. `ml_model.py` fits the response models; `simulator.py` generates events; `evaluation.py` computes the comparison metrics.</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15" name="Picture 15"/>
            <wp:cNvGraphicFramePr>
              <a:graphicFrameLocks noChangeAspect="1"/>
            </wp:cNvGraphicFramePr>
            <a:graphic>
              <a:graphicData uri="http://schemas.openxmlformats.org/drawingml/2006/picture">
                <pic:pic>
                  <pic:nvPicPr>
                    <pic:cNvPr id="0" name="shot_code_policy.png"/>
                    <pic:cNvPicPr/>
                  </pic:nvPicPr>
                  <pic:blipFill>
                    <a:blip r:embed="rId25"/>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15 — The policy engine. The three policies share every other component of the comparison.</w:t>
      </w:r>
    </w:p>
    <w:p>
      <w:r>
        <w:t>A stratified dummy classifier is fitted alongside the real models and reported in the same table, because the dataset's base rate is high enough that a model can look accurate by predicting the majority class for every customer. Publishing the dummy result beside the real one makes that floor visible.</w:t>
      </w:r>
    </w:p>
    <w:p>
      <w:pPr>
        <w:pStyle w:val="Heading3"/>
      </w:pPr>
      <w:r>
        <w:t>6.4.3 Module 3 — Marketing Analytics and Decision Support</w:t>
      </w:r>
    </w:p>
    <w:p>
      <w:r>
        <w:t>Module 3 is implemented under `modules/m3_analytics/src/` as co-operating components run end to end by `pipeline.py`.</w:t>
      </w:r>
    </w:p>
    <w:p>
      <w:pPr>
        <w:pStyle w:val="TableCaption"/>
      </w:pPr>
      <w:r>
        <w:rPr>
          <w:b w:val="0"/>
          <w:i w:val="0"/>
        </w:rPr>
        <w:t>Table 12 — Components of the Module 3 analytics pipeline.</w:t>
      </w:r>
    </w:p>
    <w:tbl>
      <w:tblPr>
        <w:tblStyle w:val="TableGrid"/>
        <w:tblW w:type="auto" w:w="0"/>
        <w:jc w:val="center"/>
        <w:tblLayout w:type="autofit"/>
        <w:tblLook w:firstColumn="1" w:firstRow="1" w:lastColumn="0" w:lastRow="0" w:noHBand="0" w:noVBand="1" w:val="04A0"/>
      </w:tblPr>
      <w:tblGrid>
        <w:gridCol w:w="4334"/>
        <w:gridCol w:w="4334"/>
      </w:tblGrid>
      <w:tr>
        <w:trPr>
          <w:tblHeader w:val="true"/>
        </w:trPr>
        <w:tc>
          <w:tcPr>
            <w:tcW w:type="dxa" w:w="4334"/>
            <w:shd w:val="clear" w:color="auto" w:fill="E8EEF6"/>
          </w:tcPr>
          <w:p>
            <w:pPr>
              <w:spacing w:after="40" w:line="240" w:lineRule="auto"/>
              <w:jc w:val="center"/>
            </w:pPr>
            <w:r/>
            <w:r>
              <w:rPr>
                <w:b/>
                <w:sz w:val="20"/>
              </w:rPr>
              <w:t>Component</w:t>
            </w:r>
          </w:p>
        </w:tc>
        <w:tc>
          <w:tcPr>
            <w:tcW w:type="dxa" w:w="4334"/>
            <w:shd w:val="clear" w:color="auto" w:fill="E8EEF6"/>
          </w:tcPr>
          <w:p>
            <w:pPr>
              <w:spacing w:after="40" w:line="240" w:lineRule="auto"/>
              <w:jc w:val="center"/>
            </w:pPr>
            <w:r/>
            <w:r>
              <w:rPr>
                <w:b/>
                <w:sz w:val="20"/>
              </w:rPr>
              <w:t>Responsibility</w:t>
            </w:r>
          </w:p>
        </w:tc>
      </w:tr>
      <w:tr>
        <w:tc>
          <w:tcPr>
            <w:tcW w:type="dxa" w:w="4334"/>
          </w:tcPr>
          <w:p>
            <w:pPr>
              <w:spacing w:after="40" w:line="240" w:lineRule="auto"/>
              <w:jc w:val="left"/>
            </w:pPr>
            <w:r/>
            <w:r>
              <w:rPr>
                <w:b w:val="0"/>
                <w:sz w:val="20"/>
              </w:rPr>
              <w:t>simulator.py</w:t>
            </w:r>
          </w:p>
        </w:tc>
        <w:tc>
          <w:tcPr>
            <w:tcW w:type="dxa" w:w="4334"/>
          </w:tcPr>
          <w:p>
            <w:pPr>
              <w:spacing w:after="40" w:line="240" w:lineRule="auto"/>
              <w:jc w:val="center"/>
            </w:pPr>
            <w:r/>
            <w:r>
              <w:rPr>
                <w:b w:val="0"/>
                <w:sz w:val="20"/>
              </w:rPr>
              <w:t>Generate journeys with known channel influence for ground-truth scoring</w:t>
            </w:r>
          </w:p>
        </w:tc>
      </w:tr>
      <w:tr>
        <w:tc>
          <w:tcPr>
            <w:tcW w:type="dxa" w:w="4334"/>
          </w:tcPr>
          <w:p>
            <w:pPr>
              <w:spacing w:after="40" w:line="240" w:lineRule="auto"/>
              <w:jc w:val="left"/>
            </w:pPr>
            <w:r/>
            <w:r>
              <w:rPr>
                <w:b w:val="0"/>
                <w:sz w:val="20"/>
              </w:rPr>
              <w:t>funnel.py</w:t>
            </w:r>
          </w:p>
        </w:tc>
        <w:tc>
          <w:tcPr>
            <w:tcW w:type="dxa" w:w="4334"/>
          </w:tcPr>
          <w:p>
            <w:pPr>
              <w:spacing w:after="40" w:line="240" w:lineRule="auto"/>
              <w:jc w:val="center"/>
            </w:pPr>
            <w:r/>
            <w:r>
              <w:rPr>
                <w:b w:val="0"/>
                <w:sz w:val="20"/>
              </w:rPr>
              <w:t>Funnel construction and drop-off by stage, segment and policy</w:t>
            </w:r>
          </w:p>
        </w:tc>
      </w:tr>
      <w:tr>
        <w:tc>
          <w:tcPr>
            <w:tcW w:type="dxa" w:w="4334"/>
          </w:tcPr>
          <w:p>
            <w:pPr>
              <w:spacing w:after="40" w:line="240" w:lineRule="auto"/>
              <w:jc w:val="left"/>
            </w:pPr>
            <w:r/>
            <w:r>
              <w:rPr>
                <w:b w:val="0"/>
                <w:sz w:val="20"/>
              </w:rPr>
              <w:t>attribution.py</w:t>
            </w:r>
          </w:p>
        </w:tc>
        <w:tc>
          <w:tcPr>
            <w:tcW w:type="dxa" w:w="4334"/>
          </w:tcPr>
          <w:p>
            <w:pPr>
              <w:spacing w:after="40" w:line="240" w:lineRule="auto"/>
              <w:jc w:val="center"/>
            </w:pPr>
            <w:r/>
            <w:r>
              <w:rPr>
                <w:b w:val="0"/>
                <w:sz w:val="20"/>
              </w:rPr>
              <w:t>First-, last-, linear and Markov credit assignment</w:t>
            </w:r>
          </w:p>
        </w:tc>
      </w:tr>
      <w:tr>
        <w:tc>
          <w:tcPr>
            <w:tcW w:type="dxa" w:w="4334"/>
          </w:tcPr>
          <w:p>
            <w:pPr>
              <w:spacing w:after="40" w:line="240" w:lineRule="auto"/>
              <w:jc w:val="left"/>
            </w:pPr>
            <w:r/>
            <w:r>
              <w:rPr>
                <w:b w:val="0"/>
                <w:sz w:val="20"/>
              </w:rPr>
              <w:t>features.py</w:t>
            </w:r>
          </w:p>
        </w:tc>
        <w:tc>
          <w:tcPr>
            <w:tcW w:type="dxa" w:w="4334"/>
          </w:tcPr>
          <w:p>
            <w:pPr>
              <w:spacing w:after="40" w:line="240" w:lineRule="auto"/>
              <w:jc w:val="center"/>
            </w:pPr>
            <w:r/>
            <w:r>
              <w:rPr>
                <w:b w:val="0"/>
                <w:sz w:val="20"/>
              </w:rPr>
              <w:t>Journey-level feature matrix shared by both predictive models</w:t>
            </w:r>
          </w:p>
        </w:tc>
      </w:tr>
      <w:tr>
        <w:tc>
          <w:tcPr>
            <w:tcW w:type="dxa" w:w="4334"/>
          </w:tcPr>
          <w:p>
            <w:pPr>
              <w:spacing w:after="40" w:line="240" w:lineRule="auto"/>
              <w:jc w:val="left"/>
            </w:pPr>
            <w:r/>
            <w:r>
              <w:rPr>
                <w:b w:val="0"/>
                <w:sz w:val="20"/>
              </w:rPr>
              <w:t>prediction.py</w:t>
            </w:r>
          </w:p>
        </w:tc>
        <w:tc>
          <w:tcPr>
            <w:tcW w:type="dxa" w:w="4334"/>
          </w:tcPr>
          <w:p>
            <w:pPr>
              <w:spacing w:after="40" w:line="240" w:lineRule="auto"/>
              <w:jc w:val="center"/>
            </w:pPr>
            <w:r/>
            <w:r>
              <w:rPr>
                <w:b w:val="0"/>
                <w:sz w:val="20"/>
              </w:rPr>
              <w:t>Conversion and drop-off models against a stratified baseline</w:t>
            </w:r>
          </w:p>
        </w:tc>
      </w:tr>
      <w:tr>
        <w:tc>
          <w:tcPr>
            <w:tcW w:type="dxa" w:w="4334"/>
          </w:tcPr>
          <w:p>
            <w:pPr>
              <w:spacing w:after="40" w:line="240" w:lineRule="auto"/>
              <w:jc w:val="left"/>
            </w:pPr>
            <w:r/>
            <w:r>
              <w:rPr>
                <w:b w:val="0"/>
                <w:sz w:val="20"/>
              </w:rPr>
              <w:t>calibration.py</w:t>
            </w:r>
          </w:p>
        </w:tc>
        <w:tc>
          <w:tcPr>
            <w:tcW w:type="dxa" w:w="4334"/>
          </w:tcPr>
          <w:p>
            <w:pPr>
              <w:spacing w:after="40" w:line="240" w:lineRule="auto"/>
              <w:jc w:val="center"/>
            </w:pPr>
            <w:r/>
            <w:r>
              <w:rPr>
                <w:b w:val="0"/>
                <w:sz w:val="20"/>
              </w:rPr>
              <w:t>Probability calibration and degenerate-prediction warnings</w:t>
            </w:r>
          </w:p>
        </w:tc>
      </w:tr>
      <w:tr>
        <w:tc>
          <w:tcPr>
            <w:tcW w:type="dxa" w:w="4334"/>
          </w:tcPr>
          <w:p>
            <w:pPr>
              <w:spacing w:after="40" w:line="240" w:lineRule="auto"/>
              <w:jc w:val="left"/>
            </w:pPr>
            <w:r/>
            <w:r>
              <w:rPr>
                <w:b w:val="0"/>
                <w:sz w:val="20"/>
              </w:rPr>
              <w:t>bootstrap.py</w:t>
            </w:r>
          </w:p>
        </w:tc>
        <w:tc>
          <w:tcPr>
            <w:tcW w:type="dxa" w:w="4334"/>
          </w:tcPr>
          <w:p>
            <w:pPr>
              <w:spacing w:after="40" w:line="240" w:lineRule="auto"/>
              <w:jc w:val="center"/>
            </w:pPr>
            <w:r/>
            <w:r>
              <w:rPr>
                <w:b w:val="0"/>
                <w:sz w:val="20"/>
              </w:rPr>
              <w:t>Percentile and paired bootstrap intervals</w:t>
            </w:r>
          </w:p>
        </w:tc>
      </w:tr>
      <w:tr>
        <w:tc>
          <w:tcPr>
            <w:tcW w:type="dxa" w:w="4334"/>
          </w:tcPr>
          <w:p>
            <w:pPr>
              <w:spacing w:after="40" w:line="240" w:lineRule="auto"/>
              <w:jc w:val="left"/>
            </w:pPr>
            <w:r/>
            <w:r>
              <w:rPr>
                <w:b w:val="0"/>
                <w:sz w:val="20"/>
              </w:rPr>
              <w:t>shap_analysis.py</w:t>
            </w:r>
          </w:p>
        </w:tc>
        <w:tc>
          <w:tcPr>
            <w:tcW w:type="dxa" w:w="4334"/>
          </w:tcPr>
          <w:p>
            <w:pPr>
              <w:spacing w:after="40" w:line="240" w:lineRule="auto"/>
              <w:jc w:val="center"/>
            </w:pPr>
            <w:r/>
            <w:r>
              <w:rPr>
                <w:b w:val="0"/>
                <w:sz w:val="20"/>
              </w:rPr>
              <w:t>SHAP feature attribution for both models</w:t>
            </w:r>
          </w:p>
        </w:tc>
      </w:tr>
      <w:tr>
        <w:tc>
          <w:tcPr>
            <w:tcW w:type="dxa" w:w="4334"/>
          </w:tcPr>
          <w:p>
            <w:pPr>
              <w:spacing w:after="40" w:line="240" w:lineRule="auto"/>
              <w:jc w:val="left"/>
            </w:pPr>
            <w:r/>
            <w:r>
              <w:rPr>
                <w:b w:val="0"/>
                <w:sz w:val="20"/>
              </w:rPr>
              <w:t>recommender.py / learned_recommender.py</w:t>
            </w:r>
          </w:p>
        </w:tc>
        <w:tc>
          <w:tcPr>
            <w:tcW w:type="dxa" w:w="4334"/>
          </w:tcPr>
          <w:p>
            <w:pPr>
              <w:spacing w:after="40" w:line="240" w:lineRule="auto"/>
              <w:jc w:val="center"/>
            </w:pPr>
            <w:r/>
            <w:r>
              <w:rPr>
                <w:b w:val="0"/>
                <w:sz w:val="20"/>
              </w:rPr>
              <w:t>Rule-based and supervised recommendation generation</w:t>
            </w:r>
          </w:p>
        </w:tc>
      </w:tr>
    </w:tbl>
    <w:p>
      <w:pPr>
        <w:spacing w:after="120"/>
      </w:pPr>
    </w:p>
    <w:p>
      <w:pPr>
        <w:keepNext/>
        <w:keepLines/>
        <w:spacing w:before="360" w:after="120" w:line="240" w:lineRule="auto"/>
        <w:jc w:val="center"/>
      </w:pPr>
      <w:r>
        <w:drawing>
          <wp:inline xmlns:a="http://schemas.openxmlformats.org/drawingml/2006/main" xmlns:pic="http://schemas.openxmlformats.org/drawingml/2006/picture">
            <wp:extent cx="5486400" cy="3019550"/>
            <wp:docPr id="16" name="Picture 16"/>
            <wp:cNvGraphicFramePr>
              <a:graphicFrameLocks noChangeAspect="1"/>
            </wp:cNvGraphicFramePr>
            <a:graphic>
              <a:graphicData uri="http://schemas.openxmlformats.org/drawingml/2006/picture">
                <pic:pic>
                  <pic:nvPicPr>
                    <pic:cNvPr id="0" name="shot_code_attribution.png"/>
                    <pic:cNvPicPr/>
                  </pic:nvPicPr>
                  <pic:blipFill>
                    <a:blip r:embed="rId26"/>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16 — The attribution engine. Four models over the same journeys.</w:t>
      </w:r>
    </w:p>
    <w:p>
      <w:r>
        <w:t>The decision service is the part of Module 3 that changed most after the interim stage. Every recommendation is now written to an append-only log together with the probability it was taken under, and ten per cent of decisions are drawn at random on purpose. Without that, the log records only what the current policy already believes, and no alternative policy can be evaluated from it.</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17" name="Picture 17"/>
            <wp:cNvGraphicFramePr>
              <a:graphicFrameLocks noChangeAspect="1"/>
            </wp:cNvGraphicFramePr>
            <a:graphic>
              <a:graphicData uri="http://schemas.openxmlformats.org/drawingml/2006/picture">
                <pic:pic>
                  <pic:nvPicPr>
                    <pic:cNvPr id="0" name="shot_code_propensity.png"/>
                    <pic:cNvPicPr/>
                  </pic:nvPicPr>
                  <pic:blipFill>
                    <a:blip r:embed="rId27"/>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17 — Logging a decision with its propensity, and the deliberate exploration branch.</w:t>
      </w:r>
    </w:p>
    <w:p>
      <w:pPr>
        <w:pStyle w:val="Heading3"/>
      </w:pPr>
      <w:r>
        <w:t>6.4.4 Module 4 — AI Content Refinery</w:t>
      </w:r>
    </w:p>
    <w:p>
      <w:r>
        <w:t>The crawler (`crawler.py`) fetches and cleans the site; the capability detector reads whole path segments and host labels rather than substrings, for reasons Section 7.3.10 explains; `knowledge_base.py` builds the business summary; `goal_tone.py` trains and selects the classifiers; `generator.py` produces platform-specific assets; `evaluation.py` computes semantic similarity and platform suitability; `engagement.py` provides the engagement regressor; and `human_baseline.py` scores human-written copy through the same pipeline.</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18" name="Picture 18"/>
            <wp:cNvGraphicFramePr>
              <a:graphicFrameLocks noChangeAspect="1"/>
            </wp:cNvGraphicFramePr>
            <a:graphic>
              <a:graphicData uri="http://schemas.openxmlformats.org/drawingml/2006/picture">
                <pic:pic>
                  <pic:nvPicPr>
                    <pic:cNvPr id="0" name="shot_code_goal_tone.png"/>
                    <pic:cNvPicPr/>
                  </pic:nvPicPr>
                  <pic:blipFill>
                    <a:blip r:embed="rId28"/>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18 — Model selection in goal_tone.py. Both representations are trained on the same split and compared, not assumed.</w:t>
      </w:r>
    </w:p>
    <w:p>
      <w:r>
        <w:t>The engagement regressor is trained with an explicit leakage guard: the outcome components from which the target is derived are excluded from the feature set by name. The guard iterates a sorted sequence rather than a set, because an unordered iteration made column order depend on the process hash seed and the reported score wobble between runs — a reproducibility defect described in Section 6.7.</w:t>
      </w:r>
    </w:p>
    <w:p>
      <w:pPr>
        <w:pStyle w:val="Heading2"/>
      </w:pPr>
      <w:r>
        <w:t>6.5 Integrated Platform Implementation</w:t>
      </w:r>
    </w:p>
    <w:p>
      <w:r>
        <w:t>The FastAPI application exposes routers over the four modules, with module logic wrapped in a `services/` layer so that HTTP concerns never leak into research code. The database schema lives in `api/schema.sql`; the tracking snippet is served from `api/static/mos.js`. Tenant isolation is implemented as a single middleware covering every site-scoped route rather than a check repeated in each handler — an isolation check that must be remembered in twenty places will eventually be forgotten in one.</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19" name="Picture 19"/>
            <wp:cNvGraphicFramePr>
              <a:graphicFrameLocks noChangeAspect="1"/>
            </wp:cNvGraphicFramePr>
            <a:graphic>
              <a:graphicData uri="http://schemas.openxmlformats.org/drawingml/2006/picture">
                <pic:pic>
                  <pic:nvPicPr>
                    <pic:cNvPr id="0" name="shot_login.png"/>
                    <pic:cNvPicPr/>
                  </pic:nvPicPr>
                  <pic:blipFill>
                    <a:blip r:embed="rId29"/>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19 — Account creation, website registration and the snippet installation check.</w:t>
      </w:r>
    </w:p>
    <w:p>
      <w:r>
        <w:t>The dashboard is a Next.js application with seven authenticated pages. Every figure it renders carries a provenance badge derived from the rows behind it, so a reader can never mistake a dataset-derived chart for measured live behaviour.</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20" name="Picture 20"/>
            <wp:cNvGraphicFramePr>
              <a:graphicFrameLocks noChangeAspect="1"/>
            </wp:cNvGraphicFramePr>
            <a:graphic>
              <a:graphicData uri="http://schemas.openxmlformats.org/drawingml/2006/picture">
                <pic:pic>
                  <pic:nvPicPr>
                    <pic:cNvPr id="0" name="shot_dash_overview.png"/>
                    <pic:cNvPicPr/>
                  </pic:nvPicPr>
                  <pic:blipFill>
                    <a:blip r:embed="rId30"/>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20 — Dashboard, Overview page.</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21" name="Picture 21"/>
            <wp:cNvGraphicFramePr>
              <a:graphicFrameLocks noChangeAspect="1"/>
            </wp:cNvGraphicFramePr>
            <a:graphic>
              <a:graphicData uri="http://schemas.openxmlformats.org/drawingml/2006/picture">
                <pic:pic>
                  <pic:nvPicPr>
                    <pic:cNvPr id="0" name="shot_dash_audience.png"/>
                    <pic:cNvPicPr/>
                  </pic:nvPicPr>
                  <pic:blipFill>
                    <a:blip r:embed="rId31"/>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21 — Dashboard, Audience page: the five segments with sizes, conversion rates and calibrated confidence.</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22" name="Picture 22"/>
            <wp:cNvGraphicFramePr>
              <a:graphicFrameLocks noChangeAspect="1"/>
            </wp:cNvGraphicFramePr>
            <a:graphic>
              <a:graphicData uri="http://schemas.openxmlformats.org/drawingml/2006/picture">
                <pic:pic>
                  <pic:nvPicPr>
                    <pic:cNvPr id="0" name="shot_dash_campaigns.png"/>
                    <pic:cNvPicPr/>
                  </pic:nvPicPr>
                  <pic:blipFill>
                    <a:blip r:embed="rId32"/>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22 — Dashboard, Campaigns page: the three policies and their measured efficiency.</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23" name="Picture 23"/>
            <wp:cNvGraphicFramePr>
              <a:graphicFrameLocks noChangeAspect="1"/>
            </wp:cNvGraphicFramePr>
            <a:graphic>
              <a:graphicData uri="http://schemas.openxmlformats.org/drawingml/2006/picture">
                <pic:pic>
                  <pic:nvPicPr>
                    <pic:cNvPr id="0" name="shot_dash_analytics.png"/>
                    <pic:cNvPicPr/>
                  </pic:nvPicPr>
                  <pic:blipFill>
                    <a:blip r:embed="rId33"/>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23 — Dashboard, Analytics page: funnel, drop-off by segment and the four attribution models side by side.</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24" name="Picture 24"/>
            <wp:cNvGraphicFramePr>
              <a:graphicFrameLocks noChangeAspect="1"/>
            </wp:cNvGraphicFramePr>
            <a:graphic>
              <a:graphicData uri="http://schemas.openxmlformats.org/drawingml/2006/picture">
                <pic:pic>
                  <pic:nvPicPr>
                    <pic:cNvPr id="0" name="shot_dash_content.png"/>
                    <pic:cNvPicPr/>
                  </pic:nvPicPr>
                  <pic:blipFill>
                    <a:blip r:embed="rId34"/>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24 — Dashboard, Content page: generated assets with their component scores.</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25" name="Picture 25"/>
            <wp:cNvGraphicFramePr>
              <a:graphicFrameLocks noChangeAspect="1"/>
            </wp:cNvGraphicFramePr>
            <a:graphic>
              <a:graphicData uri="http://schemas.openxmlformats.org/drawingml/2006/picture">
                <pic:pic>
                  <pic:nvPicPr>
                    <pic:cNvPr id="0" name="shot_dash_plan.png"/>
                    <pic:cNvPicPr/>
                  </pic:nvPicPr>
                  <pic:blipFill>
                    <a:blip r:embed="rId35"/>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25 — Dashboard, Action Plan: who to contact, with what, on which platform, and why.</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26" name="Picture 26"/>
            <wp:cNvGraphicFramePr>
              <a:graphicFrameLocks noChangeAspect="1"/>
            </wp:cNvGraphicFramePr>
            <a:graphic>
              <a:graphicData uri="http://schemas.openxmlformats.org/drawingml/2006/picture">
                <pic:pic>
                  <pic:nvPicPr>
                    <pic:cNvPr id="0" name="shot_dash_research.png"/>
                    <pic:cNvPicPr/>
                  </pic:nvPicPr>
                  <pic:blipFill>
                    <a:blip r:embed="rId36"/>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26 — Dashboard, Research page. Generated at request time from disk and database, so it cannot drift from the system it describes.</w:t>
      </w:r>
    </w:p>
    <w:p>
      <w:r>
        <w:t>The whole system is reproducible from a clean checkout: `make setup` provisions dependencies, `make db` starts PostgreSQL, `make api`, `make web` and `make site` start the services, and `make demo` imports the audience and runs every module end to end.</w:t>
      </w:r>
    </w:p>
    <w:p>
      <w:pPr>
        <w:pStyle w:val="Heading2"/>
      </w:pPr>
      <w:r>
        <w:t>6.6 Research Infrastructure</w:t>
      </w:r>
    </w:p>
    <w:p>
      <w:r>
        <w:t>The experimental apparatus lives in `research/` and is the part of the implementation that makes Chapter 7 possible. Eleven experiments in `research/experiments/` each write their own CSV tables; `stats.py` provides the percentile bootstrap, the paired bootstrap with Wilcoxon signed-rank, exact McNemar, Wilson intervals and Cliff's delta; `figures.py` draws every figure from those tables; and `chapters.py` authors the prose once and renders it both to Markdown and into this report with the values interpolated.</w:t>
      </w:r>
    </w:p>
    <w:p>
      <w:pPr>
        <w:keepNext/>
        <w:keepLines/>
        <w:spacing w:before="360" w:after="120" w:line="240" w:lineRule="auto"/>
        <w:jc w:val="center"/>
      </w:pPr>
      <w:r>
        <w:drawing>
          <wp:inline xmlns:a="http://schemas.openxmlformats.org/drawingml/2006/main" xmlns:pic="http://schemas.openxmlformats.org/drawingml/2006/picture">
            <wp:extent cx="5486400" cy="2789352"/>
            <wp:docPr id="27" name="Picture 27"/>
            <wp:cNvGraphicFramePr>
              <a:graphicFrameLocks noChangeAspect="1"/>
            </wp:cNvGraphicFramePr>
            <a:graphic>
              <a:graphicData uri="http://schemas.openxmlformats.org/drawingml/2006/picture">
                <pic:pic>
                  <pic:nvPicPr>
                    <pic:cNvPr id="0" name="shot_code_experiment.png"/>
                    <pic:cNvPicPr/>
                  </pic:nvPicPr>
                  <pic:blipFill>
                    <a:blip r:embed="rId37"/>
                    <a:stretch>
                      <a:fillRect/>
                    </a:stretch>
                  </pic:blipFill>
                  <pic:spPr>
                    <a:xfrm>
                      <a:off x="0" y="0"/>
                      <a:ext cx="5486400" cy="2789352"/>
                    </a:xfrm>
                    <a:prstGeom prst="rect"/>
                  </pic:spPr>
                </pic:pic>
              </a:graphicData>
            </a:graphic>
          </wp:inline>
        </w:drawing>
      </w:r>
    </w:p>
    <w:p>
      <w:pPr>
        <w:pStyle w:val="Caption"/>
        <w:keepLines/>
        <w:spacing w:before="40" w:after="400" w:line="240" w:lineRule="auto"/>
      </w:pPr>
      <w:r>
        <w:rPr>
          <w:b w:val="0"/>
          <w:i w:val="0"/>
        </w:rPr>
        <w:t>Figure 27 — An experiment. Each writes its own tables; nothing is copied into the report by hand.</w:t>
      </w:r>
    </w:p>
    <w:p>
      <w:r>
        <w:t>A single command runs the lot. All randomness is seeded, confidence intervals use 10,000 bootstrap resamples and the policy comparison runs 30 independent seeds.</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28" name="Picture 28"/>
            <wp:cNvGraphicFramePr>
              <a:graphicFrameLocks noChangeAspect="1"/>
            </wp:cNvGraphicFramePr>
            <a:graphic>
              <a:graphicData uri="http://schemas.openxmlformats.org/drawingml/2006/picture">
                <pic:pic>
                  <pic:nvPicPr>
                    <pic:cNvPr id="0" name="shot_make_research.png"/>
                    <pic:cNvPicPr/>
                  </pic:nvPicPr>
                  <pic:blipFill>
                    <a:blip r:embed="rId38"/>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28 — `make research` completing all eleven experiments and regenerating every table, figure and chapter in Chapter 7.</w:t>
      </w:r>
    </w:p>
    <w:p>
      <w:r>
        <w:t>One implementation detail is worth recording because it caused a real defect. Module 2 and Module 3 both ship a top-level package named `src`, so importing them in the same process is ambiguous; `module_loader.py` exists to load each by explicit path rather than letting import order decide which one wins.</w:t>
      </w:r>
    </w:p>
    <w:p>
      <w:pPr>
        <w:pStyle w:val="Heading2"/>
      </w:pPr>
      <w:r>
        <w:t>6.7 Defects Identified and Corrected in the Research Code</w:t>
      </w:r>
    </w:p>
    <w:p>
      <w:r>
        <w:t>Converting the interim-stage notebooks into a running system, and then subjecting that system to its own experiments, exposed a series of defects in the project's own code. Each had produced results that looked good and were not valid. They are reported here in full because the corrected figures are the ones used throughout Chapter 7, and because the pattern they form — every one of them inflated a result, and none produced an error — is itself a finding.</w:t>
      </w:r>
    </w:p>
    <w:p>
      <w:pPr>
        <w:pStyle w:val="TableCaption"/>
      </w:pPr>
      <w:r>
        <w:rPr>
          <w:b w:val="0"/>
          <w:i w:val="0"/>
        </w:rPr>
        <w:t>Table 13 — Defects found in the research code, their effect and the correction applied.</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w:t>
            </w:r>
          </w:p>
        </w:tc>
        <w:tc>
          <w:tcPr>
            <w:tcW w:type="dxa" w:w="2167"/>
            <w:shd w:val="clear" w:color="auto" w:fill="E8EEF6"/>
          </w:tcPr>
          <w:p>
            <w:pPr>
              <w:spacing w:after="40" w:line="240" w:lineRule="auto"/>
              <w:jc w:val="center"/>
            </w:pPr>
            <w:r/>
            <w:r>
              <w:rPr>
                <w:b/>
                <w:sz w:val="20"/>
              </w:rPr>
              <w:t>Defect</w:t>
            </w:r>
          </w:p>
        </w:tc>
        <w:tc>
          <w:tcPr>
            <w:tcW w:type="dxa" w:w="2167"/>
            <w:shd w:val="clear" w:color="auto" w:fill="E8EEF6"/>
          </w:tcPr>
          <w:p>
            <w:pPr>
              <w:spacing w:after="40" w:line="240" w:lineRule="auto"/>
              <w:jc w:val="center"/>
            </w:pPr>
            <w:r/>
            <w:r>
              <w:rPr>
                <w:b/>
                <w:sz w:val="20"/>
              </w:rPr>
              <w:t>Effect on reported results</w:t>
            </w:r>
          </w:p>
        </w:tc>
        <w:tc>
          <w:tcPr>
            <w:tcW w:type="dxa" w:w="2167"/>
            <w:shd w:val="clear" w:color="auto" w:fill="E8EEF6"/>
          </w:tcPr>
          <w:p>
            <w:pPr>
              <w:spacing w:after="40" w:line="240" w:lineRule="auto"/>
              <w:jc w:val="center"/>
            </w:pPr>
            <w:r/>
            <w:r>
              <w:rPr>
                <w:b/>
                <w:sz w:val="20"/>
              </w:rPr>
              <w:t>Correction</w:t>
            </w:r>
          </w:p>
        </w:tc>
      </w:tr>
      <w:tr>
        <w:tc>
          <w:tcPr>
            <w:tcW w:type="dxa" w:w="2167"/>
          </w:tcPr>
          <w:p>
            <w:pPr>
              <w:spacing w:after="40" w:line="240" w:lineRule="auto"/>
              <w:jc w:val="left"/>
            </w:pPr>
            <w:r/>
            <w:r>
              <w:rPr>
                <w:b w:val="0"/>
                <w:sz w:val="20"/>
              </w:rPr>
              <w:t>D1</w:t>
            </w:r>
          </w:p>
        </w:tc>
        <w:tc>
          <w:tcPr>
            <w:tcW w:type="dxa" w:w="2167"/>
          </w:tcPr>
          <w:p>
            <w:pPr>
              <w:spacing w:after="40" w:line="240" w:lineRule="auto"/>
              <w:jc w:val="center"/>
            </w:pPr>
            <w:r/>
            <w:r>
              <w:rPr>
                <w:b w:val="0"/>
                <w:sz w:val="20"/>
              </w:rPr>
              <w:t>Module 1's confidence classifier was trained with the rule label among its inputs while the target was the hybrid consensus.</w:t>
            </w:r>
          </w:p>
        </w:tc>
        <w:tc>
          <w:tcPr>
            <w:tcW w:type="dxa" w:w="2167"/>
          </w:tcPr>
          <w:p>
            <w:pPr>
              <w:spacing w:after="40" w:line="240" w:lineRule="auto"/>
              <w:jc w:val="center"/>
            </w:pPr>
            <w:r/>
            <w:r>
              <w:rPr>
                <w:b w:val="0"/>
                <w:sz w:val="20"/>
              </w:rPr>
              <w:t>Certainty inflated by a factor of 150 — 450 customers at confidence 1.00 against 3 — while accuracy moved by 0.0013 (§7.3.2).</w:t>
            </w:r>
          </w:p>
        </w:tc>
        <w:tc>
          <w:tcPr>
            <w:tcW w:type="dxa" w:w="2167"/>
          </w:tcPr>
          <w:p>
            <w:pPr>
              <w:spacing w:after="40" w:line="240" w:lineRule="auto"/>
              <w:jc w:val="center"/>
            </w:pPr>
            <w:r/>
            <w:r>
              <w:rPr>
                <w:b w:val="0"/>
                <w:sz w:val="20"/>
              </w:rPr>
              <w:t>Rule label removed from the feature set; the honest accuracy and its interval reported instead.</w:t>
            </w:r>
          </w:p>
        </w:tc>
      </w:tr>
      <w:tr>
        <w:tc>
          <w:tcPr>
            <w:tcW w:type="dxa" w:w="2167"/>
          </w:tcPr>
          <w:p>
            <w:pPr>
              <w:spacing w:after="40" w:line="240" w:lineRule="auto"/>
              <w:jc w:val="left"/>
            </w:pPr>
            <w:r/>
            <w:r>
              <w:rPr>
                <w:b w:val="0"/>
                <w:sz w:val="20"/>
              </w:rPr>
              <w:t>D2</w:t>
            </w:r>
          </w:p>
        </w:tc>
        <w:tc>
          <w:tcPr>
            <w:tcW w:type="dxa" w:w="2167"/>
          </w:tcPr>
          <w:p>
            <w:pPr>
              <w:spacing w:after="40" w:line="240" w:lineRule="auto"/>
              <w:jc w:val="center"/>
            </w:pPr>
            <w:r/>
            <w:r>
              <w:rPr>
                <w:b w:val="0"/>
                <w:sz w:val="20"/>
              </w:rPr>
              <w:t>In the agreement vote, the clustering comparison was evaluated before the cold-start rule.</w:t>
            </w:r>
          </w:p>
        </w:tc>
        <w:tc>
          <w:tcPr>
            <w:tcW w:type="dxa" w:w="2167"/>
          </w:tcPr>
          <w:p>
            <w:pPr>
              <w:spacing w:after="40" w:line="240" w:lineRule="auto"/>
              <w:jc w:val="center"/>
            </w:pPr>
            <w:r/>
            <w:r>
              <w:rPr>
                <w:b w:val="0"/>
                <w:sz w:val="20"/>
              </w:rPr>
              <w:t>The cold-start segment lost 36 of 163 customers on the dataset and went to zero on the live audience — the module's novel contribution erased by its own pipeline.</w:t>
            </w:r>
          </w:p>
        </w:tc>
        <w:tc>
          <w:tcPr>
            <w:tcW w:type="dxa" w:w="2167"/>
          </w:tcPr>
          <w:p>
            <w:pPr>
              <w:spacing w:after="40" w:line="240" w:lineRule="auto"/>
              <w:jc w:val="center"/>
            </w:pPr>
            <w:r/>
            <w:r>
              <w:rPr>
                <w:b w:val="0"/>
                <w:sz w:val="20"/>
              </w:rPr>
              <w:t>Cold start resolved immediately after unanimity, with a regression test.</w:t>
            </w:r>
          </w:p>
        </w:tc>
      </w:tr>
      <w:tr>
        <w:tc>
          <w:tcPr>
            <w:tcW w:type="dxa" w:w="2167"/>
          </w:tcPr>
          <w:p>
            <w:pPr>
              <w:spacing w:after="40" w:line="240" w:lineRule="auto"/>
              <w:jc w:val="left"/>
            </w:pPr>
            <w:r/>
            <w:r>
              <w:rPr>
                <w:b w:val="0"/>
                <w:sz w:val="20"/>
              </w:rPr>
              <w:t>D3</w:t>
            </w:r>
          </w:p>
        </w:tc>
        <w:tc>
          <w:tcPr>
            <w:tcW w:type="dxa" w:w="2167"/>
          </w:tcPr>
          <w:p>
            <w:pPr>
              <w:spacing w:after="40" w:line="240" w:lineRule="auto"/>
              <w:jc w:val="center"/>
            </w:pPr>
            <w:r/>
            <w:r>
              <w:rPr>
                <w:b w:val="0"/>
                <w:sz w:val="20"/>
              </w:rPr>
              <w:t>Cluster names were hardcoded to cluster indices.</w:t>
            </w:r>
          </w:p>
        </w:tc>
        <w:tc>
          <w:tcPr>
            <w:tcW w:type="dxa" w:w="2167"/>
          </w:tcPr>
          <w:p>
            <w:pPr>
              <w:spacing w:after="40" w:line="240" w:lineRule="auto"/>
              <w:jc w:val="center"/>
            </w:pPr>
            <w:r/>
            <w:r>
              <w:rPr>
                <w:b w:val="0"/>
                <w:sz w:val="20"/>
              </w:rPr>
              <w:t>Names were correct for one dataset and one random seed, and arbitrary for any other audience.</w:t>
            </w:r>
          </w:p>
        </w:tc>
        <w:tc>
          <w:tcPr>
            <w:tcW w:type="dxa" w:w="2167"/>
          </w:tcPr>
          <w:p>
            <w:pPr>
              <w:spacing w:after="40" w:line="240" w:lineRule="auto"/>
              <w:jc w:val="center"/>
            </w:pPr>
            <w:r/>
            <w:r>
              <w:rPr>
                <w:b w:val="0"/>
                <w:sz w:val="20"/>
              </w:rPr>
              <w:t>Names derived from cluster centroids at run time.</w:t>
            </w:r>
          </w:p>
        </w:tc>
      </w:tr>
      <w:tr>
        <w:tc>
          <w:tcPr>
            <w:tcW w:type="dxa" w:w="2167"/>
          </w:tcPr>
          <w:p>
            <w:pPr>
              <w:spacing w:after="40" w:line="240" w:lineRule="auto"/>
              <w:jc w:val="left"/>
            </w:pPr>
            <w:r/>
            <w:r>
              <w:rPr>
                <w:b w:val="0"/>
                <w:sz w:val="20"/>
              </w:rPr>
              <w:t>D4</w:t>
            </w:r>
          </w:p>
        </w:tc>
        <w:tc>
          <w:tcPr>
            <w:tcW w:type="dxa" w:w="2167"/>
          </w:tcPr>
          <w:p>
            <w:pPr>
              <w:spacing w:after="40" w:line="240" w:lineRule="auto"/>
              <w:jc w:val="center"/>
            </w:pPr>
            <w:r/>
            <w:r>
              <w:rPr>
                <w:b w:val="0"/>
                <w:sz w:val="20"/>
              </w:rPr>
              <w:t>Module 4's engagement regressor retained the outcome components from which its target was derived.</w:t>
            </w:r>
          </w:p>
        </w:tc>
        <w:tc>
          <w:tcPr>
            <w:tcW w:type="dxa" w:w="2167"/>
          </w:tcPr>
          <w:p>
            <w:pPr>
              <w:spacing w:after="40" w:line="240" w:lineRule="auto"/>
              <w:jc w:val="center"/>
            </w:pPr>
            <w:r/>
            <w:r>
              <w:rPr>
                <w:b w:val="0"/>
                <w:sz w:val="20"/>
              </w:rPr>
              <w:t>R² of 0.9901 was entirely leakage; the corrected value is −0.168 (§7.3.7).</w:t>
            </w:r>
          </w:p>
        </w:tc>
        <w:tc>
          <w:tcPr>
            <w:tcW w:type="dxa" w:w="2167"/>
          </w:tcPr>
          <w:p>
            <w:pPr>
              <w:spacing w:after="40" w:line="240" w:lineRule="auto"/>
              <w:jc w:val="center"/>
            </w:pPr>
            <w:r/>
            <w:r>
              <w:rPr>
                <w:b w:val="0"/>
                <w:sz w:val="20"/>
              </w:rPr>
              <w:t>Leakage guard by feature name; the model's weight in content scoring reduced from 0.45 to 0.20.</w:t>
            </w:r>
          </w:p>
        </w:tc>
      </w:tr>
      <w:tr>
        <w:tc>
          <w:tcPr>
            <w:tcW w:type="dxa" w:w="2167"/>
          </w:tcPr>
          <w:p>
            <w:pPr>
              <w:spacing w:after="40" w:line="240" w:lineRule="auto"/>
              <w:jc w:val="left"/>
            </w:pPr>
            <w:r/>
            <w:r>
              <w:rPr>
                <w:b w:val="0"/>
                <w:sz w:val="20"/>
              </w:rPr>
              <w:t>D5</w:t>
            </w:r>
          </w:p>
        </w:tc>
        <w:tc>
          <w:tcPr>
            <w:tcW w:type="dxa" w:w="2167"/>
          </w:tcPr>
          <w:p>
            <w:pPr>
              <w:spacing w:after="40" w:line="240" w:lineRule="auto"/>
              <w:jc w:val="center"/>
            </w:pPr>
            <w:r/>
            <w:r>
              <w:rPr>
                <w:b w:val="0"/>
                <w:sz w:val="20"/>
              </w:rPr>
              <w:t>The goal/tone corpus required a row to clear the confidence threshold for both targets, although the two classifiers train independently.</w:t>
            </w:r>
          </w:p>
        </w:tc>
        <w:tc>
          <w:tcPr>
            <w:tcW w:type="dxa" w:w="2167"/>
          </w:tcPr>
          <w:p>
            <w:pPr>
              <w:spacing w:after="40" w:line="240" w:lineRule="auto"/>
              <w:jc w:val="center"/>
            </w:pPr>
            <w:r/>
            <w:r>
              <w:rPr>
                <w:b w:val="0"/>
                <w:sz w:val="20"/>
              </w:rPr>
              <w:t>The usable corpus was reduced from 527 rows to 114.</w:t>
            </w:r>
          </w:p>
        </w:tc>
        <w:tc>
          <w:tcPr>
            <w:tcW w:type="dxa" w:w="2167"/>
          </w:tcPr>
          <w:p>
            <w:pPr>
              <w:spacing w:after="40" w:line="240" w:lineRule="auto"/>
              <w:jc w:val="center"/>
            </w:pPr>
            <w:r/>
            <w:r>
              <w:rPr>
                <w:b w:val="0"/>
                <w:sz w:val="20"/>
              </w:rPr>
              <w:t>Per-target filtering, restoring the full corpus.</w:t>
            </w:r>
          </w:p>
        </w:tc>
      </w:tr>
      <w:tr>
        <w:tc>
          <w:tcPr>
            <w:tcW w:type="dxa" w:w="2167"/>
          </w:tcPr>
          <w:p>
            <w:pPr>
              <w:spacing w:after="40" w:line="240" w:lineRule="auto"/>
              <w:jc w:val="left"/>
            </w:pPr>
            <w:r/>
            <w:r>
              <w:rPr>
                <w:b w:val="0"/>
                <w:sz w:val="20"/>
              </w:rPr>
              <w:t>D6</w:t>
            </w:r>
          </w:p>
        </w:tc>
        <w:tc>
          <w:tcPr>
            <w:tcW w:type="dxa" w:w="2167"/>
          </w:tcPr>
          <w:p>
            <w:pPr>
              <w:spacing w:after="40" w:line="240" w:lineRule="auto"/>
              <w:jc w:val="center"/>
            </w:pPr>
            <w:r/>
            <w:r>
              <w:rPr>
                <w:b w:val="0"/>
                <w:sz w:val="20"/>
              </w:rPr>
              <w:t>The `shorts` platform declared a video visual type but defined no visual options.</w:t>
            </w:r>
          </w:p>
        </w:tc>
        <w:tc>
          <w:tcPr>
            <w:tcW w:type="dxa" w:w="2167"/>
          </w:tcPr>
          <w:p>
            <w:pPr>
              <w:spacing w:after="40" w:line="240" w:lineRule="auto"/>
              <w:jc w:val="center"/>
            </w:pPr>
            <w:r/>
            <w:r>
              <w:rPr>
                <w:b w:val="0"/>
                <w:sz w:val="20"/>
              </w:rPr>
              <w:t>The selector silently returned a static image brief.</w:t>
            </w:r>
          </w:p>
        </w:tc>
        <w:tc>
          <w:tcPr>
            <w:tcW w:type="dxa" w:w="2167"/>
          </w:tcPr>
          <w:p>
            <w:pPr>
              <w:spacing w:after="40" w:line="240" w:lineRule="auto"/>
              <w:jc w:val="center"/>
            </w:pPr>
            <w:r/>
            <w:r>
              <w:rPr>
                <w:b w:val="0"/>
                <w:sz w:val="20"/>
              </w:rPr>
              <w:t>Visual options defined; the selector asserts the declared type is satisfiable.</w:t>
            </w:r>
          </w:p>
        </w:tc>
      </w:tr>
      <w:tr>
        <w:tc>
          <w:tcPr>
            <w:tcW w:type="dxa" w:w="2167"/>
          </w:tcPr>
          <w:p>
            <w:pPr>
              <w:spacing w:after="40" w:line="240" w:lineRule="auto"/>
              <w:jc w:val="left"/>
            </w:pPr>
            <w:r/>
            <w:r>
              <w:rPr>
                <w:b w:val="0"/>
                <w:sz w:val="20"/>
              </w:rPr>
              <w:t>D7</w:t>
            </w:r>
          </w:p>
        </w:tc>
        <w:tc>
          <w:tcPr>
            <w:tcW w:type="dxa" w:w="2167"/>
          </w:tcPr>
          <w:p>
            <w:pPr>
              <w:spacing w:after="40" w:line="240" w:lineRule="auto"/>
              <w:jc w:val="center"/>
            </w:pPr>
            <w:r/>
            <w:r>
              <w:rPr>
                <w:b w:val="0"/>
                <w:sz w:val="20"/>
              </w:rPr>
              <w:t>The engagement leakage guard iterated a Python `set`, so column order depended on the process hash seed.</w:t>
            </w:r>
          </w:p>
        </w:tc>
        <w:tc>
          <w:tcPr>
            <w:tcW w:type="dxa" w:w="2167"/>
          </w:tcPr>
          <w:p>
            <w:pPr>
              <w:spacing w:after="40" w:line="240" w:lineRule="auto"/>
              <w:jc w:val="center"/>
            </w:pPr>
            <w:r/>
            <w:r>
              <w:rPr>
                <w:b w:val="0"/>
                <w:sz w:val="20"/>
              </w:rPr>
              <w:t>The reported R² wobbled between 0.9898 and 0.99 across processes — a result that could not be reproduced exactly.</w:t>
            </w:r>
          </w:p>
        </w:tc>
        <w:tc>
          <w:tcPr>
            <w:tcW w:type="dxa" w:w="2167"/>
          </w:tcPr>
          <w:p>
            <w:pPr>
              <w:spacing w:after="40" w:line="240" w:lineRule="auto"/>
              <w:jc w:val="center"/>
            </w:pPr>
            <w:r/>
            <w:r>
              <w:rPr>
                <w:b w:val="0"/>
                <w:sz w:val="20"/>
              </w:rPr>
              <w:t>Sorted iteration, with a subprocess test that varies PYTHONHASHSEED.</w:t>
            </w:r>
          </w:p>
        </w:tc>
      </w:tr>
    </w:tbl>
    <w:p>
      <w:pPr>
        <w:spacing w:after="120"/>
      </w:pPr>
    </w:p>
    <w:p>
      <w:r>
        <w:t xml:space="preserve">Two environment faults were also diagnosed and fixed. The first was a macOS </w:t>
      </w:r>
      <w:r>
        <w:rPr>
          <w:b/>
        </w:rPr>
        <w:t>OpenMP conflict</w:t>
      </w:r>
      <w:r>
        <w:t xml:space="preserve">: XGBoost and PyTorch each bundle their own `libomp`, and fitting or predicting with XGBoost while PyTorch was loaded terminated the process with exit code 139 and no traceback, killing training runs, the test suite and API workers. Only constraining OpenMP to a single thread resolved it, and a guard module is imported first in every entry point. The second was a </w:t>
      </w:r>
      <w:r>
        <w:rPr>
          <w:b/>
        </w:rPr>
        <w:t>character-encoding fault</w:t>
      </w:r>
      <w:r>
        <w:t xml:space="preserve"> in the crawler: the HTTP library defaults to ISO-8859-1 for `text/html` when the response header omits a charset, which corrupted every non-ASCII character in a client's marketing copy before it reached the content generator.</w:t>
      </w:r>
    </w:p>
    <w:p>
      <w:pPr>
        <w:pStyle w:val="NoteBox"/>
      </w:pPr>
      <w:r>
        <w:t>The defects share a signature: each made a result better than it truly was, and none produced an error message. D1 is the sharpest case — it barely moved accuracy while multiplying certainty by 150, so every test stayed green and the only symptom was a confidence column that looked impressive. That is why the integrity mechanisms of Section 5.5 were designed into the system rather than left as good intentions.</w:t>
      </w:r>
    </w:p>
    <w:p>
      <w:pPr>
        <w:pStyle w:val="Heading2"/>
      </w:pPr>
      <w:r>
        <w:t>6.8 Testing and Reproducibility</w:t>
      </w:r>
    </w:p>
    <w:p>
      <w:r>
        <w:t xml:space="preserve">The automated suite comprises </w:t>
      </w:r>
      <w:r>
        <w:rPr>
          <w:b/>
        </w:rPr>
        <w:t>260 collected tests</w:t>
      </w:r>
      <w:r>
        <w:t xml:space="preserve"> across the platform, Module 3 and the research layer, covering data contracts, API behaviour, tracking, segmentation, campaign actions, the action catalogue, decision logging, content generation, authentication, tenant isolation, the research importer, the statistics functions and the experiments themselves.</w:t>
      </w:r>
    </w:p>
    <w:p>
      <w:pPr>
        <w:keepNext/>
        <w:keepLines/>
        <w:spacing w:before="360" w:after="120" w:line="240" w:lineRule="auto"/>
        <w:jc w:val="center"/>
      </w:pPr>
      <w:r>
        <w:drawing>
          <wp:inline xmlns:a="http://schemas.openxmlformats.org/drawingml/2006/main" xmlns:pic="http://schemas.openxmlformats.org/drawingml/2006/picture">
            <wp:extent cx="5486400" cy="3019550"/>
            <wp:docPr id="29" name="Picture 29"/>
            <wp:cNvGraphicFramePr>
              <a:graphicFrameLocks noChangeAspect="1"/>
            </wp:cNvGraphicFramePr>
            <a:graphic>
              <a:graphicData uri="http://schemas.openxmlformats.org/drawingml/2006/picture">
                <pic:pic>
                  <pic:nvPicPr>
                    <pic:cNvPr id="0" name="shot_make_test.png"/>
                    <pic:cNvPicPr/>
                  </pic:nvPicPr>
                  <pic:blipFill>
                    <a:blip r:embed="rId39"/>
                    <a:stretch>
                      <a:fillRect/>
                    </a:stretch>
                  </pic:blipFill>
                  <pic:spPr>
                    <a:xfrm>
                      <a:off x="0" y="0"/>
                      <a:ext cx="5486400" cy="3019550"/>
                    </a:xfrm>
                    <a:prstGeom prst="rect"/>
                  </pic:spPr>
                </pic:pic>
              </a:graphicData>
            </a:graphic>
          </wp:inline>
        </w:drawing>
      </w:r>
    </w:p>
    <w:p>
      <w:pPr>
        <w:pStyle w:val="Caption"/>
        <w:keepLines/>
        <w:spacing w:before="40" w:after="400" w:line="240" w:lineRule="auto"/>
      </w:pPr>
      <w:r>
        <w:rPr>
          <w:b w:val="0"/>
          <w:i w:val="0"/>
        </w:rPr>
        <w:t>Figure 29 — The test suite passing.</w:t>
      </w:r>
    </w:p>
    <w:p>
      <w:pPr>
        <w:pStyle w:val="TableCaption"/>
      </w:pPr>
      <w:r>
        <w:rPr>
          <w:b w:val="0"/>
          <w:i w:val="0"/>
        </w:rPr>
        <w:t>Table 14 — What the structural tests protect.</w:t>
      </w:r>
    </w:p>
    <w:tbl>
      <w:tblPr>
        <w:tblStyle w:val="TableGrid"/>
        <w:tblW w:type="auto" w:w="0"/>
        <w:jc w:val="center"/>
        <w:tblLayout w:type="autofit"/>
        <w:tblLook w:firstColumn="1" w:firstRow="1" w:lastColumn="0" w:lastRow="0" w:noHBand="0" w:noVBand="1" w:val="04A0"/>
      </w:tblPr>
      <w:tblGrid>
        <w:gridCol w:w="4334"/>
        <w:gridCol w:w="4334"/>
      </w:tblGrid>
      <w:tr>
        <w:trPr>
          <w:tblHeader w:val="true"/>
        </w:trPr>
        <w:tc>
          <w:tcPr>
            <w:tcW w:type="dxa" w:w="4334"/>
            <w:shd w:val="clear" w:color="auto" w:fill="E8EEF6"/>
          </w:tcPr>
          <w:p>
            <w:pPr>
              <w:spacing w:after="40" w:line="240" w:lineRule="auto"/>
              <w:jc w:val="center"/>
            </w:pPr>
            <w:r/>
            <w:r>
              <w:rPr>
                <w:b/>
                <w:sz w:val="20"/>
              </w:rPr>
              <w:t>Test</w:t>
            </w:r>
          </w:p>
        </w:tc>
        <w:tc>
          <w:tcPr>
            <w:tcW w:type="dxa" w:w="4334"/>
            <w:shd w:val="clear" w:color="auto" w:fill="E8EEF6"/>
          </w:tcPr>
          <w:p>
            <w:pPr>
              <w:spacing w:after="40" w:line="240" w:lineRule="auto"/>
              <w:jc w:val="center"/>
            </w:pPr>
            <w:r/>
            <w:r>
              <w:rPr>
                <w:b/>
                <w:sz w:val="20"/>
              </w:rPr>
              <w:t>Property protected</w:t>
            </w:r>
          </w:p>
        </w:tc>
      </w:tr>
      <w:tr>
        <w:tc>
          <w:tcPr>
            <w:tcW w:type="dxa" w:w="4334"/>
          </w:tcPr>
          <w:p>
            <w:pPr>
              <w:spacing w:after="40" w:line="240" w:lineRule="auto"/>
              <w:jc w:val="left"/>
            </w:pPr>
            <w:r/>
            <w:r>
              <w:rPr>
                <w:b w:val="0"/>
                <w:sz w:val="20"/>
              </w:rPr>
              <w:t>Provenance guard</w:t>
            </w:r>
          </w:p>
        </w:tc>
        <w:tc>
          <w:tcPr>
            <w:tcW w:type="dxa" w:w="4334"/>
          </w:tcPr>
          <w:p>
            <w:pPr>
              <w:spacing w:after="40" w:line="240" w:lineRule="auto"/>
              <w:jc w:val="center"/>
            </w:pPr>
            <w:r/>
            <w:r>
              <w:rPr>
                <w:b w:val="0"/>
                <w:sz w:val="20"/>
              </w:rPr>
              <w:t>A dataset-derived customer can never produce a row claiming live observation.</w:t>
            </w:r>
          </w:p>
        </w:tc>
      </w:tr>
      <w:tr>
        <w:tc>
          <w:tcPr>
            <w:tcW w:type="dxa" w:w="4334"/>
          </w:tcPr>
          <w:p>
            <w:pPr>
              <w:spacing w:after="40" w:line="240" w:lineRule="auto"/>
              <w:jc w:val="left"/>
            </w:pPr>
            <w:r/>
            <w:r>
              <w:rPr>
                <w:b w:val="0"/>
                <w:sz w:val="20"/>
              </w:rPr>
              <w:t>Import fidelity</w:t>
            </w:r>
          </w:p>
        </w:tc>
        <w:tc>
          <w:tcPr>
            <w:tcW w:type="dxa" w:w="4334"/>
          </w:tcPr>
          <w:p>
            <w:pPr>
              <w:spacing w:after="40" w:line="240" w:lineRule="auto"/>
              <w:jc w:val="center"/>
            </w:pPr>
            <w:r/>
            <w:r>
              <w:rPr>
                <w:b w:val="0"/>
                <w:sz w:val="20"/>
              </w:rPr>
              <w:t>Every preserved total matches the source CSV, and a re-import is byte-identical.</w:t>
            </w:r>
          </w:p>
        </w:tc>
      </w:tr>
      <w:tr>
        <w:tc>
          <w:tcPr>
            <w:tcW w:type="dxa" w:w="4334"/>
          </w:tcPr>
          <w:p>
            <w:pPr>
              <w:spacing w:after="40" w:line="240" w:lineRule="auto"/>
              <w:jc w:val="left"/>
            </w:pPr>
            <w:r/>
            <w:r>
              <w:rPr>
                <w:b w:val="0"/>
                <w:sz w:val="20"/>
              </w:rPr>
              <w:t>Numeric serialisation walk</w:t>
            </w:r>
          </w:p>
        </w:tc>
        <w:tc>
          <w:tcPr>
            <w:tcW w:type="dxa" w:w="4334"/>
          </w:tcPr>
          <w:p>
            <w:pPr>
              <w:spacing w:after="40" w:line="240" w:lineRule="auto"/>
              <w:jc w:val="center"/>
            </w:pPr>
            <w:r/>
            <w:r>
              <w:rPr>
                <w:b w:val="0"/>
                <w:sz w:val="20"/>
              </w:rPr>
              <w:t>Every API response returns numbers as numbers; PostgreSQL NUMERIC values reached the dashboard as JSON strings twice before this test existed.</w:t>
            </w:r>
          </w:p>
        </w:tc>
      </w:tr>
      <w:tr>
        <w:tc>
          <w:tcPr>
            <w:tcW w:type="dxa" w:w="4334"/>
          </w:tcPr>
          <w:p>
            <w:pPr>
              <w:spacing w:after="40" w:line="240" w:lineRule="auto"/>
              <w:jc w:val="left"/>
            </w:pPr>
            <w:r/>
            <w:r>
              <w:rPr>
                <w:b w:val="0"/>
                <w:sz w:val="20"/>
              </w:rPr>
              <w:t>Two-account isolation</w:t>
            </w:r>
          </w:p>
        </w:tc>
        <w:tc>
          <w:tcPr>
            <w:tcW w:type="dxa" w:w="4334"/>
          </w:tcPr>
          <w:p>
            <w:pPr>
              <w:spacing w:after="40" w:line="240" w:lineRule="auto"/>
              <w:jc w:val="center"/>
            </w:pPr>
            <w:r/>
            <w:r>
              <w:rPr>
                <w:b w:val="0"/>
                <w:sz w:val="20"/>
              </w:rPr>
              <w:t>One account probing another's site receives 404, not 403.</w:t>
            </w:r>
          </w:p>
        </w:tc>
      </w:tr>
      <w:tr>
        <w:tc>
          <w:tcPr>
            <w:tcW w:type="dxa" w:w="4334"/>
          </w:tcPr>
          <w:p>
            <w:pPr>
              <w:spacing w:after="40" w:line="240" w:lineRule="auto"/>
              <w:jc w:val="left"/>
            </w:pPr>
            <w:r/>
            <w:r>
              <w:rPr>
                <w:b w:val="0"/>
                <w:sz w:val="20"/>
              </w:rPr>
              <w:t>Hash-seed reproducibility</w:t>
            </w:r>
          </w:p>
        </w:tc>
        <w:tc>
          <w:tcPr>
            <w:tcW w:type="dxa" w:w="4334"/>
          </w:tcPr>
          <w:p>
            <w:pPr>
              <w:spacing w:after="40" w:line="240" w:lineRule="auto"/>
              <w:jc w:val="center"/>
            </w:pPr>
            <w:r/>
            <w:r>
              <w:rPr>
                <w:b w:val="0"/>
                <w:sz w:val="20"/>
              </w:rPr>
              <w:t>A subprocess run under a different PYTHONHASHSEED produces the same engagement result (defect D7).</w:t>
            </w:r>
          </w:p>
        </w:tc>
      </w:tr>
      <w:tr>
        <w:tc>
          <w:tcPr>
            <w:tcW w:type="dxa" w:w="4334"/>
          </w:tcPr>
          <w:p>
            <w:pPr>
              <w:spacing w:after="40" w:line="240" w:lineRule="auto"/>
              <w:jc w:val="left"/>
            </w:pPr>
            <w:r/>
            <w:r>
              <w:rPr>
                <w:b w:val="0"/>
                <w:sz w:val="20"/>
              </w:rPr>
              <w:t>One regression test per defect</w:t>
            </w:r>
          </w:p>
        </w:tc>
        <w:tc>
          <w:tcPr>
            <w:tcW w:type="dxa" w:w="4334"/>
          </w:tcPr>
          <w:p>
            <w:pPr>
              <w:spacing w:after="40" w:line="240" w:lineRule="auto"/>
              <w:jc w:val="center"/>
            </w:pPr>
            <w:r/>
            <w:r>
              <w:rPr>
                <w:b w:val="0"/>
                <w:sz w:val="20"/>
              </w:rPr>
              <w:t>Each row of Table 13 has a test that fails if the defect returns.</w:t>
            </w:r>
          </w:p>
        </w:tc>
      </w:tr>
    </w:tbl>
    <w:p>
      <w:pPr>
        <w:spacing w:after="120"/>
      </w:pPr>
    </w:p>
    <w:p>
      <w:pPr>
        <w:pStyle w:val="Heading2"/>
      </w:pPr>
      <w:r>
        <w:t>6.9 Summary</w:t>
      </w:r>
    </w:p>
    <w:p>
      <w:r>
        <w:t>All four modules are implemented, integrated behind a single API over a shared PostgreSQL database, exercised by 260 automated tests and reproducible from a clean checkout with a small number of commands. Seven defects in the research code were identified and corrected, each with a regression test, and the corrected figures are the ones evaluated in Chapter 7.</w:t>
      </w:r>
    </w:p>
    <w:p>
      <w:r>
        <w:br w:type="page"/>
      </w:r>
    </w:p>
    <w:p>
      <w:pPr>
        <w:pStyle w:val="Heading1"/>
      </w:pPr>
      <w:r>
        <w:t>CHAPTER 7 — EVALUATION</w:t>
      </w:r>
    </w:p>
    <w:p>
      <w:r>
        <w:t>This chapter is generated from the measured results. Every number, table and figure in it is produced by an experiment in `research/experiments/` and written to `research/results/results.json`; the prose is authored once in `research/chapters.py` and rendered into this report with the values interpolated. Re-running `make research` regenerates the whole chapter, so no figure here can drift away from the number it plots.</w:t>
      </w:r>
    </w:p>
    <w:p>
      <w:pPr>
        <w:pStyle w:val="Heading2"/>
      </w:pPr>
      <w:r>
        <w:t>7.1 Research Methodology</w:t>
      </w:r>
    </w:p>
    <w:p>
      <w:pPr>
        <w:pStyle w:val="Heading3"/>
      </w:pPr>
      <w:r>
        <w:t>7.1.1 What is being studied</w:t>
      </w:r>
    </w:p>
    <w:p>
      <w:r>
        <w:t>This project builds a closed-loop marketing framework for newly launched products, where almost no behavioural history exists. Four modules act on one audience: segmentation, campaign automation, analytics and decision support, and content generation. Each module was developed separately and evaluated on its own; the contribution of this stage of the work is that they now run as one system over a single audience, and that every claim about them is reproducible from one command.</w:t>
      </w:r>
    </w:p>
    <w:p>
      <w:pPr>
        <w:pStyle w:val="Heading3"/>
      </w:pPr>
      <w:r>
        <w:t>7.1.2 The audience, and what it is made of</w:t>
      </w:r>
    </w:p>
    <w:p>
      <w:r>
        <w:t xml:space="preserve">The study audience is the </w:t>
      </w:r>
      <w:r>
        <w:rPr>
          <w:b/>
        </w:rPr>
        <w:t>Digital Marketing Campaign</w:t>
      </w:r>
      <w:r>
        <w:t xml:space="preserve"> dataset — 8,000 customers with recorded website behaviour, email engagement, purchase history and a conversion outcome. Those customers are imported as the customer base of a demonstration e-commerce store, so that the same audience flows through all four modules exactly as a real one would.</w:t>
      </w:r>
    </w:p>
    <w:p>
      <w:r>
        <w:t xml:space="preserve">This is the single most important methodological point in the project, and it must be stated before any result is quoted. The dataset is real: real people, whose behaviour was really measured. But it was measured as </w:t>
      </w:r>
      <w:r>
        <w:rPr>
          <w:b/>
        </w:rPr>
        <w:t>per-customer totals</w:t>
      </w:r>
      <w:r>
        <w:t xml:space="preserve"> — 25 website visits, 5.5 pages per visit, 9 email opens — and not as an event log. Nobody recorded when visit 14 happened or which page it was.</w:t>
      </w:r>
    </w:p>
    <w:p>
      <w:pPr>
        <w:pStyle w:val="TableCaption"/>
      </w:pPr>
      <w:r>
        <w:rPr>
          <w:b w:val="0"/>
          <w:i w:val="0"/>
        </w:rPr>
        <w:t>Table 15 — What is measured data and what is reconstructed by the importer.</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Quantity</w:t>
            </w:r>
          </w:p>
        </w:tc>
        <w:tc>
          <w:tcPr>
            <w:tcW w:type="dxa" w:w="2890"/>
            <w:shd w:val="clear" w:color="auto" w:fill="E8EEF6"/>
          </w:tcPr>
          <w:p>
            <w:pPr>
              <w:spacing w:after="40" w:line="240" w:lineRule="auto"/>
              <w:jc w:val="center"/>
            </w:pPr>
            <w:r/>
            <w:r>
              <w:rPr>
                <w:b/>
                <w:sz w:val="20"/>
              </w:rPr>
              <w:t>Status</w:t>
            </w:r>
          </w:p>
        </w:tc>
        <w:tc>
          <w:tcPr>
            <w:tcW w:type="dxa" w:w="2890"/>
            <w:shd w:val="clear" w:color="auto" w:fill="E8EEF6"/>
          </w:tcPr>
          <w:p>
            <w:pPr>
              <w:spacing w:after="40" w:line="240" w:lineRule="auto"/>
              <w:jc w:val="center"/>
            </w:pPr>
            <w:r/>
            <w:r>
              <w:rPr>
                <w:b/>
                <w:sz w:val="20"/>
              </w:rPr>
              <w:t>Source</w:t>
            </w:r>
          </w:p>
        </w:tc>
      </w:tr>
      <w:tr>
        <w:tc>
          <w:tcPr>
            <w:tcW w:type="dxa" w:w="2890"/>
          </w:tcPr>
          <w:p>
            <w:pPr>
              <w:spacing w:after="40" w:line="240" w:lineRule="auto"/>
              <w:jc w:val="left"/>
            </w:pPr>
            <w:r/>
            <w:r>
              <w:rPr>
                <w:b w:val="0"/>
                <w:sz w:val="20"/>
              </w:rPr>
              <w:t>Sessions, page views, time on site</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WebsiteVisits, PagesPerVisit, TimeOnSite</w:t>
            </w:r>
          </w:p>
        </w:tc>
      </w:tr>
      <w:tr>
        <w:tc>
          <w:tcPr>
            <w:tcW w:type="dxa" w:w="2890"/>
          </w:tcPr>
          <w:p>
            <w:pPr>
              <w:spacing w:after="40" w:line="240" w:lineRule="auto"/>
              <w:jc w:val="left"/>
            </w:pPr>
            <w:r/>
            <w:r>
              <w:rPr>
                <w:b w:val="0"/>
                <w:sz w:val="20"/>
              </w:rPr>
              <w:t>On-site clicks</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ClickThroughRate × page views</w:t>
            </w:r>
          </w:p>
        </w:tc>
      </w:tr>
      <w:tr>
        <w:tc>
          <w:tcPr>
            <w:tcW w:type="dxa" w:w="2890"/>
          </w:tcPr>
          <w:p>
            <w:pPr>
              <w:spacing w:after="40" w:line="240" w:lineRule="auto"/>
              <w:jc w:val="left"/>
            </w:pPr>
            <w:r/>
            <w:r>
              <w:rPr>
                <w:b w:val="0"/>
                <w:sz w:val="20"/>
              </w:rPr>
              <w:t>Purchases</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PreviousPurchases</w:t>
            </w:r>
          </w:p>
        </w:tc>
      </w:tr>
      <w:tr>
        <w:tc>
          <w:tcPr>
            <w:tcW w:type="dxa" w:w="2890"/>
          </w:tcPr>
          <w:p>
            <w:pPr>
              <w:spacing w:after="40" w:line="240" w:lineRule="auto"/>
              <w:jc w:val="left"/>
            </w:pPr>
            <w:r/>
            <w:r>
              <w:rPr>
                <w:b w:val="0"/>
                <w:sz w:val="20"/>
              </w:rPr>
              <w:t>Email opens and clicks</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EmailOpens, EmailClicks</w:t>
            </w:r>
          </w:p>
        </w:tc>
      </w:tr>
      <w:tr>
        <w:tc>
          <w:tcPr>
            <w:tcW w:type="dxa" w:w="2890"/>
          </w:tcPr>
          <w:p>
            <w:pPr>
              <w:spacing w:after="40" w:line="240" w:lineRule="auto"/>
              <w:jc w:val="left"/>
            </w:pPr>
            <w:r/>
            <w:r>
              <w:rPr>
                <w:b w:val="0"/>
                <w:sz w:val="20"/>
              </w:rPr>
              <w:t>Conversion outcome</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Conversion</w:t>
            </w:r>
          </w:p>
        </w:tc>
      </w:tr>
      <w:tr>
        <w:tc>
          <w:tcPr>
            <w:tcW w:type="dxa" w:w="2890"/>
          </w:tcPr>
          <w:p>
            <w:pPr>
              <w:spacing w:after="40" w:line="240" w:lineRule="auto"/>
              <w:jc w:val="left"/>
            </w:pPr>
            <w:r/>
            <w:r>
              <w:rPr>
                <w:b w:val="0"/>
                <w:sz w:val="20"/>
              </w:rPr>
              <w:t>Acquisition channel</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CampaignChannel</w:t>
            </w:r>
          </w:p>
        </w:tc>
      </w:tr>
      <w:tr>
        <w:tc>
          <w:tcPr>
            <w:tcW w:type="dxa" w:w="2890"/>
          </w:tcPr>
          <w:p>
            <w:pPr>
              <w:spacing w:after="40" w:line="240" w:lineRule="auto"/>
              <w:jc w:val="left"/>
            </w:pPr>
            <w:r/>
            <w:r>
              <w:rPr>
                <w:b w:val="0"/>
                <w:sz w:val="20"/>
              </w:rPr>
              <w:t>Timestamp of each visit</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Spread over a 90-day window, seeded per customer</w:t>
            </w:r>
          </w:p>
        </w:tc>
      </w:tr>
      <w:tr>
        <w:tc>
          <w:tcPr>
            <w:tcW w:type="dxa" w:w="2890"/>
          </w:tcPr>
          <w:p>
            <w:pPr>
              <w:spacing w:after="40" w:line="240" w:lineRule="auto"/>
              <w:jc w:val="left"/>
            </w:pPr>
            <w:r/>
            <w:r>
              <w:rPr>
                <w:b w:val="0"/>
                <w:sz w:val="20"/>
              </w:rPr>
              <w:t>Which page each visit landed on</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Cycled through the store's real pages</w:t>
            </w:r>
          </w:p>
        </w:tc>
      </w:tr>
      <w:tr>
        <w:tc>
          <w:tcPr>
            <w:tcW w:type="dxa" w:w="2890"/>
          </w:tcPr>
          <w:p>
            <w:pPr>
              <w:spacing w:after="40" w:line="240" w:lineRule="auto"/>
              <w:jc w:val="left"/>
            </w:pPr>
            <w:r/>
            <w:r>
              <w:rPr>
                <w:b w:val="0"/>
                <w:sz w:val="20"/>
              </w:rPr>
              <w:t>Scroll depth</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Derived from dwell time</w:t>
            </w:r>
          </w:p>
        </w:tc>
      </w:tr>
      <w:tr>
        <w:tc>
          <w:tcPr>
            <w:tcW w:type="dxa" w:w="2890"/>
          </w:tcPr>
          <w:p>
            <w:pPr>
              <w:spacing w:after="40" w:line="240" w:lineRule="auto"/>
              <w:jc w:val="left"/>
            </w:pPr>
            <w:r/>
            <w:r>
              <w:rPr>
                <w:b w:val="0"/>
                <w:sz w:val="20"/>
              </w:rPr>
              <w:t>Order of email opens and clicks</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Interleaved across the window</w:t>
            </w:r>
          </w:p>
        </w:tc>
      </w:tr>
      <w:tr>
        <w:tc>
          <w:tcPr>
            <w:tcW w:type="dxa" w:w="2890"/>
          </w:tcPr>
          <w:p>
            <w:pPr>
              <w:spacing w:after="40" w:line="240" w:lineRule="auto"/>
              <w:jc w:val="left"/>
            </w:pPr>
            <w:r/>
            <w:r>
              <w:rPr>
                <w:b w:val="0"/>
                <w:sz w:val="20"/>
              </w:rPr>
              <w:t>Basket value of a purchase</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Drawn from the store's catalogue prices</w:t>
            </w:r>
          </w:p>
        </w:tc>
      </w:tr>
    </w:tbl>
    <w:p>
      <w:pPr>
        <w:spacing w:after="120"/>
      </w:pPr>
    </w:p>
    <w:p>
      <w:pPr>
        <w:pStyle w:val="NoteBox"/>
      </w:pPr>
      <w:r>
        <w:rPr>
          <w:b/>
        </w:rPr>
        <w:t>Consequence for the results.</w:t>
      </w:r>
      <w:r>
        <w:t xml:space="preserve"> Anything that depends only on the totals — segment membership, conversion rate by segment, funnel counts — rests on real measurements. Anything that depends on event </w:t>
      </w:r>
      <w:r>
        <w:rPr>
          <w:i/>
        </w:rPr>
        <w:t>order</w:t>
      </w:r>
      <w:r>
        <w:t xml:space="preserve"> or </w:t>
      </w:r>
      <w:r>
        <w:rPr>
          <w:i/>
        </w:rPr>
        <w:t>timing</w:t>
      </w:r>
      <w:r>
        <w:t xml:space="preserve"> — attribution paths, journey length, inter-event gaps — is a property of the reconstruction as much as of the data, and is reported as such throughout Chapter 3.</w:t>
      </w:r>
    </w:p>
    <w:p>
      <w:r>
        <w:t xml:space="preserve">To keep that distinction in the data rather than only in prose, the importer writes one event per </w:t>
      </w:r>
      <w:r>
        <w:rPr>
          <w:i/>
        </w:rPr>
        <w:t>visit</w:t>
      </w:r>
      <w:r>
        <w:t xml:space="preserve"> carrying that visit's totals, instead of one event per page view. A live browser reports one event per page and no count; the feature definition sums the two identically, so a single definition serves both without either pretending to be the other.</w:t>
      </w:r>
    </w:p>
    <w:p>
      <w:pPr>
        <w:pStyle w:val="Heading3"/>
      </w:pPr>
      <w:r>
        <w:t>7.1.3 Provenance is recorded, never asserted</w:t>
      </w:r>
    </w:p>
    <w:p>
      <w:r>
        <w:t xml:space="preserve">Imported customers and live browser sessions share one database. Every visitor and every funnel event therefore carries a `source` column with the value `dataset` or `live`, and that value is </w:t>
      </w:r>
      <w:r>
        <w:rPr>
          <w:b/>
        </w:rPr>
        <w:t>derived at write time from the visitor the event belongs to</w:t>
      </w:r>
      <w:r>
        <w:t xml:space="preserve"> — it can never be supplied by the caller. A test fails the build if a dataset-derived customer ever produces a row claiming to be live observation.</w:t>
      </w:r>
    </w:p>
    <w:p>
      <w:r>
        <w:t>Every figure in the dashboard carries the resulting label, and the analytics layer refuses to report attribution below five converting journeys rather than returning a number it cannot support.</w:t>
      </w:r>
    </w:p>
    <w:p>
      <w:pPr>
        <w:pStyle w:val="Heading3"/>
      </w:pPr>
      <w:r>
        <w:t>7.1.4 Reproducibility</w:t>
      </w:r>
    </w:p>
    <w:p>
      <w:r>
        <w:t>All randomness is seeded (seed 42). The importer is deterministic given the source CSV and idempotent on re-run. Confidence intervals use 10,000 bootstrap resamples, and the policy comparison runs 30 independent seeds. `make research` regenerates every table and every figure in this chapter and the two that follow.</w:t>
      </w:r>
    </w:p>
    <w:p>
      <w:pPr>
        <w:pStyle w:val="Heading2"/>
      </w:pPr>
      <w:r>
        <w:t>7.2 Experimental Setup and Metrics Used</w:t>
      </w:r>
    </w:p>
    <w:p>
      <w:pPr>
        <w:pStyle w:val="Heading3"/>
      </w:pPr>
      <w:r>
        <w:t>7.2.1 The experiments</w:t>
      </w:r>
    </w:p>
    <w:p>
      <w:r>
        <w:t>Eleven experiments cover the four modules. Each writes its tables to `research/results/`, and every figure in the next chapter is drawn from those tables rather than plotted by hand, so a chart cannot drift away from the number it shows.</w:t>
      </w:r>
    </w:p>
    <w:p>
      <w:pPr>
        <w:pStyle w:val="TableCaption"/>
      </w:pPr>
      <w:r>
        <w:rPr>
          <w:b w:val="0"/>
          <w:i w:val="0"/>
        </w:rPr>
        <w:t>Table 16 — The seven experiments.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ID</w:t>
            </w:r>
          </w:p>
        </w:tc>
        <w:tc>
          <w:tcPr>
            <w:tcW w:type="dxa" w:w="2167"/>
            <w:shd w:val="clear" w:color="auto" w:fill="E8EEF6"/>
          </w:tcPr>
          <w:p>
            <w:pPr>
              <w:spacing w:after="40" w:line="240" w:lineRule="auto"/>
              <w:jc w:val="center"/>
            </w:pPr>
            <w:r/>
            <w:r>
              <w:rPr>
                <w:b/>
                <w:sz w:val="20"/>
              </w:rPr>
              <w:t>Question</w:t>
            </w:r>
          </w:p>
        </w:tc>
        <w:tc>
          <w:tcPr>
            <w:tcW w:type="dxa" w:w="2167"/>
            <w:shd w:val="clear" w:color="auto" w:fill="E8EEF6"/>
          </w:tcPr>
          <w:p>
            <w:pPr>
              <w:spacing w:after="40" w:line="240" w:lineRule="auto"/>
              <w:jc w:val="center"/>
            </w:pPr>
            <w:r/>
            <w:r>
              <w:rPr>
                <w:b/>
                <w:sz w:val="20"/>
              </w:rPr>
              <w:t>Data</w:t>
            </w:r>
          </w:p>
        </w:tc>
        <w:tc>
          <w:tcPr>
            <w:tcW w:type="dxa" w:w="2167"/>
            <w:shd w:val="clear" w:color="auto" w:fill="E8EEF6"/>
          </w:tcPr>
          <w:p>
            <w:pPr>
              <w:spacing w:after="40" w:line="240" w:lineRule="auto"/>
              <w:jc w:val="center"/>
            </w:pPr>
            <w:r/>
            <w:r>
              <w:rPr>
                <w:b/>
                <w:sz w:val="20"/>
              </w:rPr>
              <w:t>Primary metric</w:t>
            </w:r>
          </w:p>
        </w:tc>
      </w:tr>
      <w:tr>
        <w:tc>
          <w:tcPr>
            <w:tcW w:type="dxa" w:w="2167"/>
          </w:tcPr>
          <w:p>
            <w:pPr>
              <w:spacing w:after="40" w:line="240" w:lineRule="auto"/>
              <w:jc w:val="left"/>
            </w:pPr>
            <w:r/>
            <w:r>
              <w:rPr>
                <w:b w:val="0"/>
                <w:sz w:val="20"/>
              </w:rPr>
              <w:t>E1</w:t>
            </w:r>
          </w:p>
        </w:tc>
        <w:tc>
          <w:tcPr>
            <w:tcW w:type="dxa" w:w="2167"/>
          </w:tcPr>
          <w:p>
            <w:pPr>
              <w:spacing w:after="40" w:line="240" w:lineRule="auto"/>
              <w:jc w:val="center"/>
            </w:pPr>
            <w:r/>
            <w:r>
              <w:rPr>
                <w:b w:val="0"/>
                <w:sz w:val="20"/>
              </w:rPr>
              <w:t>Does the hybrid beat its own components?</w:t>
            </w:r>
          </w:p>
        </w:tc>
        <w:tc>
          <w:tcPr>
            <w:tcW w:type="dxa" w:w="2167"/>
          </w:tcPr>
          <w:p>
            <w:pPr>
              <w:spacing w:after="40" w:line="240" w:lineRule="auto"/>
              <w:jc w:val="center"/>
            </w:pPr>
            <w:r/>
            <w:r>
              <w:rPr>
                <w:b w:val="0"/>
                <w:sz w:val="20"/>
              </w:rPr>
              <w:t>8,000-customer dataset</w:t>
            </w:r>
          </w:p>
        </w:tc>
        <w:tc>
          <w:tcPr>
            <w:tcW w:type="dxa" w:w="2167"/>
          </w:tcPr>
          <w:p>
            <w:pPr>
              <w:spacing w:after="40" w:line="240" w:lineRule="auto"/>
              <w:jc w:val="center"/>
            </w:pPr>
            <w:r/>
            <w:r>
              <w:rPr>
                <w:b w:val="0"/>
                <w:sz w:val="20"/>
              </w:rPr>
              <w:t>Conversion separation, silhouette</w:t>
            </w:r>
          </w:p>
        </w:tc>
      </w:tr>
      <w:tr>
        <w:tc>
          <w:tcPr>
            <w:tcW w:type="dxa" w:w="2167"/>
          </w:tcPr>
          <w:p>
            <w:pPr>
              <w:spacing w:after="40" w:line="240" w:lineRule="auto"/>
              <w:jc w:val="left"/>
            </w:pPr>
            <w:r/>
            <w:r>
              <w:rPr>
                <w:b w:val="0"/>
                <w:sz w:val="20"/>
              </w:rPr>
              <w:t>E2</w:t>
            </w:r>
          </w:p>
        </w:tc>
        <w:tc>
          <w:tcPr>
            <w:tcW w:type="dxa" w:w="2167"/>
          </w:tcPr>
          <w:p>
            <w:pPr>
              <w:spacing w:after="40" w:line="240" w:lineRule="auto"/>
              <w:jc w:val="center"/>
            </w:pPr>
            <w:r/>
            <w:r>
              <w:rPr>
                <w:b w:val="0"/>
                <w:sz w:val="20"/>
              </w:rPr>
              <w:t>The two Module 1 defects, reproduced</w:t>
            </w:r>
          </w:p>
        </w:tc>
        <w:tc>
          <w:tcPr>
            <w:tcW w:type="dxa" w:w="2167"/>
          </w:tcPr>
          <w:p>
            <w:pPr>
              <w:spacing w:after="40" w:line="240" w:lineRule="auto"/>
              <w:jc w:val="center"/>
            </w:pPr>
            <w:r/>
            <w:r>
              <w:rPr>
                <w:b w:val="0"/>
                <w:sz w:val="20"/>
              </w:rPr>
              <w:t>8,000-customer dataset</w:t>
            </w:r>
          </w:p>
        </w:tc>
        <w:tc>
          <w:tcPr>
            <w:tcW w:type="dxa" w:w="2167"/>
          </w:tcPr>
          <w:p>
            <w:pPr>
              <w:spacing w:after="40" w:line="240" w:lineRule="auto"/>
              <w:jc w:val="center"/>
            </w:pPr>
            <w:r/>
            <w:r>
              <w:rPr>
                <w:b w:val="0"/>
                <w:sz w:val="20"/>
              </w:rPr>
              <w:t>Segment survival, accuracy, certainty</w:t>
            </w:r>
          </w:p>
        </w:tc>
      </w:tr>
      <w:tr>
        <w:tc>
          <w:tcPr>
            <w:tcW w:type="dxa" w:w="2167"/>
          </w:tcPr>
          <w:p>
            <w:pPr>
              <w:spacing w:after="40" w:line="240" w:lineRule="auto"/>
              <w:jc w:val="left"/>
            </w:pPr>
            <w:r/>
            <w:r>
              <w:rPr>
                <w:b w:val="0"/>
                <w:sz w:val="20"/>
              </w:rPr>
              <w:t>E3</w:t>
            </w:r>
          </w:p>
        </w:tc>
        <w:tc>
          <w:tcPr>
            <w:tcW w:type="dxa" w:w="2167"/>
          </w:tcPr>
          <w:p>
            <w:pPr>
              <w:spacing w:after="40" w:line="240" w:lineRule="auto"/>
              <w:jc w:val="center"/>
            </w:pPr>
            <w:r/>
            <w:r>
              <w:rPr>
                <w:b w:val="0"/>
                <w:sz w:val="20"/>
              </w:rPr>
              <w:t>Which automation policy wins, and at what cost</w:t>
            </w:r>
          </w:p>
        </w:tc>
        <w:tc>
          <w:tcPr>
            <w:tcW w:type="dxa" w:w="2167"/>
          </w:tcPr>
          <w:p>
            <w:pPr>
              <w:spacing w:after="40" w:line="240" w:lineRule="auto"/>
              <w:jc w:val="center"/>
            </w:pPr>
            <w:r/>
            <w:r>
              <w:rPr>
                <w:b w:val="0"/>
                <w:sz w:val="20"/>
              </w:rPr>
              <w:t>Module 2 simulator, 30 seeds</w:t>
            </w:r>
          </w:p>
        </w:tc>
        <w:tc>
          <w:tcPr>
            <w:tcW w:type="dxa" w:w="2167"/>
          </w:tcPr>
          <w:p>
            <w:pPr>
              <w:spacing w:after="40" w:line="240" w:lineRule="auto"/>
              <w:jc w:val="center"/>
            </w:pPr>
            <w:r/>
            <w:r>
              <w:rPr>
                <w:b w:val="0"/>
                <w:sz w:val="20"/>
              </w:rPr>
              <w:t>Conversions per 1,000 sends</w:t>
            </w:r>
          </w:p>
        </w:tc>
      </w:tr>
      <w:tr>
        <w:tc>
          <w:tcPr>
            <w:tcW w:type="dxa" w:w="2167"/>
          </w:tcPr>
          <w:p>
            <w:pPr>
              <w:spacing w:after="40" w:line="240" w:lineRule="auto"/>
              <w:jc w:val="left"/>
            </w:pPr>
            <w:r/>
            <w:r>
              <w:rPr>
                <w:b w:val="0"/>
                <w:sz w:val="20"/>
              </w:rPr>
              <w:t>E4</w:t>
            </w:r>
          </w:p>
        </w:tc>
        <w:tc>
          <w:tcPr>
            <w:tcW w:type="dxa" w:w="2167"/>
          </w:tcPr>
          <w:p>
            <w:pPr>
              <w:spacing w:after="40" w:line="240" w:lineRule="auto"/>
              <w:jc w:val="center"/>
            </w:pPr>
            <w:r/>
            <w:r>
              <w:rPr>
                <w:b w:val="0"/>
                <w:sz w:val="20"/>
              </w:rPr>
              <w:t>Do the attribution models agree?</w:t>
            </w:r>
          </w:p>
        </w:tc>
        <w:tc>
          <w:tcPr>
            <w:tcW w:type="dxa" w:w="2167"/>
          </w:tcPr>
          <w:p>
            <w:pPr>
              <w:spacing w:after="40" w:line="240" w:lineRule="auto"/>
              <w:jc w:val="center"/>
            </w:pPr>
            <w:r/>
            <w:r>
              <w:rPr>
                <w:b w:val="0"/>
                <w:sz w:val="20"/>
              </w:rPr>
              <w:t>Module 3 simulator + live journeys</w:t>
            </w:r>
          </w:p>
        </w:tc>
        <w:tc>
          <w:tcPr>
            <w:tcW w:type="dxa" w:w="2167"/>
          </w:tcPr>
          <w:p>
            <w:pPr>
              <w:spacing w:after="40" w:line="240" w:lineRule="auto"/>
              <w:jc w:val="center"/>
            </w:pPr>
            <w:r/>
            <w:r>
              <w:rPr>
                <w:b w:val="0"/>
                <w:sz w:val="20"/>
              </w:rPr>
              <w:t>MAE vs ground truth, TVD</w:t>
            </w:r>
          </w:p>
        </w:tc>
      </w:tr>
      <w:tr>
        <w:tc>
          <w:tcPr>
            <w:tcW w:type="dxa" w:w="2167"/>
          </w:tcPr>
          <w:p>
            <w:pPr>
              <w:spacing w:after="40" w:line="240" w:lineRule="auto"/>
              <w:jc w:val="left"/>
            </w:pPr>
            <w:r/>
            <w:r>
              <w:rPr>
                <w:b w:val="0"/>
                <w:sz w:val="20"/>
              </w:rPr>
              <w:t>E5</w:t>
            </w:r>
          </w:p>
        </w:tc>
        <w:tc>
          <w:tcPr>
            <w:tcW w:type="dxa" w:w="2167"/>
          </w:tcPr>
          <w:p>
            <w:pPr>
              <w:spacing w:after="40" w:line="240" w:lineRule="auto"/>
              <w:jc w:val="center"/>
            </w:pPr>
            <w:r/>
            <w:r>
              <w:rPr>
                <w:b w:val="0"/>
                <w:sz w:val="20"/>
              </w:rPr>
              <w:t>Prediction quality and its transfer</w:t>
            </w:r>
          </w:p>
        </w:tc>
        <w:tc>
          <w:tcPr>
            <w:tcW w:type="dxa" w:w="2167"/>
          </w:tcPr>
          <w:p>
            <w:pPr>
              <w:spacing w:after="40" w:line="240" w:lineRule="auto"/>
              <w:jc w:val="center"/>
            </w:pPr>
            <w:r/>
            <w:r>
              <w:rPr>
                <w:b w:val="0"/>
                <w:sz w:val="20"/>
              </w:rPr>
              <w:t>Module 3 features + live audience</w:t>
            </w:r>
          </w:p>
        </w:tc>
        <w:tc>
          <w:tcPr>
            <w:tcW w:type="dxa" w:w="2167"/>
          </w:tcPr>
          <w:p>
            <w:pPr>
              <w:spacing w:after="40" w:line="240" w:lineRule="auto"/>
              <w:jc w:val="center"/>
            </w:pPr>
            <w:r/>
            <w:r>
              <w:rPr>
                <w:b w:val="0"/>
                <w:sz w:val="20"/>
              </w:rPr>
              <w:t>ROC-AUC, PR-AUC, Brier</w:t>
            </w:r>
          </w:p>
        </w:tc>
      </w:tr>
      <w:tr>
        <w:tc>
          <w:tcPr>
            <w:tcW w:type="dxa" w:w="2167"/>
          </w:tcPr>
          <w:p>
            <w:pPr>
              <w:spacing w:after="40" w:line="240" w:lineRule="auto"/>
              <w:jc w:val="left"/>
            </w:pPr>
            <w:r/>
            <w:r>
              <w:rPr>
                <w:b w:val="0"/>
                <w:sz w:val="20"/>
              </w:rPr>
              <w:t>E6</w:t>
            </w:r>
          </w:p>
        </w:tc>
        <w:tc>
          <w:tcPr>
            <w:tcW w:type="dxa" w:w="2167"/>
          </w:tcPr>
          <w:p>
            <w:pPr>
              <w:spacing w:after="40" w:line="240" w:lineRule="auto"/>
              <w:jc w:val="center"/>
            </w:pPr>
            <w:r/>
            <w:r>
              <w:rPr>
                <w:b w:val="0"/>
                <w:sz w:val="20"/>
              </w:rPr>
              <w:t>TF-IDF versus Sentence-BERT</w:t>
            </w:r>
          </w:p>
        </w:tc>
        <w:tc>
          <w:tcPr>
            <w:tcW w:type="dxa" w:w="2167"/>
          </w:tcPr>
          <w:p>
            <w:pPr>
              <w:spacing w:after="40" w:line="240" w:lineRule="auto"/>
              <w:jc w:val="center"/>
            </w:pPr>
            <w:r/>
            <w:r>
              <w:rPr>
                <w:b w:val="0"/>
                <w:sz w:val="20"/>
              </w:rPr>
              <w:t>527-row goal/tone corpus</w:t>
            </w:r>
          </w:p>
        </w:tc>
        <w:tc>
          <w:tcPr>
            <w:tcW w:type="dxa" w:w="2167"/>
          </w:tcPr>
          <w:p>
            <w:pPr>
              <w:spacing w:after="40" w:line="240" w:lineRule="auto"/>
              <w:jc w:val="center"/>
            </w:pPr>
            <w:r/>
            <w:r>
              <w:rPr>
                <w:b w:val="0"/>
                <w:sz w:val="20"/>
              </w:rPr>
              <w:t>Macro-F1, McNemar</w:t>
            </w:r>
          </w:p>
        </w:tc>
      </w:tr>
      <w:tr>
        <w:tc>
          <w:tcPr>
            <w:tcW w:type="dxa" w:w="2167"/>
          </w:tcPr>
          <w:p>
            <w:pPr>
              <w:spacing w:after="40" w:line="240" w:lineRule="auto"/>
              <w:jc w:val="left"/>
            </w:pPr>
            <w:r/>
            <w:r>
              <w:rPr>
                <w:b w:val="0"/>
                <w:sz w:val="20"/>
              </w:rPr>
              <w:t>E7</w:t>
            </w:r>
          </w:p>
        </w:tc>
        <w:tc>
          <w:tcPr>
            <w:tcW w:type="dxa" w:w="2167"/>
          </w:tcPr>
          <w:p>
            <w:pPr>
              <w:spacing w:after="40" w:line="240" w:lineRule="auto"/>
              <w:jc w:val="center"/>
            </w:pPr>
            <w:r/>
            <w:r>
              <w:rPr>
                <w:b w:val="0"/>
                <w:sz w:val="20"/>
              </w:rPr>
              <w:t>Engagement leakage and text signal</w:t>
            </w:r>
          </w:p>
        </w:tc>
        <w:tc>
          <w:tcPr>
            <w:tcW w:type="dxa" w:w="2167"/>
          </w:tcPr>
          <w:p>
            <w:pPr>
              <w:spacing w:after="40" w:line="240" w:lineRule="auto"/>
              <w:jc w:val="center"/>
            </w:pPr>
            <w:r/>
            <w:r>
              <w:rPr>
                <w:b w:val="0"/>
                <w:sz w:val="20"/>
              </w:rPr>
              <w:t>12,000-row engagement corpus</w:t>
            </w:r>
          </w:p>
        </w:tc>
        <w:tc>
          <w:tcPr>
            <w:tcW w:type="dxa" w:w="2167"/>
          </w:tcPr>
          <w:p>
            <w:pPr>
              <w:spacing w:after="40" w:line="240" w:lineRule="auto"/>
              <w:jc w:val="center"/>
            </w:pPr>
            <w:r/>
            <w:r>
              <w:rPr>
                <w:b w:val="0"/>
                <w:sz w:val="20"/>
              </w:rPr>
              <w:t>R², Spearman, Holm–Bonferroni</w:t>
            </w:r>
          </w:p>
        </w:tc>
      </w:tr>
      <w:tr>
        <w:tc>
          <w:tcPr>
            <w:tcW w:type="dxa" w:w="2167"/>
          </w:tcPr>
          <w:p>
            <w:pPr>
              <w:spacing w:after="40" w:line="240" w:lineRule="auto"/>
              <w:jc w:val="left"/>
            </w:pPr>
            <w:r/>
            <w:r>
              <w:rPr>
                <w:b w:val="0"/>
                <w:sz w:val="20"/>
              </w:rPr>
              <w:t>E8</w:t>
            </w:r>
          </w:p>
        </w:tc>
        <w:tc>
          <w:tcPr>
            <w:tcW w:type="dxa" w:w="2167"/>
          </w:tcPr>
          <w:p>
            <w:pPr>
              <w:spacing w:after="40" w:line="240" w:lineRule="auto"/>
              <w:jc w:val="center"/>
            </w:pPr>
            <w:r/>
            <w:r>
              <w:rPr>
                <w:b w:val="0"/>
                <w:sz w:val="20"/>
              </w:rPr>
              <w:t>Targeting by uplift versus by predicted response</w:t>
            </w:r>
          </w:p>
        </w:tc>
        <w:tc>
          <w:tcPr>
            <w:tcW w:type="dxa" w:w="2167"/>
          </w:tcPr>
          <w:p>
            <w:pPr>
              <w:spacing w:after="40" w:line="240" w:lineRule="auto"/>
              <w:jc w:val="center"/>
            </w:pPr>
            <w:r/>
            <w:r>
              <w:rPr>
                <w:b w:val="0"/>
                <w:sz w:val="20"/>
              </w:rPr>
              <w:t>Hillstrom, 64,000 randomised</w:t>
            </w:r>
          </w:p>
        </w:tc>
        <w:tc>
          <w:tcPr>
            <w:tcW w:type="dxa" w:w="2167"/>
          </w:tcPr>
          <w:p>
            <w:pPr>
              <w:spacing w:after="40" w:line="240" w:lineRule="auto"/>
              <w:jc w:val="center"/>
            </w:pPr>
            <w:r/>
            <w:r>
              <w:rPr>
                <w:b w:val="0"/>
                <w:sz w:val="20"/>
              </w:rPr>
              <w:t>Qini, incremental response</w:t>
            </w:r>
          </w:p>
        </w:tc>
      </w:tr>
      <w:tr>
        <w:tc>
          <w:tcPr>
            <w:tcW w:type="dxa" w:w="2167"/>
          </w:tcPr>
          <w:p>
            <w:pPr>
              <w:spacing w:after="40" w:line="240" w:lineRule="auto"/>
              <w:jc w:val="left"/>
            </w:pPr>
            <w:r/>
            <w:r>
              <w:rPr>
                <w:b w:val="0"/>
                <w:sz w:val="20"/>
              </w:rPr>
              <w:t>E9</w:t>
            </w:r>
          </w:p>
        </w:tc>
        <w:tc>
          <w:tcPr>
            <w:tcW w:type="dxa" w:w="2167"/>
          </w:tcPr>
          <w:p>
            <w:pPr>
              <w:spacing w:after="40" w:line="240" w:lineRule="auto"/>
              <w:jc w:val="center"/>
            </w:pPr>
            <w:r/>
            <w:r>
              <w:rPr>
                <w:b w:val="0"/>
                <w:sz w:val="20"/>
              </w:rPr>
              <w:t>Does the decision log make the policy learnable?</w:t>
            </w:r>
          </w:p>
        </w:tc>
        <w:tc>
          <w:tcPr>
            <w:tcW w:type="dxa" w:w="2167"/>
          </w:tcPr>
          <w:p>
            <w:pPr>
              <w:spacing w:after="40" w:line="240" w:lineRule="auto"/>
              <w:jc w:val="center"/>
            </w:pPr>
            <w:r/>
            <w:r>
              <w:rPr>
                <w:b w:val="0"/>
                <w:sz w:val="20"/>
              </w:rPr>
              <w:t>Simulated world, known rewards</w:t>
            </w:r>
          </w:p>
        </w:tc>
        <w:tc>
          <w:tcPr>
            <w:tcW w:type="dxa" w:w="2167"/>
          </w:tcPr>
          <w:p>
            <w:pPr>
              <w:spacing w:after="40" w:line="240" w:lineRule="auto"/>
              <w:jc w:val="center"/>
            </w:pPr>
            <w:r/>
            <w:r>
              <w:rPr>
                <w:b w:val="0"/>
                <w:sz w:val="20"/>
              </w:rPr>
              <w:t>Estimator bias, RMSE</w:t>
            </w:r>
          </w:p>
        </w:tc>
      </w:tr>
      <w:tr>
        <w:tc>
          <w:tcPr>
            <w:tcW w:type="dxa" w:w="2167"/>
          </w:tcPr>
          <w:p>
            <w:pPr>
              <w:spacing w:after="40" w:line="240" w:lineRule="auto"/>
              <w:jc w:val="left"/>
            </w:pPr>
            <w:r/>
            <w:r>
              <w:rPr>
                <w:b w:val="0"/>
                <w:sz w:val="20"/>
              </w:rPr>
              <w:t>E10</w:t>
            </w:r>
          </w:p>
        </w:tc>
        <w:tc>
          <w:tcPr>
            <w:tcW w:type="dxa" w:w="2167"/>
          </w:tcPr>
          <w:p>
            <w:pPr>
              <w:spacing w:after="40" w:line="240" w:lineRule="auto"/>
              <w:jc w:val="center"/>
            </w:pPr>
            <w:r/>
            <w:r>
              <w:rPr>
                <w:b w:val="0"/>
                <w:sz w:val="20"/>
              </w:rPr>
              <w:t>Can the system read what a website can do?</w:t>
            </w:r>
          </w:p>
        </w:tc>
        <w:tc>
          <w:tcPr>
            <w:tcW w:type="dxa" w:w="2167"/>
          </w:tcPr>
          <w:p>
            <w:pPr>
              <w:spacing w:after="40" w:line="240" w:lineRule="auto"/>
              <w:jc w:val="center"/>
            </w:pPr>
            <w:r/>
            <w:r>
              <w:rPr>
                <w:b w:val="0"/>
                <w:sz w:val="20"/>
              </w:rPr>
              <w:t>15 real websites, hand-labelled</w:t>
            </w:r>
          </w:p>
        </w:tc>
        <w:tc>
          <w:tcPr>
            <w:tcW w:type="dxa" w:w="2167"/>
          </w:tcPr>
          <w:p>
            <w:pPr>
              <w:spacing w:after="40" w:line="240" w:lineRule="auto"/>
              <w:jc w:val="center"/>
            </w:pPr>
            <w:r/>
            <w:r>
              <w:rPr>
                <w:b w:val="0"/>
                <w:sz w:val="20"/>
              </w:rPr>
              <w:t>Agreement, precision, recall</w:t>
            </w:r>
          </w:p>
        </w:tc>
      </w:tr>
      <w:tr>
        <w:tc>
          <w:tcPr>
            <w:tcW w:type="dxa" w:w="2167"/>
          </w:tcPr>
          <w:p>
            <w:pPr>
              <w:spacing w:after="40" w:line="240" w:lineRule="auto"/>
              <w:jc w:val="left"/>
            </w:pPr>
            <w:r/>
            <w:r>
              <w:rPr>
                <w:b w:val="0"/>
                <w:sz w:val="20"/>
              </w:rPr>
              <w:t>E11</w:t>
            </w:r>
          </w:p>
        </w:tc>
        <w:tc>
          <w:tcPr>
            <w:tcW w:type="dxa" w:w="2167"/>
          </w:tcPr>
          <w:p>
            <w:pPr>
              <w:spacing w:after="40" w:line="240" w:lineRule="auto"/>
              <w:jc w:val="center"/>
            </w:pPr>
            <w:r/>
            <w:r>
              <w:rPr>
                <w:b w:val="0"/>
                <w:sz w:val="20"/>
              </w:rPr>
              <w:t>What a per-website action set costs in data</w:t>
            </w:r>
          </w:p>
        </w:tc>
        <w:tc>
          <w:tcPr>
            <w:tcW w:type="dxa" w:w="2167"/>
          </w:tcPr>
          <w:p>
            <w:pPr>
              <w:spacing w:after="40" w:line="240" w:lineRule="auto"/>
              <w:jc w:val="center"/>
            </w:pPr>
            <w:r/>
            <w:r>
              <w:rPr>
                <w:b w:val="0"/>
                <w:sz w:val="20"/>
              </w:rPr>
              <w:t>Simulated world, known rewards</w:t>
            </w:r>
          </w:p>
        </w:tc>
        <w:tc>
          <w:tcPr>
            <w:tcW w:type="dxa" w:w="2167"/>
          </w:tcPr>
          <w:p>
            <w:pPr>
              <w:spacing w:after="40" w:line="240" w:lineRule="auto"/>
              <w:jc w:val="center"/>
            </w:pPr>
            <w:r/>
            <w:r>
              <w:rPr>
                <w:b w:val="0"/>
                <w:sz w:val="20"/>
              </w:rPr>
              <w:t>RMSE, decisions required</w:t>
            </w:r>
          </w:p>
        </w:tc>
      </w:tr>
    </w:tbl>
    <w:p>
      <w:pPr>
        <w:spacing w:after="120"/>
      </w:pPr>
    </w:p>
    <w:p>
      <w:pPr>
        <w:pStyle w:val="Heading3"/>
      </w:pPr>
      <w:r>
        <w:t>7.2.2 Choice of statistics</w:t>
      </w:r>
    </w:p>
    <w:p>
      <w:r>
        <w:t>Four tools are used, each chosen because it makes the fewest assumptions the data can violate.</w:t>
      </w:r>
    </w:p>
    <w:p>
      <w:pPr>
        <w:pStyle w:val="ListBullet"/>
        <w:spacing w:after="80" w:line="312" w:lineRule="auto"/>
        <w:jc w:val="both"/>
      </w:pPr>
      <w:r>
        <w:rPr>
          <w:b/>
        </w:rPr>
        <w:t>Percentile bootstrap</w:t>
      </w:r>
      <w:r>
        <w:t xml:space="preserve"> rather than a normal-theory interval. Conversion separation, silhouette and macro-F1 are not means and have no closed-form standard error; resampling makes no distributional claim at all.</w:t>
      </w:r>
    </w:p>
    <w:p>
      <w:pPr>
        <w:pStyle w:val="ListBullet"/>
        <w:spacing w:after="80" w:line="312" w:lineRule="auto"/>
        <w:jc w:val="both"/>
      </w:pPr>
      <w:r>
        <w:rPr>
          <w:b/>
        </w:rPr>
        <w:t>Paired bootstrap and Wilcoxon signed-rank</w:t>
      </w:r>
      <w:r>
        <w:t xml:space="preserve"> for the policy comparison. Each seed puts the same 8,000 customers through all three policies, so the runs are paired; ignoring that wastes power and overstates the p-value.</w:t>
      </w:r>
    </w:p>
    <w:p>
      <w:pPr>
        <w:pStyle w:val="ListBullet"/>
        <w:spacing w:after="80" w:line="312" w:lineRule="auto"/>
        <w:jc w:val="both"/>
      </w:pPr>
      <w:r>
        <w:rPr>
          <w:b/>
        </w:rPr>
        <w:t>Exact McNemar</w:t>
      </w:r>
      <w:r>
        <w:t xml:space="preserve"> for two classifiers on one test set. Only the disagreements carry information, and with roughly a hundred test rows the exact binomial is correct where the asymptotic approximation is not.</w:t>
      </w:r>
    </w:p>
    <w:p>
      <w:pPr>
        <w:pStyle w:val="ListBullet"/>
        <w:spacing w:after="80" w:line="312" w:lineRule="auto"/>
        <w:jc w:val="both"/>
      </w:pPr>
      <w:r>
        <w:rPr>
          <w:b/>
        </w:rPr>
        <w:t>Cliff's delta</w:t>
      </w:r>
      <w:r>
        <w:t xml:space="preserve"> alongside every p-value. With thirty seeds almost any difference reaches significance; the effect size is what says whether it matters.</w:t>
      </w:r>
    </w:p>
    <w:p>
      <w:pPr>
        <w:pStyle w:val="Heading3"/>
      </w:pPr>
      <w:r>
        <w:t>7.2.3 Metrics, and why not the obvious ones</w:t>
      </w:r>
    </w:p>
    <w:p>
      <w:pPr>
        <w:pStyle w:val="ListBullet"/>
        <w:spacing w:after="80" w:line="312" w:lineRule="auto"/>
        <w:jc w:val="both"/>
      </w:pPr>
      <w:r>
        <w:rPr>
          <w:b/>
        </w:rPr>
        <w:t>Conversion separation</w:t>
      </w:r>
      <w:r>
        <w:t xml:space="preserve">, not cluster quality, for segmentation. Conversion is used only to </w:t>
      </w:r>
      <w:r>
        <w:rPr>
          <w:i/>
        </w:rPr>
        <w:t>evaluate</w:t>
      </w:r>
      <w:r>
        <w:t xml:space="preserve"> segments — never as a clustering feature and never as a rule input — so a segmentation that separates it has found something it was not told.</w:t>
      </w:r>
    </w:p>
    <w:p>
      <w:pPr>
        <w:pStyle w:val="ListBullet"/>
        <w:spacing w:after="80" w:line="312" w:lineRule="auto"/>
        <w:jc w:val="both"/>
      </w:pPr>
      <w:r>
        <w:rPr>
          <w:b/>
        </w:rPr>
        <w:t>Conversions per 1,000 sends</w:t>
      </w:r>
      <w:r>
        <w:t>, not conversion rate, for the policy comparison. User-level conversion rises simply by sending more messages, which would hand the win to the policy that sends most rather than the one that sends best.</w:t>
      </w:r>
    </w:p>
    <w:p>
      <w:pPr>
        <w:pStyle w:val="ListBullet"/>
        <w:spacing w:after="80" w:line="312" w:lineRule="auto"/>
        <w:jc w:val="both"/>
      </w:pPr>
      <w:r>
        <w:rPr>
          <w:b/>
        </w:rPr>
        <w:t>Macro-F1</w:t>
      </w:r>
      <w:r>
        <w:t>, not accuracy, for goal and tone. The majority class is 59% of the goal corpus, so accuracy flatters a model that handles rare classes badly — and the rare classes are the ones a marketer would want detected.</w:t>
      </w:r>
    </w:p>
    <w:p>
      <w:pPr>
        <w:pStyle w:val="ListBullet"/>
        <w:spacing w:after="80" w:line="312" w:lineRule="auto"/>
        <w:jc w:val="both"/>
      </w:pPr>
      <w:r>
        <w:rPr>
          <w:b/>
        </w:rPr>
        <w:t>Spearman</w:t>
      </w:r>
      <w:r>
        <w:t>, not R², for engagement. The model exists to rank candidate captions, not to predict an engagement rate in absolute terms, and rank correlation is what ranking needs.</w:t>
      </w:r>
    </w:p>
    <w:p>
      <w:pPr>
        <w:pStyle w:val="Heading2"/>
      </w:pPr>
      <w:r>
        <w:t>7.3 Results</w:t>
      </w:r>
    </w:p>
    <w:p>
      <w:pPr>
        <w:pStyle w:val="Heading3"/>
      </w:pPr>
      <w:r>
        <w:t>7.3.1 Segmentation — the hybrid against its components</w:t>
      </w:r>
    </w:p>
    <w:p>
      <w:pPr>
        <w:pStyle w:val="TableCaption"/>
      </w:pPr>
      <w:r>
        <w:rPr>
          <w:b w:val="0"/>
          <w:i w:val="0"/>
        </w:rPr>
        <w:t>Table 17 — Each method scored on the same 8,000 customers, with 95% bootstrap intervals.</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Method</w:t>
            </w:r>
          </w:p>
        </w:tc>
        <w:tc>
          <w:tcPr>
            <w:tcW w:type="dxa" w:w="1734"/>
            <w:shd w:val="clear" w:color="auto" w:fill="E8EEF6"/>
          </w:tcPr>
          <w:p>
            <w:pPr>
              <w:spacing w:after="40" w:line="240" w:lineRule="auto"/>
              <w:jc w:val="center"/>
            </w:pPr>
            <w:r/>
            <w:r>
              <w:rPr>
                <w:b/>
                <w:sz w:val="20"/>
              </w:rPr>
              <w:t>Segments</w:t>
            </w:r>
          </w:p>
        </w:tc>
        <w:tc>
          <w:tcPr>
            <w:tcW w:type="dxa" w:w="1734"/>
            <w:shd w:val="clear" w:color="auto" w:fill="E8EEF6"/>
          </w:tcPr>
          <w:p>
            <w:pPr>
              <w:spacing w:after="40" w:line="240" w:lineRule="auto"/>
              <w:jc w:val="center"/>
            </w:pPr>
            <w:r/>
            <w:r>
              <w:rPr>
                <w:b/>
                <w:sz w:val="20"/>
              </w:rPr>
              <w:t>Separation</w:t>
            </w:r>
          </w:p>
        </w:tc>
        <w:tc>
          <w:tcPr>
            <w:tcW w:type="dxa" w:w="1734"/>
            <w:shd w:val="clear" w:color="auto" w:fill="E8EEF6"/>
          </w:tcPr>
          <w:p>
            <w:pPr>
              <w:spacing w:after="40" w:line="240" w:lineRule="auto"/>
              <w:jc w:val="center"/>
            </w:pPr>
            <w:r/>
            <w:r>
              <w:rPr>
                <w:b/>
                <w:sz w:val="20"/>
              </w:rPr>
              <w:t>95% CI</w:t>
            </w:r>
          </w:p>
        </w:tc>
        <w:tc>
          <w:tcPr>
            <w:tcW w:type="dxa" w:w="1734"/>
            <w:shd w:val="clear" w:color="auto" w:fill="E8EEF6"/>
          </w:tcPr>
          <w:p>
            <w:pPr>
              <w:spacing w:after="40" w:line="240" w:lineRule="auto"/>
              <w:jc w:val="center"/>
            </w:pPr>
            <w:r/>
            <w:r>
              <w:rPr>
                <w:b/>
                <w:sz w:val="20"/>
              </w:rPr>
              <w:t>Cold-start segment</w:t>
            </w:r>
          </w:p>
        </w:tc>
      </w:tr>
      <w:tr>
        <w:tc>
          <w:tcPr>
            <w:tcW w:type="dxa" w:w="1734"/>
          </w:tcPr>
          <w:p>
            <w:pPr>
              <w:spacing w:after="40" w:line="240" w:lineRule="auto"/>
              <w:jc w:val="left"/>
            </w:pPr>
            <w:r/>
            <w:r>
              <w:rPr>
                <w:b w:val="0"/>
                <w:sz w:val="20"/>
              </w:rPr>
              <w:t>rules only</w:t>
            </w:r>
          </w:p>
        </w:tc>
        <w:tc>
          <w:tcPr>
            <w:tcW w:type="dxa" w:w="1734"/>
          </w:tcPr>
          <w:p>
            <w:pPr>
              <w:spacing w:after="40" w:line="240" w:lineRule="auto"/>
              <w:jc w:val="center"/>
            </w:pPr>
            <w:r/>
            <w:r>
              <w:rPr>
                <w:b w:val="0"/>
                <w:sz w:val="20"/>
              </w:rPr>
              <w:t>5</w:t>
            </w:r>
          </w:p>
        </w:tc>
        <w:tc>
          <w:tcPr>
            <w:tcW w:type="dxa" w:w="1734"/>
          </w:tcPr>
          <w:p>
            <w:pPr>
              <w:spacing w:after="40" w:line="240" w:lineRule="auto"/>
              <w:jc w:val="center"/>
            </w:pPr>
            <w:r/>
            <w:r>
              <w:rPr>
                <w:b w:val="0"/>
                <w:sz w:val="20"/>
              </w:rPr>
              <w:t>0.3837</w:t>
            </w:r>
          </w:p>
        </w:tc>
        <w:tc>
          <w:tcPr>
            <w:tcW w:type="dxa" w:w="1734"/>
          </w:tcPr>
          <w:p>
            <w:pPr>
              <w:spacing w:after="40" w:line="240" w:lineRule="auto"/>
              <w:jc w:val="center"/>
            </w:pPr>
            <w:r/>
            <w:r>
              <w:rPr>
                <w:b w:val="0"/>
                <w:sz w:val="20"/>
              </w:rPr>
              <w:t>[0.309, 0.464]</w:t>
            </w:r>
          </w:p>
        </w:tc>
        <w:tc>
          <w:tcPr>
            <w:tcW w:type="dxa" w:w="1734"/>
          </w:tcPr>
          <w:p>
            <w:pPr>
              <w:spacing w:after="40" w:line="240" w:lineRule="auto"/>
              <w:jc w:val="center"/>
            </w:pPr>
            <w:r/>
            <w:r>
              <w:rPr>
                <w:b w:val="0"/>
                <w:sz w:val="20"/>
              </w:rPr>
              <w:t>yes</w:t>
            </w:r>
          </w:p>
        </w:tc>
      </w:tr>
      <w:tr>
        <w:tc>
          <w:tcPr>
            <w:tcW w:type="dxa" w:w="1734"/>
          </w:tcPr>
          <w:p>
            <w:pPr>
              <w:spacing w:after="40" w:line="240" w:lineRule="auto"/>
              <w:jc w:val="left"/>
            </w:pPr>
            <w:r/>
            <w:r>
              <w:rPr>
                <w:b w:val="0"/>
                <w:sz w:val="20"/>
              </w:rPr>
              <w:t>k-means only</w:t>
            </w:r>
          </w:p>
        </w:tc>
        <w:tc>
          <w:tcPr>
            <w:tcW w:type="dxa" w:w="1734"/>
          </w:tcPr>
          <w:p>
            <w:pPr>
              <w:spacing w:after="40" w:line="240" w:lineRule="auto"/>
              <w:jc w:val="center"/>
            </w:pPr>
            <w:r/>
            <w:r>
              <w:rPr>
                <w:b w:val="0"/>
                <w:sz w:val="20"/>
              </w:rPr>
              <w:t>4</w:t>
            </w:r>
          </w:p>
        </w:tc>
        <w:tc>
          <w:tcPr>
            <w:tcW w:type="dxa" w:w="1734"/>
          </w:tcPr>
          <w:p>
            <w:pPr>
              <w:spacing w:after="40" w:line="240" w:lineRule="auto"/>
              <w:jc w:val="center"/>
            </w:pPr>
            <w:r/>
            <w:r>
              <w:rPr>
                <w:b w:val="0"/>
                <w:sz w:val="20"/>
              </w:rPr>
              <w:t>0.0693</w:t>
            </w:r>
          </w:p>
        </w:tc>
        <w:tc>
          <w:tcPr>
            <w:tcW w:type="dxa" w:w="1734"/>
          </w:tcPr>
          <w:p>
            <w:pPr>
              <w:spacing w:after="40" w:line="240" w:lineRule="auto"/>
              <w:jc w:val="center"/>
            </w:pPr>
            <w:r/>
            <w:r>
              <w:rPr>
                <w:b w:val="0"/>
                <w:sz w:val="20"/>
              </w:rPr>
              <w:t>[0.049, 0.090]</w:t>
            </w:r>
          </w:p>
        </w:tc>
        <w:tc>
          <w:tcPr>
            <w:tcW w:type="dxa" w:w="1734"/>
          </w:tcPr>
          <w:p>
            <w:pPr>
              <w:spacing w:after="40" w:line="240" w:lineRule="auto"/>
              <w:jc w:val="center"/>
            </w:pPr>
            <w:r/>
            <w:r>
              <w:rPr>
                <w:b w:val="0"/>
                <w:sz w:val="20"/>
              </w:rPr>
              <w:t>no</w:t>
            </w:r>
          </w:p>
        </w:tc>
      </w:tr>
      <w:tr>
        <w:tc>
          <w:tcPr>
            <w:tcW w:type="dxa" w:w="1734"/>
          </w:tcPr>
          <w:p>
            <w:pPr>
              <w:spacing w:after="40" w:line="240" w:lineRule="auto"/>
              <w:jc w:val="left"/>
            </w:pPr>
            <w:r/>
            <w:r>
              <w:rPr>
                <w:b w:val="0"/>
                <w:sz w:val="20"/>
              </w:rPr>
              <w:t>hierarchical only</w:t>
            </w:r>
          </w:p>
        </w:tc>
        <w:tc>
          <w:tcPr>
            <w:tcW w:type="dxa" w:w="1734"/>
          </w:tcPr>
          <w:p>
            <w:pPr>
              <w:spacing w:after="40" w:line="240" w:lineRule="auto"/>
              <w:jc w:val="center"/>
            </w:pPr>
            <w:r/>
            <w:r>
              <w:rPr>
                <w:b w:val="0"/>
                <w:sz w:val="20"/>
              </w:rPr>
              <w:t>4</w:t>
            </w:r>
          </w:p>
        </w:tc>
        <w:tc>
          <w:tcPr>
            <w:tcW w:type="dxa" w:w="1734"/>
          </w:tcPr>
          <w:p>
            <w:pPr>
              <w:spacing w:after="40" w:line="240" w:lineRule="auto"/>
              <w:jc w:val="center"/>
            </w:pPr>
            <w:r/>
            <w:r>
              <w:rPr>
                <w:b w:val="0"/>
                <w:sz w:val="20"/>
              </w:rPr>
              <w:t>0.0343</w:t>
            </w:r>
          </w:p>
        </w:tc>
        <w:tc>
          <w:tcPr>
            <w:tcW w:type="dxa" w:w="1734"/>
          </w:tcPr>
          <w:p>
            <w:pPr>
              <w:spacing w:after="40" w:line="240" w:lineRule="auto"/>
              <w:jc w:val="center"/>
            </w:pPr>
            <w:r/>
            <w:r>
              <w:rPr>
                <w:b w:val="0"/>
                <w:sz w:val="20"/>
              </w:rPr>
              <w:t>[0.019, 0.059]</w:t>
            </w:r>
          </w:p>
        </w:tc>
        <w:tc>
          <w:tcPr>
            <w:tcW w:type="dxa" w:w="1734"/>
          </w:tcPr>
          <w:p>
            <w:pPr>
              <w:spacing w:after="40" w:line="240" w:lineRule="auto"/>
              <w:jc w:val="center"/>
            </w:pPr>
            <w:r/>
            <w:r>
              <w:rPr>
                <w:b w:val="0"/>
                <w:sz w:val="20"/>
              </w:rPr>
              <w:t>no</w:t>
            </w:r>
          </w:p>
        </w:tc>
      </w:tr>
      <w:tr>
        <w:tc>
          <w:tcPr>
            <w:tcW w:type="dxa" w:w="1734"/>
          </w:tcPr>
          <w:p>
            <w:pPr>
              <w:spacing w:after="40" w:line="240" w:lineRule="auto"/>
              <w:jc w:val="left"/>
            </w:pPr>
            <w:r/>
            <w:r>
              <w:rPr>
                <w:b w:val="0"/>
                <w:sz w:val="20"/>
              </w:rPr>
              <w:t>hybrid (vote)</w:t>
            </w:r>
          </w:p>
        </w:tc>
        <w:tc>
          <w:tcPr>
            <w:tcW w:type="dxa" w:w="1734"/>
          </w:tcPr>
          <w:p>
            <w:pPr>
              <w:spacing w:after="40" w:line="240" w:lineRule="auto"/>
              <w:jc w:val="center"/>
            </w:pPr>
            <w:r/>
            <w:r>
              <w:rPr>
                <w:b w:val="0"/>
                <w:sz w:val="20"/>
              </w:rPr>
              <w:t>5</w:t>
            </w:r>
          </w:p>
        </w:tc>
        <w:tc>
          <w:tcPr>
            <w:tcW w:type="dxa" w:w="1734"/>
          </w:tcPr>
          <w:p>
            <w:pPr>
              <w:spacing w:after="40" w:line="240" w:lineRule="auto"/>
              <w:jc w:val="center"/>
            </w:pPr>
            <w:r/>
            <w:r>
              <w:rPr>
                <w:b w:val="0"/>
                <w:sz w:val="20"/>
              </w:rPr>
              <w:t>0.3838</w:t>
            </w:r>
          </w:p>
        </w:tc>
        <w:tc>
          <w:tcPr>
            <w:tcW w:type="dxa" w:w="1734"/>
          </w:tcPr>
          <w:p>
            <w:pPr>
              <w:spacing w:after="40" w:line="240" w:lineRule="auto"/>
              <w:jc w:val="center"/>
            </w:pPr>
            <w:r/>
            <w:r>
              <w:rPr>
                <w:b w:val="0"/>
                <w:sz w:val="20"/>
              </w:rPr>
              <w:t>[0.307, 0.463]</w:t>
            </w:r>
          </w:p>
        </w:tc>
        <w:tc>
          <w:tcPr>
            <w:tcW w:type="dxa" w:w="1734"/>
          </w:tcPr>
          <w:p>
            <w:pPr>
              <w:spacing w:after="40" w:line="240" w:lineRule="auto"/>
              <w:jc w:val="center"/>
            </w:pPr>
            <w:r/>
            <w:r>
              <w:rPr>
                <w:b w:val="0"/>
                <w:sz w:val="20"/>
              </w:rPr>
              <w:t>yes</w:t>
            </w:r>
          </w:p>
        </w:tc>
      </w:tr>
    </w:tbl>
    <w:p>
      <w:pPr>
        <w:spacing w:after="120"/>
      </w:pPr>
    </w:p>
    <w:p>
      <w:pPr>
        <w:keepNext/>
        <w:keepLines/>
        <w:spacing w:before="360" w:after="120" w:line="240" w:lineRule="auto"/>
        <w:jc w:val="center"/>
      </w:pPr>
      <w:r>
        <w:drawing>
          <wp:inline xmlns:a="http://schemas.openxmlformats.org/drawingml/2006/main" xmlns:pic="http://schemas.openxmlformats.org/drawingml/2006/picture">
            <wp:extent cx="5486400" cy="2823921"/>
            <wp:docPr id="30" name="Picture 30"/>
            <wp:cNvGraphicFramePr>
              <a:graphicFrameLocks noChangeAspect="1"/>
            </wp:cNvGraphicFramePr>
            <a:graphic>
              <a:graphicData uri="http://schemas.openxmlformats.org/drawingml/2006/picture">
                <pic:pic>
                  <pic:nvPicPr>
                    <pic:cNvPr id="0" name="fig_e1_segmentation_ablation.png"/>
                    <pic:cNvPicPr/>
                  </pic:nvPicPr>
                  <pic:blipFill>
                    <a:blip r:embed="rId40"/>
                    <a:stretch>
                      <a:fillRect/>
                    </a:stretch>
                  </pic:blipFill>
                  <pic:spPr>
                    <a:xfrm>
                      <a:off x="0" y="0"/>
                      <a:ext cx="5486400" cy="2823921"/>
                    </a:xfrm>
                    <a:prstGeom prst="rect"/>
                  </pic:spPr>
                </pic:pic>
              </a:graphicData>
            </a:graphic>
          </wp:inline>
        </w:drawing>
      </w:r>
    </w:p>
    <w:p>
      <w:pPr>
        <w:pStyle w:val="Caption"/>
        <w:keepLines/>
        <w:spacing w:before="40" w:after="400" w:line="240" w:lineRule="auto"/>
      </w:pPr>
      <w:r>
        <w:rPr>
          <w:b w:val="0"/>
          <w:i w:val="0"/>
        </w:rPr>
        <w:t>Figure 30 — Conversion separation by method. The hybrid and the rules are indistinguishable; clustering alone separates almost nothing.</w:t>
      </w:r>
    </w:p>
    <w:p>
      <w:r>
        <w:t>The hybrid separates conversion by 0.3838, against 0.3837 for the rules alone. The difference is within noise. Clustering on its own reaches 0.0343.</w:t>
      </w:r>
    </w:p>
    <w:p>
      <w:pPr>
        <w:pStyle w:val="NoteBox"/>
      </w:pPr>
      <w:r>
        <w:rPr>
          <w:b/>
        </w:rPr>
        <w:t>This is a negative result, and it is reported as the headline rather than buried.</w:t>
      </w:r>
      <w:r>
        <w:t xml:space="preserve"> On the separation metric the clustering contributes nothing. The hybrid earns its place in the system on different grounds — it produces a calibrated confidence from the level of agreement between three independent methods, and the vote is what makes cold start explicit — but it does not separate conversion better than a handful of interpretable rules.</w:t>
      </w:r>
    </w:p>
    <w:p>
      <w:r>
        <w:t>Silhouette is 0.0869. The clusters overlap heavily in feature space, and all three methods disagree for 35.3% of customers. The segments are commercially useful without being geometrically clean, and reporting only the separation would hide that.</w:t>
      </w:r>
    </w:p>
    <w:p>
      <w:pPr>
        <w:keepNext/>
        <w:keepLines/>
        <w:spacing w:before="360" w:after="120" w:line="240" w:lineRule="auto"/>
        <w:jc w:val="center"/>
      </w:pPr>
      <w:r>
        <w:drawing>
          <wp:inline xmlns:a="http://schemas.openxmlformats.org/drawingml/2006/main" xmlns:pic="http://schemas.openxmlformats.org/drawingml/2006/picture">
            <wp:extent cx="5486400" cy="2165684"/>
            <wp:docPr id="31" name="Picture 31"/>
            <wp:cNvGraphicFramePr>
              <a:graphicFrameLocks noChangeAspect="1"/>
            </wp:cNvGraphicFramePr>
            <a:graphic>
              <a:graphicData uri="http://schemas.openxmlformats.org/drawingml/2006/picture">
                <pic:pic>
                  <pic:nvPicPr>
                    <pic:cNvPr id="0" name="fig_e1_segment_profile.png"/>
                    <pic:cNvPicPr/>
                  </pic:nvPicPr>
                  <pic:blipFill>
                    <a:blip r:embed="rId41"/>
                    <a:stretch>
                      <a:fillRect/>
                    </a:stretch>
                  </pic:blipFill>
                  <pic:spPr>
                    <a:xfrm>
                      <a:off x="0" y="0"/>
                      <a:ext cx="5486400" cy="2165684"/>
                    </a:xfrm>
                    <a:prstGeom prst="rect"/>
                  </pic:spPr>
                </pic:pic>
              </a:graphicData>
            </a:graphic>
          </wp:inline>
        </w:drawing>
      </w:r>
    </w:p>
    <w:p>
      <w:pPr>
        <w:pStyle w:val="Caption"/>
        <w:keepLines/>
        <w:spacing w:before="40" w:after="400" w:line="240" w:lineRule="auto"/>
      </w:pPr>
      <w:r>
        <w:rPr>
          <w:b w:val="0"/>
          <w:i w:val="0"/>
        </w:rPr>
        <w:t>Figure 31 — Segment sizes and conversion rate per segment.</w:t>
      </w:r>
    </w:p>
    <w:p>
      <w:pPr>
        <w:pStyle w:val="Heading3"/>
      </w:pPr>
      <w:r>
        <w:t>7.3.2 Two defects, reproduced and measured</w:t>
      </w:r>
    </w:p>
    <w:p>
      <w:pPr>
        <w:pStyle w:val="Heading4"/>
      </w:pPr>
      <w:r>
        <w:t>7.3.2.1 A segment deleted by its own vote</w:t>
      </w:r>
    </w:p>
    <w:p>
      <w:r>
        <w:t xml:space="preserve">The original agreement vote tested whether the two clusterings agreed </w:t>
      </w:r>
      <w:r>
        <w:rPr>
          <w:i/>
        </w:rPr>
        <w:t>before</w:t>
      </w:r>
      <w:r>
        <w:t xml:space="preserve"> it tested whether the rules had identified a cold-start customer. Clustering cannot represent “there is not enough evidence about this person” — it must place everyone somewhere — so whenever the two clusterings happened to agree, they overruled the rules. Of 163 cold-start customers the rules detect, that ordering keeps 127; on the live audience the segment went to zero. Novel Contribution 1 was being erased from its own output.</w:t>
      </w:r>
    </w:p>
    <w:p>
      <w:r>
        <w:t>Resolving cold start immediately after unanimity keeps all 163. Those customers convert at 53.4% against 88.4% for everyone else, so the segment the original code discarded is the one with the most distinctive behaviour in the dataset.</w:t>
      </w:r>
    </w:p>
    <w:p>
      <w:pPr>
        <w:pStyle w:val="NoteBox"/>
      </w:pPr>
      <w:r>
        <w:t xml:space="preserve">The general principle, and the one worth defending in a viva: </w:t>
      </w:r>
      <w:r>
        <w:rPr>
          <w:b/>
        </w:rPr>
        <w:t>a method that cannot represent a finding does not get a vote on it.</w:t>
      </w:r>
    </w:p>
    <w:p>
      <w:pPr>
        <w:pStyle w:val="Heading4"/>
      </w:pPr>
      <w:r>
        <w:t>7.3.2.2 Target leakage in the confidence model</w:t>
      </w:r>
    </w:p>
    <w:p>
      <w:r>
        <w:t>The Random Forest was trained with the rule label among its input features while the target was the hybrid consensus — so it was largely reading off its own answer. Reproducing both versions on the same split shows accuracy barely moves (0.9213 against 0.9200), but certainty changes by a factor of 150: 450 customers emerge at confidence 1.00 with the rule label among the inputs, against 3 without it.</w:t>
      </w:r>
    </w:p>
    <w:p>
      <w:r>
        <w:t>Accuracy is not what the defect corrupts. The confidence attached to every downstream decision is — and a model whose accuracy is honest while its confidence is not will be trusted in exactly the cases where it should not be. That is also why the defect survived review: nothing fails, no test goes red, and the only symptom is a confidence column that looks impressive.</w:t>
      </w:r>
    </w:p>
    <w:p>
      <w:pPr>
        <w:keepNext/>
        <w:keepLines/>
        <w:spacing w:before="360" w:after="120" w:line="240" w:lineRule="auto"/>
        <w:jc w:val="center"/>
      </w:pPr>
      <w:r>
        <w:drawing>
          <wp:inline xmlns:a="http://schemas.openxmlformats.org/drawingml/2006/main" xmlns:pic="http://schemas.openxmlformats.org/drawingml/2006/picture">
            <wp:extent cx="5486400" cy="1987686"/>
            <wp:docPr id="32" name="Picture 32"/>
            <wp:cNvGraphicFramePr>
              <a:graphicFrameLocks noChangeAspect="1"/>
            </wp:cNvGraphicFramePr>
            <a:graphic>
              <a:graphicData uri="http://schemas.openxmlformats.org/drawingml/2006/picture">
                <pic:pic>
                  <pic:nvPicPr>
                    <pic:cNvPr id="0" name="fig_e2_defects.png"/>
                    <pic:cNvPicPr/>
                  </pic:nvPicPr>
                  <pic:blipFill>
                    <a:blip r:embed="rId42"/>
                    <a:stretch>
                      <a:fillRect/>
                    </a:stretch>
                  </pic:blipFill>
                  <pic:spPr>
                    <a:xfrm>
                      <a:off x="0" y="0"/>
                      <a:ext cx="5486400" cy="1987686"/>
                    </a:xfrm>
                    <a:prstGeom prst="rect"/>
                  </pic:spPr>
                </pic:pic>
              </a:graphicData>
            </a:graphic>
          </wp:inline>
        </w:drawing>
      </w:r>
    </w:p>
    <w:p>
      <w:pPr>
        <w:pStyle w:val="Caption"/>
        <w:keepLines/>
        <w:spacing w:before="40" w:after="400" w:line="240" w:lineRule="auto"/>
      </w:pPr>
      <w:r>
        <w:rPr>
          <w:b w:val="0"/>
          <w:i w:val="0"/>
        </w:rPr>
        <w:t>Figure 32 — Both defects reproduced against their fixes.</w:t>
      </w:r>
    </w:p>
    <w:p>
      <w:pPr>
        <w:pStyle w:val="Heading3"/>
      </w:pPr>
      <w:r>
        <w:t>7.3.3 Automation policies — outcome against cost</w:t>
      </w:r>
    </w:p>
    <w:p>
      <w:pPr>
        <w:pStyle w:val="TableCaption"/>
      </w:pPr>
      <w:r>
        <w:rPr>
          <w:b w:val="0"/>
          <w:i w:val="0"/>
        </w:rPr>
        <w:t>Table 18 — Policy comparison over 30 paired seeds on the Module 2 simulator.</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Policy</w:t>
            </w:r>
          </w:p>
        </w:tc>
        <w:tc>
          <w:tcPr>
            <w:tcW w:type="dxa" w:w="1734"/>
            <w:shd w:val="clear" w:color="auto" w:fill="E8EEF6"/>
          </w:tcPr>
          <w:p>
            <w:pPr>
              <w:spacing w:after="40" w:line="240" w:lineRule="auto"/>
              <w:jc w:val="center"/>
            </w:pPr>
            <w:r/>
            <w:r>
              <w:rPr>
                <w:b/>
                <w:sz w:val="20"/>
              </w:rPr>
              <w:t>Conv. per 1,000 sends</w:t>
            </w:r>
          </w:p>
        </w:tc>
        <w:tc>
          <w:tcPr>
            <w:tcW w:type="dxa" w:w="1734"/>
            <w:shd w:val="clear" w:color="auto" w:fill="E8EEF6"/>
          </w:tcPr>
          <w:p>
            <w:pPr>
              <w:spacing w:after="40" w:line="240" w:lineRule="auto"/>
              <w:jc w:val="center"/>
            </w:pPr>
            <w:r/>
            <w:r>
              <w:rPr>
                <w:b/>
                <w:sz w:val="20"/>
              </w:rPr>
              <w:t>95% range</w:t>
            </w:r>
          </w:p>
        </w:tc>
        <w:tc>
          <w:tcPr>
            <w:tcW w:type="dxa" w:w="1734"/>
            <w:shd w:val="clear" w:color="auto" w:fill="E8EEF6"/>
          </w:tcPr>
          <w:p>
            <w:pPr>
              <w:spacing w:after="40" w:line="240" w:lineRule="auto"/>
              <w:jc w:val="center"/>
            </w:pPr>
            <w:r/>
            <w:r>
              <w:rPr>
                <w:b/>
                <w:sz w:val="20"/>
              </w:rPr>
              <w:t>Messages/user</w:t>
            </w:r>
          </w:p>
        </w:tc>
        <w:tc>
          <w:tcPr>
            <w:tcW w:type="dxa" w:w="1734"/>
            <w:shd w:val="clear" w:color="auto" w:fill="E8EEF6"/>
          </w:tcPr>
          <w:p>
            <w:pPr>
              <w:spacing w:after="40" w:line="240" w:lineRule="auto"/>
              <w:jc w:val="center"/>
            </w:pPr>
            <w:r/>
            <w:r>
              <w:rPr>
                <w:b/>
                <w:sz w:val="20"/>
              </w:rPr>
              <w:t>Decision rules</w:t>
            </w:r>
          </w:p>
        </w:tc>
      </w:tr>
      <w:tr>
        <w:tc>
          <w:tcPr>
            <w:tcW w:type="dxa" w:w="1734"/>
          </w:tcPr>
          <w:p>
            <w:pPr>
              <w:spacing w:after="40" w:line="240" w:lineRule="auto"/>
              <w:jc w:val="left"/>
            </w:pPr>
            <w:r/>
            <w:r>
              <w:rPr>
                <w:b w:val="0"/>
                <w:sz w:val="20"/>
              </w:rPr>
              <w:t>fixed</w:t>
            </w:r>
          </w:p>
        </w:tc>
        <w:tc>
          <w:tcPr>
            <w:tcW w:type="dxa" w:w="1734"/>
          </w:tcPr>
          <w:p>
            <w:pPr>
              <w:spacing w:after="40" w:line="240" w:lineRule="auto"/>
              <w:jc w:val="center"/>
            </w:pPr>
            <w:r/>
            <w:r>
              <w:rPr>
                <w:b w:val="0"/>
                <w:sz w:val="20"/>
              </w:rPr>
              <w:t>7.15</w:t>
            </w:r>
          </w:p>
        </w:tc>
        <w:tc>
          <w:tcPr>
            <w:tcW w:type="dxa" w:w="1734"/>
          </w:tcPr>
          <w:p>
            <w:pPr>
              <w:spacing w:after="40" w:line="240" w:lineRule="auto"/>
              <w:jc w:val="center"/>
            </w:pPr>
            <w:r/>
            <w:r>
              <w:rPr>
                <w:b w:val="0"/>
                <w:sz w:val="20"/>
              </w:rPr>
              <w:t>[6.75, 7.49]</w:t>
            </w:r>
          </w:p>
        </w:tc>
        <w:tc>
          <w:tcPr>
            <w:tcW w:type="dxa" w:w="1734"/>
          </w:tcPr>
          <w:p>
            <w:pPr>
              <w:spacing w:after="40" w:line="240" w:lineRule="auto"/>
              <w:jc w:val="center"/>
            </w:pPr>
            <w:r/>
            <w:r>
              <w:rPr>
                <w:b w:val="0"/>
                <w:sz w:val="20"/>
              </w:rPr>
              <w:t>4.0</w:t>
            </w:r>
          </w:p>
        </w:tc>
        <w:tc>
          <w:tcPr>
            <w:tcW w:type="dxa" w:w="1734"/>
          </w:tcPr>
          <w:p>
            <w:pPr>
              <w:spacing w:after="40" w:line="240" w:lineRule="auto"/>
              <w:jc w:val="center"/>
            </w:pPr>
            <w:r/>
            <w:r>
              <w:rPr>
                <w:b w:val="0"/>
                <w:sz w:val="20"/>
              </w:rPr>
              <w:t>1</w:t>
            </w:r>
          </w:p>
        </w:tc>
      </w:tr>
      <w:tr>
        <w:tc>
          <w:tcPr>
            <w:tcW w:type="dxa" w:w="1734"/>
          </w:tcPr>
          <w:p>
            <w:pPr>
              <w:spacing w:after="40" w:line="240" w:lineRule="auto"/>
              <w:jc w:val="left"/>
            </w:pPr>
            <w:r/>
            <w:r>
              <w:rPr>
                <w:b w:val="0"/>
                <w:sz w:val="20"/>
              </w:rPr>
              <w:t>trigger</w:t>
            </w:r>
          </w:p>
        </w:tc>
        <w:tc>
          <w:tcPr>
            <w:tcW w:type="dxa" w:w="1734"/>
          </w:tcPr>
          <w:p>
            <w:pPr>
              <w:spacing w:after="40" w:line="240" w:lineRule="auto"/>
              <w:jc w:val="center"/>
            </w:pPr>
            <w:r/>
            <w:r>
              <w:rPr>
                <w:b w:val="0"/>
                <w:sz w:val="20"/>
              </w:rPr>
              <w:t>10.45</w:t>
            </w:r>
          </w:p>
        </w:tc>
        <w:tc>
          <w:tcPr>
            <w:tcW w:type="dxa" w:w="1734"/>
          </w:tcPr>
          <w:p>
            <w:pPr>
              <w:spacing w:after="40" w:line="240" w:lineRule="auto"/>
              <w:jc w:val="center"/>
            </w:pPr>
            <w:r/>
            <w:r>
              <w:rPr>
                <w:b w:val="0"/>
                <w:sz w:val="20"/>
              </w:rPr>
              <w:t>[9.62, 11.17]</w:t>
            </w:r>
          </w:p>
        </w:tc>
        <w:tc>
          <w:tcPr>
            <w:tcW w:type="dxa" w:w="1734"/>
          </w:tcPr>
          <w:p>
            <w:pPr>
              <w:spacing w:after="40" w:line="240" w:lineRule="auto"/>
              <w:jc w:val="center"/>
            </w:pPr>
            <w:r/>
            <w:r>
              <w:rPr>
                <w:b w:val="0"/>
                <w:sz w:val="20"/>
              </w:rPr>
              <w:t>1.32</w:t>
            </w:r>
          </w:p>
        </w:tc>
        <w:tc>
          <w:tcPr>
            <w:tcW w:type="dxa" w:w="1734"/>
          </w:tcPr>
          <w:p>
            <w:pPr>
              <w:spacing w:after="40" w:line="240" w:lineRule="auto"/>
              <w:jc w:val="center"/>
            </w:pPr>
            <w:r/>
            <w:r>
              <w:rPr>
                <w:b w:val="0"/>
                <w:sz w:val="20"/>
              </w:rPr>
              <w:t>4</w:t>
            </w:r>
          </w:p>
        </w:tc>
      </w:tr>
      <w:tr>
        <w:tc>
          <w:tcPr>
            <w:tcW w:type="dxa" w:w="1734"/>
          </w:tcPr>
          <w:p>
            <w:pPr>
              <w:spacing w:after="40" w:line="240" w:lineRule="auto"/>
              <w:jc w:val="left"/>
            </w:pPr>
            <w:r/>
            <w:r>
              <w:rPr>
                <w:b w:val="0"/>
                <w:sz w:val="20"/>
              </w:rPr>
              <w:t>hybrid</w:t>
            </w:r>
          </w:p>
        </w:tc>
        <w:tc>
          <w:tcPr>
            <w:tcW w:type="dxa" w:w="1734"/>
          </w:tcPr>
          <w:p>
            <w:pPr>
              <w:spacing w:after="40" w:line="240" w:lineRule="auto"/>
              <w:jc w:val="center"/>
            </w:pPr>
            <w:r/>
            <w:r>
              <w:rPr>
                <w:b w:val="0"/>
                <w:sz w:val="20"/>
              </w:rPr>
              <w:t>7.99</w:t>
            </w:r>
          </w:p>
        </w:tc>
        <w:tc>
          <w:tcPr>
            <w:tcW w:type="dxa" w:w="1734"/>
          </w:tcPr>
          <w:p>
            <w:pPr>
              <w:spacing w:after="40" w:line="240" w:lineRule="auto"/>
              <w:jc w:val="center"/>
            </w:pPr>
            <w:r/>
            <w:r>
              <w:rPr>
                <w:b w:val="0"/>
                <w:sz w:val="20"/>
              </w:rPr>
              <w:t>[7.45, 8.41]</w:t>
            </w:r>
          </w:p>
        </w:tc>
        <w:tc>
          <w:tcPr>
            <w:tcW w:type="dxa" w:w="1734"/>
          </w:tcPr>
          <w:p>
            <w:pPr>
              <w:spacing w:after="40" w:line="240" w:lineRule="auto"/>
              <w:jc w:val="center"/>
            </w:pPr>
            <w:r/>
            <w:r>
              <w:rPr>
                <w:b w:val="0"/>
                <w:sz w:val="20"/>
              </w:rPr>
              <w:t>3.05</w:t>
            </w:r>
          </w:p>
        </w:tc>
        <w:tc>
          <w:tcPr>
            <w:tcW w:type="dxa" w:w="1734"/>
          </w:tcPr>
          <w:p>
            <w:pPr>
              <w:spacing w:after="40" w:line="240" w:lineRule="auto"/>
              <w:jc w:val="center"/>
            </w:pPr>
            <w:r/>
            <w:r>
              <w:rPr>
                <w:b w:val="0"/>
                <w:sz w:val="20"/>
              </w:rPr>
              <w:t>9</w:t>
            </w:r>
          </w:p>
        </w:tc>
      </w:tr>
    </w:tbl>
    <w:p>
      <w:pPr>
        <w:spacing w:after="120"/>
      </w:pPr>
    </w:p>
    <w:p>
      <w:pPr>
        <w:pStyle w:val="TableCaption"/>
      </w:pPr>
      <w:r>
        <w:rPr>
          <w:b w:val="0"/>
          <w:i w:val="0"/>
        </w:rPr>
        <w:t>Table 19 — Head-to-head, paired by seed.</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Comparison</w:t>
            </w:r>
          </w:p>
        </w:tc>
        <w:tc>
          <w:tcPr>
            <w:tcW w:type="dxa" w:w="1445"/>
            <w:shd w:val="clear" w:color="auto" w:fill="E8EEF6"/>
          </w:tcPr>
          <w:p>
            <w:pPr>
              <w:spacing w:after="40" w:line="240" w:lineRule="auto"/>
              <w:jc w:val="center"/>
            </w:pPr>
            <w:r/>
            <w:r>
              <w:rPr>
                <w:b/>
                <w:sz w:val="20"/>
              </w:rPr>
              <w:t>Mean difference</w:t>
            </w:r>
          </w:p>
        </w:tc>
        <w:tc>
          <w:tcPr>
            <w:tcW w:type="dxa" w:w="1445"/>
            <w:shd w:val="clear" w:color="auto" w:fill="E8EEF6"/>
          </w:tcPr>
          <w:p>
            <w:pPr>
              <w:spacing w:after="40" w:line="240" w:lineRule="auto"/>
              <w:jc w:val="center"/>
            </w:pPr>
            <w:r/>
            <w:r>
              <w:rPr>
                <w:b/>
                <w:sz w:val="20"/>
              </w:rPr>
              <w:t>95% CI</w:t>
            </w:r>
          </w:p>
        </w:tc>
        <w:tc>
          <w:tcPr>
            <w:tcW w:type="dxa" w:w="1445"/>
            <w:shd w:val="clear" w:color="auto" w:fill="E8EEF6"/>
          </w:tcPr>
          <w:p>
            <w:pPr>
              <w:spacing w:after="40" w:line="240" w:lineRule="auto"/>
              <w:jc w:val="center"/>
            </w:pPr>
            <w:r/>
            <w:r>
              <w:rPr>
                <w:b/>
                <w:sz w:val="20"/>
              </w:rPr>
              <w:t>Wilcoxon p</w:t>
            </w:r>
          </w:p>
        </w:tc>
        <w:tc>
          <w:tcPr>
            <w:tcW w:type="dxa" w:w="1445"/>
            <w:shd w:val="clear" w:color="auto" w:fill="E8EEF6"/>
          </w:tcPr>
          <w:p>
            <w:pPr>
              <w:spacing w:after="40" w:line="240" w:lineRule="auto"/>
              <w:jc w:val="center"/>
            </w:pPr>
            <w:r/>
            <w:r>
              <w:rPr>
                <w:b/>
                <w:sz w:val="20"/>
              </w:rPr>
              <w:t>Cliff's δ</w:t>
            </w:r>
          </w:p>
        </w:tc>
        <w:tc>
          <w:tcPr>
            <w:tcW w:type="dxa" w:w="1445"/>
            <w:shd w:val="clear" w:color="auto" w:fill="E8EEF6"/>
          </w:tcPr>
          <w:p>
            <w:pPr>
              <w:spacing w:after="40" w:line="240" w:lineRule="auto"/>
              <w:jc w:val="center"/>
            </w:pPr>
            <w:r/>
            <w:r>
              <w:rPr>
                <w:b/>
                <w:sz w:val="20"/>
              </w:rPr>
              <w:t>Extra rules</w:t>
            </w:r>
          </w:p>
        </w:tc>
      </w:tr>
      <w:tr>
        <w:tc>
          <w:tcPr>
            <w:tcW w:type="dxa" w:w="1445"/>
          </w:tcPr>
          <w:p>
            <w:pPr>
              <w:spacing w:after="40" w:line="240" w:lineRule="auto"/>
              <w:jc w:val="left"/>
            </w:pPr>
            <w:r/>
            <w:r>
              <w:rPr>
                <w:b w:val="0"/>
                <w:sz w:val="20"/>
              </w:rPr>
              <w:t>hybrid − fixed</w:t>
            </w:r>
          </w:p>
        </w:tc>
        <w:tc>
          <w:tcPr>
            <w:tcW w:type="dxa" w:w="1445"/>
          </w:tcPr>
          <w:p>
            <w:pPr>
              <w:spacing w:after="40" w:line="240" w:lineRule="auto"/>
              <w:jc w:val="center"/>
            </w:pPr>
            <w:r/>
            <w:r>
              <w:rPr>
                <w:b w:val="0"/>
                <w:sz w:val="20"/>
              </w:rPr>
              <w:t>0.837</w:t>
            </w:r>
          </w:p>
        </w:tc>
        <w:tc>
          <w:tcPr>
            <w:tcW w:type="dxa" w:w="1445"/>
          </w:tcPr>
          <w:p>
            <w:pPr>
              <w:spacing w:after="40" w:line="240" w:lineRule="auto"/>
              <w:jc w:val="center"/>
            </w:pPr>
            <w:r/>
            <w:r>
              <w:rPr>
                <w:b w:val="0"/>
                <w:sz w:val="20"/>
              </w:rPr>
              <w:t>[0.727, 0.944]</w:t>
            </w:r>
          </w:p>
        </w:tc>
        <w:tc>
          <w:tcPr>
            <w:tcW w:type="dxa" w:w="1445"/>
          </w:tcPr>
          <w:p>
            <w:pPr>
              <w:spacing w:after="40" w:line="240" w:lineRule="auto"/>
              <w:jc w:val="center"/>
            </w:pPr>
            <w:r/>
            <w:r>
              <w:rPr>
                <w:b w:val="0"/>
                <w:sz w:val="20"/>
              </w:rPr>
              <w:t>1.86e-09</w:t>
            </w:r>
          </w:p>
        </w:tc>
        <w:tc>
          <w:tcPr>
            <w:tcW w:type="dxa" w:w="1445"/>
          </w:tcPr>
          <w:p>
            <w:pPr>
              <w:spacing w:after="40" w:line="240" w:lineRule="auto"/>
              <w:jc w:val="center"/>
            </w:pPr>
            <w:r/>
            <w:r>
              <w:rPr>
                <w:b w:val="0"/>
                <w:sz w:val="20"/>
              </w:rPr>
              <w:t>0.991</w:t>
            </w:r>
          </w:p>
        </w:tc>
        <w:tc>
          <w:tcPr>
            <w:tcW w:type="dxa" w:w="1445"/>
          </w:tcPr>
          <w:p>
            <w:pPr>
              <w:spacing w:after="40" w:line="240" w:lineRule="auto"/>
              <w:jc w:val="center"/>
            </w:pPr>
            <w:r/>
            <w:r>
              <w:rPr>
                <w:b w:val="0"/>
                <w:sz w:val="20"/>
              </w:rPr>
              <w:t>8</w:t>
            </w:r>
          </w:p>
        </w:tc>
      </w:tr>
      <w:tr>
        <w:tc>
          <w:tcPr>
            <w:tcW w:type="dxa" w:w="1445"/>
          </w:tcPr>
          <w:p>
            <w:pPr>
              <w:spacing w:after="40" w:line="240" w:lineRule="auto"/>
              <w:jc w:val="left"/>
            </w:pPr>
            <w:r/>
            <w:r>
              <w:rPr>
                <w:b w:val="0"/>
                <w:sz w:val="20"/>
              </w:rPr>
              <w:t>hybrid − trigger</w:t>
            </w:r>
          </w:p>
        </w:tc>
        <w:tc>
          <w:tcPr>
            <w:tcW w:type="dxa" w:w="1445"/>
          </w:tcPr>
          <w:p>
            <w:pPr>
              <w:spacing w:after="40" w:line="240" w:lineRule="auto"/>
              <w:jc w:val="center"/>
            </w:pPr>
            <w:r/>
            <w:r>
              <w:rPr>
                <w:b w:val="0"/>
                <w:sz w:val="20"/>
              </w:rPr>
              <w:t>-2.462</w:t>
            </w:r>
          </w:p>
        </w:tc>
        <w:tc>
          <w:tcPr>
            <w:tcW w:type="dxa" w:w="1445"/>
          </w:tcPr>
          <w:p>
            <w:pPr>
              <w:spacing w:after="40" w:line="240" w:lineRule="auto"/>
              <w:jc w:val="center"/>
            </w:pPr>
            <w:r/>
            <w:r>
              <w:rPr>
                <w:b w:val="0"/>
                <w:sz w:val="20"/>
              </w:rPr>
              <w:t>[-2.574, -2.347]</w:t>
            </w:r>
          </w:p>
        </w:tc>
        <w:tc>
          <w:tcPr>
            <w:tcW w:type="dxa" w:w="1445"/>
          </w:tcPr>
          <w:p>
            <w:pPr>
              <w:spacing w:after="40" w:line="240" w:lineRule="auto"/>
              <w:jc w:val="center"/>
            </w:pPr>
            <w:r/>
            <w:r>
              <w:rPr>
                <w:b w:val="0"/>
                <w:sz w:val="20"/>
              </w:rPr>
              <w:t>1.86e-09</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5</w:t>
            </w:r>
          </w:p>
        </w:tc>
      </w:tr>
      <w:tr>
        <w:tc>
          <w:tcPr>
            <w:tcW w:type="dxa" w:w="1445"/>
          </w:tcPr>
          <w:p>
            <w:pPr>
              <w:spacing w:after="40" w:line="240" w:lineRule="auto"/>
              <w:jc w:val="left"/>
            </w:pPr>
            <w:r/>
            <w:r>
              <w:rPr>
                <w:b w:val="0"/>
                <w:sz w:val="20"/>
              </w:rPr>
              <w:t>trigger − fixed</w:t>
            </w:r>
          </w:p>
        </w:tc>
        <w:tc>
          <w:tcPr>
            <w:tcW w:type="dxa" w:w="1445"/>
          </w:tcPr>
          <w:p>
            <w:pPr>
              <w:spacing w:after="40" w:line="240" w:lineRule="auto"/>
              <w:jc w:val="center"/>
            </w:pPr>
            <w:r/>
            <w:r>
              <w:rPr>
                <w:b w:val="0"/>
                <w:sz w:val="20"/>
              </w:rPr>
              <w:t>3.299</w:t>
            </w:r>
          </w:p>
        </w:tc>
        <w:tc>
          <w:tcPr>
            <w:tcW w:type="dxa" w:w="1445"/>
          </w:tcPr>
          <w:p>
            <w:pPr>
              <w:spacing w:after="40" w:line="240" w:lineRule="auto"/>
              <w:jc w:val="center"/>
            </w:pPr>
            <w:r/>
            <w:r>
              <w:rPr>
                <w:b w:val="0"/>
                <w:sz w:val="20"/>
              </w:rPr>
              <w:t>[3.146, 3.447]</w:t>
            </w:r>
          </w:p>
        </w:tc>
        <w:tc>
          <w:tcPr>
            <w:tcW w:type="dxa" w:w="1445"/>
          </w:tcPr>
          <w:p>
            <w:pPr>
              <w:spacing w:after="40" w:line="240" w:lineRule="auto"/>
              <w:jc w:val="center"/>
            </w:pPr>
            <w:r/>
            <w:r>
              <w:rPr>
                <w:b w:val="0"/>
                <w:sz w:val="20"/>
              </w:rPr>
              <w:t>1.86e-09</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3</w:t>
            </w:r>
          </w:p>
        </w:tc>
      </w:tr>
    </w:tbl>
    <w:p>
      <w:pPr>
        <w:spacing w:after="120"/>
      </w:pPr>
    </w:p>
    <w:p>
      <w:pPr>
        <w:keepNext/>
        <w:keepLines/>
        <w:spacing w:before="360" w:after="120" w:line="240" w:lineRule="auto"/>
        <w:jc w:val="center"/>
      </w:pPr>
      <w:r>
        <w:drawing>
          <wp:inline xmlns:a="http://schemas.openxmlformats.org/drawingml/2006/main" xmlns:pic="http://schemas.openxmlformats.org/drawingml/2006/picture">
            <wp:extent cx="5486400" cy="2293849"/>
            <wp:docPr id="33" name="Picture 33"/>
            <wp:cNvGraphicFramePr>
              <a:graphicFrameLocks noChangeAspect="1"/>
            </wp:cNvGraphicFramePr>
            <a:graphic>
              <a:graphicData uri="http://schemas.openxmlformats.org/drawingml/2006/picture">
                <pic:pic>
                  <pic:nvPicPr>
                    <pic:cNvPr id="0" name="fig_e3_policy_comparison.png"/>
                    <pic:cNvPicPr/>
                  </pic:nvPicPr>
                  <pic:blipFill>
                    <a:blip r:embed="rId43"/>
                    <a:stretch>
                      <a:fillRect/>
                    </a:stretch>
                  </pic:blipFill>
                  <pic:spPr>
                    <a:xfrm>
                      <a:off x="0" y="0"/>
                      <a:ext cx="5486400" cy="2293849"/>
                    </a:xfrm>
                    <a:prstGeom prst="rect"/>
                  </pic:spPr>
                </pic:pic>
              </a:graphicData>
            </a:graphic>
          </wp:inline>
        </w:drawing>
      </w:r>
    </w:p>
    <w:p>
      <w:pPr>
        <w:pStyle w:val="Caption"/>
        <w:keepLines/>
        <w:spacing w:before="40" w:after="400" w:line="240" w:lineRule="auto"/>
      </w:pPr>
      <w:r>
        <w:rPr>
          <w:b w:val="0"/>
          <w:i w:val="0"/>
        </w:rPr>
        <w:t>Figure 33 — Efficiency across seeds, and what each policy costs to run.</w:t>
      </w:r>
    </w:p>
    <w:p>
      <w:pPr>
        <w:pStyle w:val="TableCaption"/>
      </w:pPr>
      <w:r>
        <w:rPr>
          <w:b w:val="0"/>
          <w:i w:val="0"/>
        </w:rPr>
        <w:t>Table 20 — The same three policies measured on the imported audience in the running system.</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Policy</w:t>
            </w:r>
          </w:p>
        </w:tc>
        <w:tc>
          <w:tcPr>
            <w:tcW w:type="dxa" w:w="1445"/>
            <w:shd w:val="clear" w:color="auto" w:fill="E8EEF6"/>
          </w:tcPr>
          <w:p>
            <w:pPr>
              <w:spacing w:after="40" w:line="240" w:lineRule="auto"/>
              <w:jc w:val="center"/>
            </w:pPr>
            <w:r/>
            <w:r>
              <w:rPr>
                <w:b/>
                <w:sz w:val="20"/>
              </w:rPr>
              <w:t>Sent</w:t>
            </w:r>
          </w:p>
        </w:tc>
        <w:tc>
          <w:tcPr>
            <w:tcW w:type="dxa" w:w="1445"/>
            <w:shd w:val="clear" w:color="auto" w:fill="E8EEF6"/>
          </w:tcPr>
          <w:p>
            <w:pPr>
              <w:spacing w:after="40" w:line="240" w:lineRule="auto"/>
              <w:jc w:val="center"/>
            </w:pPr>
            <w:r/>
            <w:r>
              <w:rPr>
                <w:b/>
                <w:sz w:val="20"/>
              </w:rPr>
              <w:t>Clicks</w:t>
            </w:r>
          </w:p>
        </w:tc>
        <w:tc>
          <w:tcPr>
            <w:tcW w:type="dxa" w:w="1445"/>
            <w:shd w:val="clear" w:color="auto" w:fill="E8EEF6"/>
          </w:tcPr>
          <w:p>
            <w:pPr>
              <w:spacing w:after="40" w:line="240" w:lineRule="auto"/>
              <w:jc w:val="center"/>
            </w:pPr>
            <w:r/>
            <w:r>
              <w:rPr>
                <w:b/>
                <w:sz w:val="20"/>
              </w:rPr>
              <w:t>Conversions</w:t>
            </w:r>
          </w:p>
        </w:tc>
        <w:tc>
          <w:tcPr>
            <w:tcW w:type="dxa" w:w="1445"/>
            <w:shd w:val="clear" w:color="auto" w:fill="E8EEF6"/>
          </w:tcPr>
          <w:p>
            <w:pPr>
              <w:spacing w:after="40" w:line="240" w:lineRule="auto"/>
              <w:jc w:val="center"/>
            </w:pPr>
            <w:r/>
            <w:r>
              <w:rPr>
                <w:b/>
                <w:sz w:val="20"/>
              </w:rPr>
              <w:t>Conv. per 1,000 sends</w:t>
            </w:r>
          </w:p>
        </w:tc>
        <w:tc>
          <w:tcPr>
            <w:tcW w:type="dxa" w:w="1445"/>
            <w:shd w:val="clear" w:color="auto" w:fill="E8EEF6"/>
          </w:tcPr>
          <w:p>
            <w:pPr>
              <w:spacing w:after="40" w:line="240" w:lineRule="auto"/>
              <w:jc w:val="center"/>
            </w:pPr>
            <w:r/>
            <w:r>
              <w:rPr>
                <w:b/>
                <w:sz w:val="20"/>
              </w:rPr>
              <w:t>Rules</w:t>
            </w:r>
          </w:p>
        </w:tc>
      </w:tr>
      <w:tr>
        <w:tc>
          <w:tcPr>
            <w:tcW w:type="dxa" w:w="1445"/>
          </w:tcPr>
          <w:p>
            <w:pPr>
              <w:spacing w:after="40" w:line="240" w:lineRule="auto"/>
              <w:jc w:val="left"/>
            </w:pPr>
            <w:r/>
            <w:r>
              <w:rPr>
                <w:b w:val="0"/>
                <w:sz w:val="20"/>
              </w:rPr>
              <w:t>fixed</w:t>
            </w:r>
          </w:p>
        </w:tc>
        <w:tc>
          <w:tcPr>
            <w:tcW w:type="dxa" w:w="1445"/>
          </w:tcPr>
          <w:p>
            <w:pPr>
              <w:spacing w:after="40" w:line="240" w:lineRule="auto"/>
              <w:jc w:val="center"/>
            </w:pPr>
            <w:r/>
            <w:r>
              <w:rPr>
                <w:b w:val="0"/>
                <w:sz w:val="20"/>
              </w:rPr>
              <w:t>500</w:t>
            </w:r>
          </w:p>
        </w:tc>
        <w:tc>
          <w:tcPr>
            <w:tcW w:type="dxa" w:w="1445"/>
          </w:tcPr>
          <w:p>
            <w:pPr>
              <w:spacing w:after="40" w:line="240" w:lineRule="auto"/>
              <w:jc w:val="center"/>
            </w:pPr>
            <w:r/>
            <w:r>
              <w:rPr>
                <w:b w:val="0"/>
                <w:sz w:val="20"/>
              </w:rPr>
              <w:t>144</w:t>
            </w:r>
          </w:p>
        </w:tc>
        <w:tc>
          <w:tcPr>
            <w:tcW w:type="dxa" w:w="1445"/>
          </w:tcPr>
          <w:p>
            <w:pPr>
              <w:spacing w:after="40" w:line="240" w:lineRule="auto"/>
              <w:jc w:val="center"/>
            </w:pPr>
            <w:r/>
            <w:r>
              <w:rPr>
                <w:b w:val="0"/>
                <w:sz w:val="20"/>
              </w:rPr>
              <w:t>36</w:t>
            </w:r>
          </w:p>
        </w:tc>
        <w:tc>
          <w:tcPr>
            <w:tcW w:type="dxa" w:w="1445"/>
          </w:tcPr>
          <w:p>
            <w:pPr>
              <w:spacing w:after="40" w:line="240" w:lineRule="auto"/>
              <w:jc w:val="center"/>
            </w:pPr>
            <w:r/>
            <w:r>
              <w:rPr>
                <w:b w:val="0"/>
                <w:sz w:val="20"/>
              </w:rPr>
              <w:t>72.0</w:t>
            </w:r>
          </w:p>
        </w:tc>
        <w:tc>
          <w:tcPr>
            <w:tcW w:type="dxa" w:w="1445"/>
          </w:tcPr>
          <w:p>
            <w:pPr>
              <w:spacing w:after="40" w:line="240" w:lineRule="auto"/>
              <w:jc w:val="center"/>
            </w:pPr>
            <w:r/>
            <w:r>
              <w:rPr>
                <w:b w:val="0"/>
                <w:sz w:val="20"/>
              </w:rPr>
              <w:t>1</w:t>
            </w:r>
          </w:p>
        </w:tc>
      </w:tr>
      <w:tr>
        <w:tc>
          <w:tcPr>
            <w:tcW w:type="dxa" w:w="1445"/>
          </w:tcPr>
          <w:p>
            <w:pPr>
              <w:spacing w:after="40" w:line="240" w:lineRule="auto"/>
              <w:jc w:val="left"/>
            </w:pPr>
            <w:r/>
            <w:r>
              <w:rPr>
                <w:b w:val="0"/>
                <w:sz w:val="20"/>
              </w:rPr>
              <w:t>trigger</w:t>
            </w:r>
          </w:p>
        </w:tc>
        <w:tc>
          <w:tcPr>
            <w:tcW w:type="dxa" w:w="1445"/>
          </w:tcPr>
          <w:p>
            <w:pPr>
              <w:spacing w:after="40" w:line="240" w:lineRule="auto"/>
              <w:jc w:val="center"/>
            </w:pPr>
            <w:r/>
            <w:r>
              <w:rPr>
                <w:b w:val="0"/>
                <w:sz w:val="20"/>
              </w:rPr>
              <w:t>400</w:t>
            </w:r>
          </w:p>
        </w:tc>
        <w:tc>
          <w:tcPr>
            <w:tcW w:type="dxa" w:w="1445"/>
          </w:tcPr>
          <w:p>
            <w:pPr>
              <w:spacing w:after="40" w:line="240" w:lineRule="auto"/>
              <w:jc w:val="center"/>
            </w:pPr>
            <w:r/>
            <w:r>
              <w:rPr>
                <w:b w:val="0"/>
                <w:sz w:val="20"/>
              </w:rPr>
              <w:t>111</w:t>
            </w:r>
          </w:p>
        </w:tc>
        <w:tc>
          <w:tcPr>
            <w:tcW w:type="dxa" w:w="1445"/>
          </w:tcPr>
          <w:p>
            <w:pPr>
              <w:spacing w:after="40" w:line="240" w:lineRule="auto"/>
              <w:jc w:val="center"/>
            </w:pPr>
            <w:r/>
            <w:r>
              <w:rPr>
                <w:b w:val="0"/>
                <w:sz w:val="20"/>
              </w:rPr>
              <w:t>44</w:t>
            </w:r>
          </w:p>
        </w:tc>
        <w:tc>
          <w:tcPr>
            <w:tcW w:type="dxa" w:w="1445"/>
          </w:tcPr>
          <w:p>
            <w:pPr>
              <w:spacing w:after="40" w:line="240" w:lineRule="auto"/>
              <w:jc w:val="center"/>
            </w:pPr>
            <w:r/>
            <w:r>
              <w:rPr>
                <w:b w:val="0"/>
                <w:sz w:val="20"/>
              </w:rPr>
              <w:t>110.0</w:t>
            </w:r>
          </w:p>
        </w:tc>
        <w:tc>
          <w:tcPr>
            <w:tcW w:type="dxa" w:w="1445"/>
          </w:tcPr>
          <w:p>
            <w:pPr>
              <w:spacing w:after="40" w:line="240" w:lineRule="auto"/>
              <w:jc w:val="center"/>
            </w:pPr>
            <w:r/>
            <w:r>
              <w:rPr>
                <w:b w:val="0"/>
                <w:sz w:val="20"/>
              </w:rPr>
              <w:t>4</w:t>
            </w:r>
          </w:p>
        </w:tc>
      </w:tr>
      <w:tr>
        <w:tc>
          <w:tcPr>
            <w:tcW w:type="dxa" w:w="1445"/>
          </w:tcPr>
          <w:p>
            <w:pPr>
              <w:spacing w:after="40" w:line="240" w:lineRule="auto"/>
              <w:jc w:val="left"/>
            </w:pPr>
            <w:r/>
            <w:r>
              <w:rPr>
                <w:b w:val="0"/>
                <w:sz w:val="20"/>
              </w:rPr>
              <w:t>hybrid</w:t>
            </w:r>
          </w:p>
        </w:tc>
        <w:tc>
          <w:tcPr>
            <w:tcW w:type="dxa" w:w="1445"/>
          </w:tcPr>
          <w:p>
            <w:pPr>
              <w:spacing w:after="40" w:line="240" w:lineRule="auto"/>
              <w:jc w:val="center"/>
            </w:pPr>
            <w:r/>
            <w:r>
              <w:rPr>
                <w:b w:val="0"/>
                <w:sz w:val="20"/>
              </w:rPr>
              <w:t>400</w:t>
            </w:r>
          </w:p>
        </w:tc>
        <w:tc>
          <w:tcPr>
            <w:tcW w:type="dxa" w:w="1445"/>
          </w:tcPr>
          <w:p>
            <w:pPr>
              <w:spacing w:after="40" w:line="240" w:lineRule="auto"/>
              <w:jc w:val="center"/>
            </w:pPr>
            <w:r/>
            <w:r>
              <w:rPr>
                <w:b w:val="0"/>
                <w:sz w:val="20"/>
              </w:rPr>
              <w:t>109</w:t>
            </w:r>
          </w:p>
        </w:tc>
        <w:tc>
          <w:tcPr>
            <w:tcW w:type="dxa" w:w="1445"/>
          </w:tcPr>
          <w:p>
            <w:pPr>
              <w:spacing w:after="40" w:line="240" w:lineRule="auto"/>
              <w:jc w:val="center"/>
            </w:pPr>
            <w:r/>
            <w:r>
              <w:rPr>
                <w:b w:val="0"/>
                <w:sz w:val="20"/>
              </w:rPr>
              <w:t>42</w:t>
            </w:r>
          </w:p>
        </w:tc>
        <w:tc>
          <w:tcPr>
            <w:tcW w:type="dxa" w:w="1445"/>
          </w:tcPr>
          <w:p>
            <w:pPr>
              <w:spacing w:after="40" w:line="240" w:lineRule="auto"/>
              <w:jc w:val="center"/>
            </w:pPr>
            <w:r/>
            <w:r>
              <w:rPr>
                <w:b w:val="0"/>
                <w:sz w:val="20"/>
              </w:rPr>
              <w:t>105.0</w:t>
            </w:r>
          </w:p>
        </w:tc>
        <w:tc>
          <w:tcPr>
            <w:tcW w:type="dxa" w:w="1445"/>
          </w:tcPr>
          <w:p>
            <w:pPr>
              <w:spacing w:after="40" w:line="240" w:lineRule="auto"/>
              <w:jc w:val="center"/>
            </w:pPr>
            <w:r/>
            <w:r>
              <w:rPr>
                <w:b w:val="0"/>
                <w:sz w:val="20"/>
              </w:rPr>
              <w:t>8</w:t>
            </w:r>
          </w:p>
        </w:tc>
      </w:tr>
    </w:tbl>
    <w:p>
      <w:pPr>
        <w:spacing w:after="120"/>
      </w:pPr>
    </w:p>
    <w:p>
      <w:pPr>
        <w:pStyle w:val="NoteBox"/>
      </w:pPr>
      <w:r>
        <w:rPr>
          <w:b/>
        </w:rPr>
        <w:t>The simulation and the live build disagree about which policy wins.</w:t>
      </w:r>
      <w:r>
        <w:t xml:space="preserve"> Both metrics are volume-controlled, so the difference lies in how response is modelled — the simulator's segment-level propensities against per-customer rates drawn from each customer's own recorded email history. Neither is an observation of real people reacting. The ranking is evidently not robust to that choice, and that instability is the result. Quoting whichever run supports the preferred conclusion would be the one genuinely dishonest option available here.</w:t>
      </w:r>
    </w:p>
    <w:p>
      <w:pPr>
        <w:keepNext/>
        <w:keepLines/>
        <w:spacing w:before="360" w:after="120" w:line="240" w:lineRule="auto"/>
        <w:jc w:val="center"/>
      </w:pPr>
      <w:r>
        <w:drawing>
          <wp:inline xmlns:a="http://schemas.openxmlformats.org/drawingml/2006/main" xmlns:pic="http://schemas.openxmlformats.org/drawingml/2006/picture">
            <wp:extent cx="5486400" cy="2924070"/>
            <wp:docPr id="34" name="Picture 34"/>
            <wp:cNvGraphicFramePr>
              <a:graphicFrameLocks noChangeAspect="1"/>
            </wp:cNvGraphicFramePr>
            <a:graphic>
              <a:graphicData uri="http://schemas.openxmlformats.org/drawingml/2006/picture">
                <pic:pic>
                  <pic:nvPicPr>
                    <pic:cNvPr id="0" name="fig_e3_sparsity.png"/>
                    <pic:cNvPicPr/>
                  </pic:nvPicPr>
                  <pic:blipFill>
                    <a:blip r:embed="rId44"/>
                    <a:stretch>
                      <a:fillRect/>
                    </a:stretch>
                  </pic:blipFill>
                  <pic:spPr>
                    <a:xfrm>
                      <a:off x="0" y="0"/>
                      <a:ext cx="5486400" cy="2924070"/>
                    </a:xfrm>
                    <a:prstGeom prst="rect"/>
                  </pic:spPr>
                </pic:pic>
              </a:graphicData>
            </a:graphic>
          </wp:inline>
        </w:drawing>
      </w:r>
    </w:p>
    <w:p>
      <w:pPr>
        <w:pStyle w:val="Caption"/>
        <w:keepLines/>
        <w:spacing w:before="40" w:after="400" w:line="240" w:lineRule="auto"/>
      </w:pPr>
      <w:r>
        <w:rPr>
          <w:b w:val="0"/>
          <w:i w:val="0"/>
        </w:rPr>
        <w:t>Figure 34 — Efficiency as the behavioural signal is suppressed. A policy that reacts to behaviour should degrade as behaviour stops being observable.</w:t>
      </w:r>
    </w:p>
    <w:p>
      <w:pPr>
        <w:pStyle w:val="Heading3"/>
      </w:pPr>
      <w:r>
        <w:t>7.3.4 Attribution — four models, four answers</w:t>
      </w:r>
    </w:p>
    <w:p>
      <w:pPr>
        <w:pStyle w:val="TableCaption"/>
      </w:pPr>
      <w:r>
        <w:rPr>
          <w:b w:val="0"/>
          <w:i w:val="0"/>
        </w:rPr>
        <w:t>Table 21 — Attribution models scored against known channel influence on simulated journeys.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Model</w:t>
            </w:r>
          </w:p>
        </w:tc>
        <w:tc>
          <w:tcPr>
            <w:tcW w:type="dxa" w:w="2167"/>
            <w:shd w:val="clear" w:color="auto" w:fill="E8EEF6"/>
          </w:tcPr>
          <w:p>
            <w:pPr>
              <w:spacing w:after="40" w:line="240" w:lineRule="auto"/>
              <w:jc w:val="center"/>
            </w:pPr>
            <w:r/>
            <w:r>
              <w:rPr>
                <w:b/>
                <w:sz w:val="20"/>
              </w:rPr>
              <w:t>MAE</w:t>
            </w:r>
          </w:p>
        </w:tc>
        <w:tc>
          <w:tcPr>
            <w:tcW w:type="dxa" w:w="2167"/>
            <w:shd w:val="clear" w:color="auto" w:fill="E8EEF6"/>
          </w:tcPr>
          <w:p>
            <w:pPr>
              <w:spacing w:after="40" w:line="240" w:lineRule="auto"/>
              <w:jc w:val="center"/>
            </w:pPr>
            <w:r/>
            <w:r>
              <w:rPr>
                <w:b/>
                <w:sz w:val="20"/>
              </w:rPr>
              <w:t>95% CI</w:t>
            </w:r>
          </w:p>
        </w:tc>
        <w:tc>
          <w:tcPr>
            <w:tcW w:type="dxa" w:w="2167"/>
            <w:shd w:val="clear" w:color="auto" w:fill="E8EEF6"/>
          </w:tcPr>
          <w:p>
            <w:pPr>
              <w:spacing w:after="40" w:line="240" w:lineRule="auto"/>
              <w:jc w:val="center"/>
            </w:pPr>
            <w:r/>
            <w:r>
              <w:rPr>
                <w:b/>
                <w:sz w:val="20"/>
              </w:rPr>
              <w:t>Channels</w:t>
            </w:r>
          </w:p>
        </w:tc>
      </w:tr>
      <w:tr>
        <w:tc>
          <w:tcPr>
            <w:tcW w:type="dxa" w:w="2167"/>
          </w:tcPr>
          <w:p>
            <w:pPr>
              <w:spacing w:after="40" w:line="240" w:lineRule="auto"/>
              <w:jc w:val="left"/>
            </w:pPr>
            <w:r/>
            <w:r>
              <w:rPr>
                <w:b w:val="0"/>
                <w:sz w:val="20"/>
              </w:rPr>
              <w:t>first_touch</w:t>
            </w:r>
          </w:p>
        </w:tc>
        <w:tc>
          <w:tcPr>
            <w:tcW w:type="dxa" w:w="2167"/>
          </w:tcPr>
          <w:p>
            <w:pPr>
              <w:spacing w:after="40" w:line="240" w:lineRule="auto"/>
              <w:jc w:val="center"/>
            </w:pPr>
            <w:r/>
            <w:r>
              <w:rPr>
                <w:b w:val="0"/>
                <w:sz w:val="20"/>
              </w:rPr>
              <w:t>0.0178</w:t>
            </w:r>
          </w:p>
        </w:tc>
        <w:tc>
          <w:tcPr>
            <w:tcW w:type="dxa" w:w="2167"/>
          </w:tcPr>
          <w:p>
            <w:pPr>
              <w:spacing w:after="40" w:line="240" w:lineRule="auto"/>
              <w:jc w:val="center"/>
            </w:pPr>
            <w:r/>
            <w:r>
              <w:rPr>
                <w:b w:val="0"/>
                <w:sz w:val="20"/>
              </w:rPr>
              <w:t>[0.0112, 0.0268]</w:t>
            </w:r>
          </w:p>
        </w:tc>
        <w:tc>
          <w:tcPr>
            <w:tcW w:type="dxa" w:w="2167"/>
          </w:tcPr>
          <w:p>
            <w:pPr>
              <w:spacing w:after="40" w:line="240" w:lineRule="auto"/>
              <w:jc w:val="center"/>
            </w:pPr>
            <w:r/>
            <w:r>
              <w:rPr>
                <w:b w:val="0"/>
                <w:sz w:val="20"/>
              </w:rPr>
              <w:t>5</w:t>
            </w:r>
          </w:p>
        </w:tc>
      </w:tr>
      <w:tr>
        <w:tc>
          <w:tcPr>
            <w:tcW w:type="dxa" w:w="2167"/>
          </w:tcPr>
          <w:p>
            <w:pPr>
              <w:spacing w:after="40" w:line="240" w:lineRule="auto"/>
              <w:jc w:val="left"/>
            </w:pPr>
            <w:r/>
            <w:r>
              <w:rPr>
                <w:b w:val="0"/>
                <w:sz w:val="20"/>
              </w:rPr>
              <w:t>linear</w:t>
            </w:r>
          </w:p>
        </w:tc>
        <w:tc>
          <w:tcPr>
            <w:tcW w:type="dxa" w:w="2167"/>
          </w:tcPr>
          <w:p>
            <w:pPr>
              <w:spacing w:after="40" w:line="240" w:lineRule="auto"/>
              <w:jc w:val="center"/>
            </w:pPr>
            <w:r/>
            <w:r>
              <w:rPr>
                <w:b w:val="0"/>
                <w:sz w:val="20"/>
              </w:rPr>
              <w:t>0.0178</w:t>
            </w:r>
          </w:p>
        </w:tc>
        <w:tc>
          <w:tcPr>
            <w:tcW w:type="dxa" w:w="2167"/>
          </w:tcPr>
          <w:p>
            <w:pPr>
              <w:spacing w:after="40" w:line="240" w:lineRule="auto"/>
              <w:jc w:val="center"/>
            </w:pPr>
            <w:r/>
            <w:r>
              <w:rPr>
                <w:b w:val="0"/>
                <w:sz w:val="20"/>
              </w:rPr>
              <w:t>[0.0086, 0.0292]</w:t>
            </w:r>
          </w:p>
        </w:tc>
        <w:tc>
          <w:tcPr>
            <w:tcW w:type="dxa" w:w="2167"/>
          </w:tcPr>
          <w:p>
            <w:pPr>
              <w:spacing w:after="40" w:line="240" w:lineRule="auto"/>
              <w:jc w:val="center"/>
            </w:pPr>
            <w:r/>
            <w:r>
              <w:rPr>
                <w:b w:val="0"/>
                <w:sz w:val="20"/>
              </w:rPr>
              <w:t>5</w:t>
            </w:r>
          </w:p>
        </w:tc>
      </w:tr>
      <w:tr>
        <w:tc>
          <w:tcPr>
            <w:tcW w:type="dxa" w:w="2167"/>
          </w:tcPr>
          <w:p>
            <w:pPr>
              <w:spacing w:after="40" w:line="240" w:lineRule="auto"/>
              <w:jc w:val="left"/>
            </w:pPr>
            <w:r/>
            <w:r>
              <w:rPr>
                <w:b w:val="0"/>
                <w:sz w:val="20"/>
              </w:rPr>
              <w:t>last_touch</w:t>
            </w:r>
          </w:p>
        </w:tc>
        <w:tc>
          <w:tcPr>
            <w:tcW w:type="dxa" w:w="2167"/>
          </w:tcPr>
          <w:p>
            <w:pPr>
              <w:spacing w:after="40" w:line="240" w:lineRule="auto"/>
              <w:jc w:val="center"/>
            </w:pPr>
            <w:r/>
            <w:r>
              <w:rPr>
                <w:b w:val="0"/>
                <w:sz w:val="20"/>
              </w:rPr>
              <w:t>0.026</w:t>
            </w:r>
          </w:p>
        </w:tc>
        <w:tc>
          <w:tcPr>
            <w:tcW w:type="dxa" w:w="2167"/>
          </w:tcPr>
          <w:p>
            <w:pPr>
              <w:spacing w:after="40" w:line="240" w:lineRule="auto"/>
              <w:jc w:val="center"/>
            </w:pPr>
            <w:r/>
            <w:r>
              <w:rPr>
                <w:b w:val="0"/>
                <w:sz w:val="20"/>
              </w:rPr>
              <w:t>[0.0094, 0.0448]</w:t>
            </w:r>
          </w:p>
        </w:tc>
        <w:tc>
          <w:tcPr>
            <w:tcW w:type="dxa" w:w="2167"/>
          </w:tcPr>
          <w:p>
            <w:pPr>
              <w:spacing w:after="40" w:line="240" w:lineRule="auto"/>
              <w:jc w:val="center"/>
            </w:pPr>
            <w:r/>
            <w:r>
              <w:rPr>
                <w:b w:val="0"/>
                <w:sz w:val="20"/>
              </w:rPr>
              <w:t>5</w:t>
            </w:r>
          </w:p>
        </w:tc>
      </w:tr>
      <w:tr>
        <w:tc>
          <w:tcPr>
            <w:tcW w:type="dxa" w:w="2167"/>
          </w:tcPr>
          <w:p>
            <w:pPr>
              <w:spacing w:after="40" w:line="240" w:lineRule="auto"/>
              <w:jc w:val="left"/>
            </w:pPr>
            <w:r/>
            <w:r>
              <w:rPr>
                <w:b w:val="0"/>
                <w:sz w:val="20"/>
              </w:rPr>
              <w:t>markov</w:t>
            </w:r>
          </w:p>
        </w:tc>
        <w:tc>
          <w:tcPr>
            <w:tcW w:type="dxa" w:w="2167"/>
          </w:tcPr>
          <w:p>
            <w:pPr>
              <w:spacing w:after="40" w:line="240" w:lineRule="auto"/>
              <w:jc w:val="center"/>
            </w:pPr>
            <w:r/>
            <w:r>
              <w:rPr>
                <w:b w:val="0"/>
                <w:sz w:val="20"/>
              </w:rPr>
              <w:t>0.0525</w:t>
            </w:r>
          </w:p>
        </w:tc>
        <w:tc>
          <w:tcPr>
            <w:tcW w:type="dxa" w:w="2167"/>
          </w:tcPr>
          <w:p>
            <w:pPr>
              <w:spacing w:after="40" w:line="240" w:lineRule="auto"/>
              <w:jc w:val="center"/>
            </w:pPr>
            <w:r/>
            <w:r>
              <w:rPr>
                <w:b w:val="0"/>
                <w:sz w:val="20"/>
              </w:rPr>
              <w:t>[0.0345, 0.0791]</w:t>
            </w:r>
          </w:p>
        </w:tc>
        <w:tc>
          <w:tcPr>
            <w:tcW w:type="dxa" w:w="2167"/>
          </w:tcPr>
          <w:p>
            <w:pPr>
              <w:spacing w:after="40" w:line="240" w:lineRule="auto"/>
              <w:jc w:val="center"/>
            </w:pPr>
            <w:r/>
            <w:r>
              <w:rPr>
                <w:b w:val="0"/>
                <w:sz w:val="20"/>
              </w:rPr>
              <w:t>5</w:t>
            </w:r>
          </w:p>
        </w:tc>
      </w:tr>
    </w:tbl>
    <w:p>
      <w:pPr>
        <w:spacing w:after="120"/>
      </w:pPr>
    </w:p>
    <w:p>
      <w:r>
        <w:t>On the live journeys of 7,811 converting customers the models disagree over 68% of all attributed credit at the widest pair, and 35% on average. Last-touch hands the great majority of credit to email; first-touch spreads it almost evenly across the acquisition channels.</w:t>
      </w:r>
    </w:p>
    <w:p>
      <w:pPr>
        <w:pStyle w:val="NoteBox"/>
      </w:pPr>
      <w:r>
        <w:t>A company reading only its last-touch dashboard would conclude that email is responsible for nearly everything, and would cut the acquisition spend that built the audience email later converted. The disagreement between models is not a defect in one of them — it is the finding.</w:t>
      </w:r>
    </w:p>
    <w:p>
      <w:r>
        <w:t>20% of converting journeys have a single touchpoint. On those, every model agrees by arithmetic, and that agreement must never be read as corroboration.</w:t>
      </w:r>
    </w:p>
    <w:p>
      <w:pPr>
        <w:keepNext/>
        <w:keepLines/>
        <w:spacing w:before="360" w:after="120" w:line="240" w:lineRule="auto"/>
        <w:jc w:val="center"/>
      </w:pPr>
      <w:r>
        <w:drawing>
          <wp:inline xmlns:a="http://schemas.openxmlformats.org/drawingml/2006/main" xmlns:pic="http://schemas.openxmlformats.org/drawingml/2006/picture">
            <wp:extent cx="5486400" cy="1938670"/>
            <wp:docPr id="35" name="Picture 35"/>
            <wp:cNvGraphicFramePr>
              <a:graphicFrameLocks noChangeAspect="1"/>
            </wp:cNvGraphicFramePr>
            <a:graphic>
              <a:graphicData uri="http://schemas.openxmlformats.org/drawingml/2006/picture">
                <pic:pic>
                  <pic:nvPicPr>
                    <pic:cNvPr id="0" name="fig_e4_attribution.png"/>
                    <pic:cNvPicPr/>
                  </pic:nvPicPr>
                  <pic:blipFill>
                    <a:blip r:embed="rId45"/>
                    <a:stretch>
                      <a:fillRect/>
                    </a:stretch>
                  </pic:blipFill>
                  <pic:spPr>
                    <a:xfrm>
                      <a:off x="0" y="0"/>
                      <a:ext cx="5486400" cy="1938670"/>
                    </a:xfrm>
                    <a:prstGeom prst="rect"/>
                  </pic:spPr>
                </pic:pic>
              </a:graphicData>
            </a:graphic>
          </wp:inline>
        </w:drawing>
      </w:r>
    </w:p>
    <w:p>
      <w:pPr>
        <w:pStyle w:val="Caption"/>
        <w:keepLines/>
        <w:spacing w:before="40" w:after="400" w:line="240" w:lineRule="auto"/>
      </w:pPr>
      <w:r>
        <w:rPr>
          <w:b w:val="0"/>
          <w:i w:val="0"/>
        </w:rPr>
        <w:t>Figure 35 — The same journeys under four attribution models, and their error where ground truth exists.</w:t>
      </w:r>
    </w:p>
    <w:p>
      <w:pPr>
        <w:pStyle w:val="Heading3"/>
      </w:pPr>
      <w:r>
        <w:t>7.3.5 Prediction, and what the move to another audience costs</w:t>
      </w:r>
    </w:p>
    <w:p>
      <w:pPr>
        <w:pStyle w:val="TableCaption"/>
      </w:pPr>
      <w:r>
        <w:rPr>
          <w:b w:val="0"/>
          <w:i w:val="0"/>
        </w:rPr>
        <w:t>Table 22 — Conversion and drop-off classifiers against a baseline, fitted on Module 3's simulator.</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Target</w:t>
            </w:r>
          </w:p>
        </w:tc>
        <w:tc>
          <w:tcPr>
            <w:tcW w:type="dxa" w:w="1445"/>
            <w:shd w:val="clear" w:color="auto" w:fill="E8EEF6"/>
          </w:tcPr>
          <w:p>
            <w:pPr>
              <w:spacing w:after="40" w:line="240" w:lineRule="auto"/>
              <w:jc w:val="center"/>
            </w:pPr>
            <w:r/>
            <w:r>
              <w:rPr>
                <w:b/>
                <w:sz w:val="20"/>
              </w:rPr>
              <w:t>Model</w:t>
            </w:r>
          </w:p>
        </w:tc>
        <w:tc>
          <w:tcPr>
            <w:tcW w:type="dxa" w:w="1445"/>
            <w:shd w:val="clear" w:color="auto" w:fill="E8EEF6"/>
          </w:tcPr>
          <w:p>
            <w:pPr>
              <w:spacing w:after="40" w:line="240" w:lineRule="auto"/>
              <w:jc w:val="center"/>
            </w:pPr>
            <w:r/>
            <w:r>
              <w:rPr>
                <w:b/>
                <w:sz w:val="20"/>
              </w:rPr>
              <w:t>ROC-AUC</w:t>
            </w:r>
          </w:p>
        </w:tc>
        <w:tc>
          <w:tcPr>
            <w:tcW w:type="dxa" w:w="1445"/>
            <w:shd w:val="clear" w:color="auto" w:fill="E8EEF6"/>
          </w:tcPr>
          <w:p>
            <w:pPr>
              <w:spacing w:after="40" w:line="240" w:lineRule="auto"/>
              <w:jc w:val="center"/>
            </w:pPr>
            <w:r/>
            <w:r>
              <w:rPr>
                <w:b/>
                <w:sz w:val="20"/>
              </w:rPr>
              <w:t>95% CI</w:t>
            </w:r>
          </w:p>
        </w:tc>
        <w:tc>
          <w:tcPr>
            <w:tcW w:type="dxa" w:w="1445"/>
            <w:shd w:val="clear" w:color="auto" w:fill="E8EEF6"/>
          </w:tcPr>
          <w:p>
            <w:pPr>
              <w:spacing w:after="40" w:line="240" w:lineRule="auto"/>
              <w:jc w:val="center"/>
            </w:pPr>
            <w:r/>
            <w:r>
              <w:rPr>
                <w:b/>
                <w:sz w:val="20"/>
              </w:rPr>
              <w:t>PR-AUC</w:t>
            </w:r>
          </w:p>
        </w:tc>
        <w:tc>
          <w:tcPr>
            <w:tcW w:type="dxa" w:w="1445"/>
            <w:shd w:val="clear" w:color="auto" w:fill="E8EEF6"/>
          </w:tcPr>
          <w:p>
            <w:pPr>
              <w:spacing w:after="40" w:line="240" w:lineRule="auto"/>
              <w:jc w:val="center"/>
            </w:pPr>
            <w:r/>
            <w:r>
              <w:rPr>
                <w:b/>
                <w:sz w:val="20"/>
              </w:rPr>
              <w:t>Brier</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baseline (stratified)</w:t>
            </w:r>
          </w:p>
        </w:tc>
        <w:tc>
          <w:tcPr>
            <w:tcW w:type="dxa" w:w="1445"/>
          </w:tcPr>
          <w:p>
            <w:pPr>
              <w:spacing w:after="40" w:line="240" w:lineRule="auto"/>
              <w:jc w:val="center"/>
            </w:pPr>
            <w:r/>
            <w:r>
              <w:rPr>
                <w:b w:val="0"/>
                <w:sz w:val="20"/>
              </w:rPr>
              <w:t>0.4983</w:t>
            </w:r>
          </w:p>
        </w:tc>
        <w:tc>
          <w:tcPr>
            <w:tcW w:type="dxa" w:w="1445"/>
          </w:tcPr>
          <w:p>
            <w:pPr>
              <w:spacing w:after="40" w:line="240" w:lineRule="auto"/>
              <w:jc w:val="center"/>
            </w:pPr>
            <w:r/>
            <w:r>
              <w:rPr>
                <w:b w:val="0"/>
                <w:sz w:val="20"/>
              </w:rPr>
              <w:t>[0.4772, 0.5221]</w:t>
            </w:r>
          </w:p>
        </w:tc>
        <w:tc>
          <w:tcPr>
            <w:tcW w:type="dxa" w:w="1445"/>
          </w:tcPr>
          <w:p>
            <w:pPr>
              <w:spacing w:after="40" w:line="240" w:lineRule="auto"/>
              <w:jc w:val="center"/>
            </w:pPr>
            <w:r/>
            <w:r>
              <w:rPr>
                <w:b w:val="0"/>
                <w:sz w:val="20"/>
              </w:rPr>
              <w:t>0.1147</w:t>
            </w:r>
          </w:p>
        </w:tc>
        <w:tc>
          <w:tcPr>
            <w:tcW w:type="dxa" w:w="1445"/>
          </w:tcPr>
          <w:p>
            <w:pPr>
              <w:spacing w:after="40" w:line="240" w:lineRule="auto"/>
              <w:jc w:val="center"/>
            </w:pPr>
            <w:r/>
            <w:r>
              <w:rPr>
                <w:b w:val="0"/>
                <w:sz w:val="20"/>
              </w:rPr>
              <w:t>0.205</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logistic regression</w:t>
            </w:r>
          </w:p>
        </w:tc>
        <w:tc>
          <w:tcPr>
            <w:tcW w:type="dxa" w:w="1445"/>
          </w:tcPr>
          <w:p>
            <w:pPr>
              <w:spacing w:after="40" w:line="240" w:lineRule="auto"/>
              <w:jc w:val="center"/>
            </w:pPr>
            <w:r/>
            <w:r>
              <w:rPr>
                <w:b w:val="0"/>
                <w:sz w:val="20"/>
              </w:rPr>
              <w:t>0.9651</w:t>
            </w:r>
          </w:p>
        </w:tc>
        <w:tc>
          <w:tcPr>
            <w:tcW w:type="dxa" w:w="1445"/>
          </w:tcPr>
          <w:p>
            <w:pPr>
              <w:spacing w:after="40" w:line="240" w:lineRule="auto"/>
              <w:jc w:val="center"/>
            </w:pPr>
            <w:r/>
            <w:r>
              <w:rPr>
                <w:b w:val="0"/>
                <w:sz w:val="20"/>
              </w:rPr>
              <w:t>[0.9541, 0.9743]</w:t>
            </w:r>
          </w:p>
        </w:tc>
        <w:tc>
          <w:tcPr>
            <w:tcW w:type="dxa" w:w="1445"/>
          </w:tcPr>
          <w:p>
            <w:pPr>
              <w:spacing w:after="40" w:line="240" w:lineRule="auto"/>
              <w:jc w:val="center"/>
            </w:pPr>
            <w:r/>
            <w:r>
              <w:rPr>
                <w:b w:val="0"/>
                <w:sz w:val="20"/>
              </w:rPr>
              <w:t>0.8371</w:t>
            </w:r>
          </w:p>
        </w:tc>
        <w:tc>
          <w:tcPr>
            <w:tcW w:type="dxa" w:w="1445"/>
          </w:tcPr>
          <w:p>
            <w:pPr>
              <w:spacing w:after="40" w:line="240" w:lineRule="auto"/>
              <w:jc w:val="center"/>
            </w:pPr>
            <w:r/>
            <w:r>
              <w:rPr>
                <w:b w:val="0"/>
                <w:sz w:val="20"/>
              </w:rPr>
              <w:t>0.0409</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random forest</w:t>
            </w:r>
          </w:p>
        </w:tc>
        <w:tc>
          <w:tcPr>
            <w:tcW w:type="dxa" w:w="1445"/>
          </w:tcPr>
          <w:p>
            <w:pPr>
              <w:spacing w:after="40" w:line="240" w:lineRule="auto"/>
              <w:jc w:val="center"/>
            </w:pPr>
            <w:r/>
            <w:r>
              <w:rPr>
                <w:b w:val="0"/>
                <w:sz w:val="20"/>
              </w:rPr>
              <w:t>0.9722</w:t>
            </w:r>
          </w:p>
        </w:tc>
        <w:tc>
          <w:tcPr>
            <w:tcW w:type="dxa" w:w="1445"/>
          </w:tcPr>
          <w:p>
            <w:pPr>
              <w:spacing w:after="40" w:line="240" w:lineRule="auto"/>
              <w:jc w:val="center"/>
            </w:pPr>
            <w:r/>
            <w:r>
              <w:rPr>
                <w:b w:val="0"/>
                <w:sz w:val="20"/>
              </w:rPr>
              <w:t>[0.9642, 0.9793]</w:t>
            </w:r>
          </w:p>
        </w:tc>
        <w:tc>
          <w:tcPr>
            <w:tcW w:type="dxa" w:w="1445"/>
          </w:tcPr>
          <w:p>
            <w:pPr>
              <w:spacing w:after="40" w:line="240" w:lineRule="auto"/>
              <w:jc w:val="center"/>
            </w:pPr>
            <w:r/>
            <w:r>
              <w:rPr>
                <w:b w:val="0"/>
                <w:sz w:val="20"/>
              </w:rPr>
              <w:t>0.8667</w:t>
            </w:r>
          </w:p>
        </w:tc>
        <w:tc>
          <w:tcPr>
            <w:tcW w:type="dxa" w:w="1445"/>
          </w:tcPr>
          <w:p>
            <w:pPr>
              <w:spacing w:after="40" w:line="240" w:lineRule="auto"/>
              <w:jc w:val="center"/>
            </w:pPr>
            <w:r/>
            <w:r>
              <w:rPr>
                <w:b w:val="0"/>
                <w:sz w:val="20"/>
              </w:rPr>
              <w:t>0.0375</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xgboost</w:t>
            </w:r>
          </w:p>
        </w:tc>
        <w:tc>
          <w:tcPr>
            <w:tcW w:type="dxa" w:w="1445"/>
          </w:tcPr>
          <w:p>
            <w:pPr>
              <w:spacing w:after="40" w:line="240" w:lineRule="auto"/>
              <w:jc w:val="center"/>
            </w:pPr>
            <w:r/>
            <w:r>
              <w:rPr>
                <w:b w:val="0"/>
                <w:sz w:val="20"/>
              </w:rPr>
              <w:t>0.9725</w:t>
            </w:r>
          </w:p>
        </w:tc>
        <w:tc>
          <w:tcPr>
            <w:tcW w:type="dxa" w:w="1445"/>
          </w:tcPr>
          <w:p>
            <w:pPr>
              <w:spacing w:after="40" w:line="240" w:lineRule="auto"/>
              <w:jc w:val="center"/>
            </w:pPr>
            <w:r/>
            <w:r>
              <w:rPr>
                <w:b w:val="0"/>
                <w:sz w:val="20"/>
              </w:rPr>
              <w:t>[0.9654, 0.9793]</w:t>
            </w:r>
          </w:p>
        </w:tc>
        <w:tc>
          <w:tcPr>
            <w:tcW w:type="dxa" w:w="1445"/>
          </w:tcPr>
          <w:p>
            <w:pPr>
              <w:spacing w:after="40" w:line="240" w:lineRule="auto"/>
              <w:jc w:val="center"/>
            </w:pPr>
            <w:r/>
            <w:r>
              <w:rPr>
                <w:b w:val="0"/>
                <w:sz w:val="20"/>
              </w:rPr>
              <w:t>0.8624</w:t>
            </w:r>
          </w:p>
        </w:tc>
        <w:tc>
          <w:tcPr>
            <w:tcW w:type="dxa" w:w="1445"/>
          </w:tcPr>
          <w:p>
            <w:pPr>
              <w:spacing w:after="40" w:line="240" w:lineRule="auto"/>
              <w:jc w:val="center"/>
            </w:pPr>
            <w:r/>
            <w:r>
              <w:rPr>
                <w:b w:val="0"/>
                <w:sz w:val="20"/>
              </w:rPr>
              <w:t>0.038</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baseline (stratified)</w:t>
            </w:r>
          </w:p>
        </w:tc>
        <w:tc>
          <w:tcPr>
            <w:tcW w:type="dxa" w:w="1445"/>
          </w:tcPr>
          <w:p>
            <w:pPr>
              <w:spacing w:after="40" w:line="240" w:lineRule="auto"/>
              <w:jc w:val="center"/>
            </w:pPr>
            <w:r/>
            <w:r>
              <w:rPr>
                <w:b w:val="0"/>
                <w:sz w:val="20"/>
              </w:rPr>
              <w:t>0.4898</w:t>
            </w:r>
          </w:p>
        </w:tc>
        <w:tc>
          <w:tcPr>
            <w:tcW w:type="dxa" w:w="1445"/>
          </w:tcPr>
          <w:p>
            <w:pPr>
              <w:spacing w:after="40" w:line="240" w:lineRule="auto"/>
              <w:jc w:val="center"/>
            </w:pPr>
            <w:r/>
            <w:r>
              <w:rPr>
                <w:b w:val="0"/>
                <w:sz w:val="20"/>
              </w:rPr>
              <w:t>[0.4687, 0.5107]</w:t>
            </w:r>
          </w:p>
        </w:tc>
        <w:tc>
          <w:tcPr>
            <w:tcW w:type="dxa" w:w="1445"/>
          </w:tcPr>
          <w:p>
            <w:pPr>
              <w:spacing w:after="40" w:line="240" w:lineRule="auto"/>
              <w:jc w:val="center"/>
            </w:pPr>
            <w:r/>
            <w:r>
              <w:rPr>
                <w:b w:val="0"/>
                <w:sz w:val="20"/>
              </w:rPr>
              <w:t>0.6328</w:t>
            </w:r>
          </w:p>
        </w:tc>
        <w:tc>
          <w:tcPr>
            <w:tcW w:type="dxa" w:w="1445"/>
          </w:tcPr>
          <w:p>
            <w:pPr>
              <w:spacing w:after="40" w:line="240" w:lineRule="auto"/>
              <w:jc w:val="center"/>
            </w:pPr>
            <w:r/>
            <w:r>
              <w:rPr>
                <w:b w:val="0"/>
                <w:sz w:val="20"/>
              </w:rPr>
              <w:t>0.4715</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logistic regression</w:t>
            </w:r>
          </w:p>
        </w:tc>
        <w:tc>
          <w:tcPr>
            <w:tcW w:type="dxa" w:w="1445"/>
          </w:tcPr>
          <w:p>
            <w:pPr>
              <w:spacing w:after="40" w:line="240" w:lineRule="auto"/>
              <w:jc w:val="center"/>
            </w:pPr>
            <w:r/>
            <w:r>
              <w:rPr>
                <w:b w:val="0"/>
                <w:sz w:val="20"/>
              </w:rPr>
              <w:t>0.9306</w:t>
            </w:r>
          </w:p>
        </w:tc>
        <w:tc>
          <w:tcPr>
            <w:tcW w:type="dxa" w:w="1445"/>
          </w:tcPr>
          <w:p>
            <w:pPr>
              <w:spacing w:after="40" w:line="240" w:lineRule="auto"/>
              <w:jc w:val="center"/>
            </w:pPr>
            <w:r/>
            <w:r>
              <w:rPr>
                <w:b w:val="0"/>
                <w:sz w:val="20"/>
              </w:rPr>
              <w:t>[0.9168, 0.9442]</w:t>
            </w:r>
          </w:p>
        </w:tc>
        <w:tc>
          <w:tcPr>
            <w:tcW w:type="dxa" w:w="1445"/>
          </w:tcPr>
          <w:p>
            <w:pPr>
              <w:spacing w:after="40" w:line="240" w:lineRule="auto"/>
              <w:jc w:val="center"/>
            </w:pPr>
            <w:r/>
            <w:r>
              <w:rPr>
                <w:b w:val="0"/>
                <w:sz w:val="20"/>
              </w:rPr>
              <w:t>0.9377</w:t>
            </w:r>
          </w:p>
        </w:tc>
        <w:tc>
          <w:tcPr>
            <w:tcW w:type="dxa" w:w="1445"/>
          </w:tcPr>
          <w:p>
            <w:pPr>
              <w:spacing w:after="40" w:line="240" w:lineRule="auto"/>
              <w:jc w:val="center"/>
            </w:pPr>
            <w:r/>
            <w:r>
              <w:rPr>
                <w:b w:val="0"/>
                <w:sz w:val="20"/>
              </w:rPr>
              <w:t>0.0829</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random forest</w:t>
            </w:r>
          </w:p>
        </w:tc>
        <w:tc>
          <w:tcPr>
            <w:tcW w:type="dxa" w:w="1445"/>
          </w:tcPr>
          <w:p>
            <w:pPr>
              <w:spacing w:after="40" w:line="240" w:lineRule="auto"/>
              <w:jc w:val="center"/>
            </w:pPr>
            <w:r/>
            <w:r>
              <w:rPr>
                <w:b w:val="0"/>
                <w:sz w:val="20"/>
              </w:rPr>
              <w:t>0.9876</w:t>
            </w:r>
          </w:p>
        </w:tc>
        <w:tc>
          <w:tcPr>
            <w:tcW w:type="dxa" w:w="1445"/>
          </w:tcPr>
          <w:p>
            <w:pPr>
              <w:spacing w:after="40" w:line="240" w:lineRule="auto"/>
              <w:jc w:val="center"/>
            </w:pPr>
            <w:r/>
            <w:r>
              <w:rPr>
                <w:b w:val="0"/>
                <w:sz w:val="20"/>
              </w:rPr>
              <w:t>[0.9829, 0.9915]</w:t>
            </w:r>
          </w:p>
        </w:tc>
        <w:tc>
          <w:tcPr>
            <w:tcW w:type="dxa" w:w="1445"/>
          </w:tcPr>
          <w:p>
            <w:pPr>
              <w:spacing w:after="40" w:line="240" w:lineRule="auto"/>
              <w:jc w:val="center"/>
            </w:pPr>
            <w:r/>
            <w:r>
              <w:rPr>
                <w:b w:val="0"/>
                <w:sz w:val="20"/>
              </w:rPr>
              <w:t>0.9917</w:t>
            </w:r>
          </w:p>
        </w:tc>
        <w:tc>
          <w:tcPr>
            <w:tcW w:type="dxa" w:w="1445"/>
          </w:tcPr>
          <w:p>
            <w:pPr>
              <w:spacing w:after="40" w:line="240" w:lineRule="auto"/>
              <w:jc w:val="center"/>
            </w:pPr>
            <w:r/>
            <w:r>
              <w:rPr>
                <w:b w:val="0"/>
                <w:sz w:val="20"/>
              </w:rPr>
              <w:t>0.0362</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xgboost</w:t>
            </w:r>
          </w:p>
        </w:tc>
        <w:tc>
          <w:tcPr>
            <w:tcW w:type="dxa" w:w="1445"/>
          </w:tcPr>
          <w:p>
            <w:pPr>
              <w:spacing w:after="40" w:line="240" w:lineRule="auto"/>
              <w:jc w:val="center"/>
            </w:pPr>
            <w:r/>
            <w:r>
              <w:rPr>
                <w:b w:val="0"/>
                <w:sz w:val="20"/>
              </w:rPr>
              <w:t>0.99</w:t>
            </w:r>
          </w:p>
        </w:tc>
        <w:tc>
          <w:tcPr>
            <w:tcW w:type="dxa" w:w="1445"/>
          </w:tcPr>
          <w:p>
            <w:pPr>
              <w:spacing w:after="40" w:line="240" w:lineRule="auto"/>
              <w:jc w:val="center"/>
            </w:pPr>
            <w:r/>
            <w:r>
              <w:rPr>
                <w:b w:val="0"/>
                <w:sz w:val="20"/>
              </w:rPr>
              <w:t>[0.9867, 0.9929]</w:t>
            </w:r>
          </w:p>
        </w:tc>
        <w:tc>
          <w:tcPr>
            <w:tcW w:type="dxa" w:w="1445"/>
          </w:tcPr>
          <w:p>
            <w:pPr>
              <w:spacing w:after="40" w:line="240" w:lineRule="auto"/>
              <w:jc w:val="center"/>
            </w:pPr>
            <w:r/>
            <w:r>
              <w:rPr>
                <w:b w:val="0"/>
                <w:sz w:val="20"/>
              </w:rPr>
              <w:t>0.9941</w:t>
            </w:r>
          </w:p>
        </w:tc>
        <w:tc>
          <w:tcPr>
            <w:tcW w:type="dxa" w:w="1445"/>
          </w:tcPr>
          <w:p>
            <w:pPr>
              <w:spacing w:after="40" w:line="240" w:lineRule="auto"/>
              <w:jc w:val="center"/>
            </w:pPr>
            <w:r/>
            <w:r>
              <w:rPr>
                <w:b w:val="0"/>
                <w:sz w:val="20"/>
              </w:rPr>
              <w:t>0.0355</w:t>
            </w:r>
          </w:p>
        </w:tc>
      </w:tr>
    </w:tbl>
    <w:p>
      <w:pPr>
        <w:spacing w:after="120"/>
      </w:pPr>
    </w:p>
    <w:p>
      <w:pPr>
        <w:keepNext/>
        <w:keepLines/>
        <w:spacing w:before="360" w:after="120" w:line="240" w:lineRule="auto"/>
        <w:jc w:val="center"/>
      </w:pPr>
      <w:r>
        <w:drawing>
          <wp:inline xmlns:a="http://schemas.openxmlformats.org/drawingml/2006/main" xmlns:pic="http://schemas.openxmlformats.org/drawingml/2006/picture">
            <wp:extent cx="5486400" cy="2098391"/>
            <wp:docPr id="36" name="Picture 36"/>
            <wp:cNvGraphicFramePr>
              <a:graphicFrameLocks noChangeAspect="1"/>
            </wp:cNvGraphicFramePr>
            <a:graphic>
              <a:graphicData uri="http://schemas.openxmlformats.org/drawingml/2006/picture">
                <pic:pic>
                  <pic:nvPicPr>
                    <pic:cNvPr id="0" name="fig_e5_prediction.png"/>
                    <pic:cNvPicPr/>
                  </pic:nvPicPr>
                  <pic:blipFill>
                    <a:blip r:embed="rId46"/>
                    <a:stretch>
                      <a:fillRect/>
                    </a:stretch>
                  </pic:blipFill>
                  <pic:spPr>
                    <a:xfrm>
                      <a:off x="0" y="0"/>
                      <a:ext cx="5486400" cy="2098391"/>
                    </a:xfrm>
                    <a:prstGeom prst="rect"/>
                  </pic:spPr>
                </pic:pic>
              </a:graphicData>
            </a:graphic>
          </wp:inline>
        </w:drawing>
      </w:r>
    </w:p>
    <w:p>
      <w:pPr>
        <w:pStyle w:val="Caption"/>
        <w:keepLines/>
        <w:spacing w:before="40" w:after="400" w:line="240" w:lineRule="auto"/>
      </w:pPr>
      <w:r>
        <w:rPr>
          <w:b w:val="0"/>
          <w:i w:val="0"/>
        </w:rPr>
        <w:t>Figure 36 — Discrimination against a stratified baseline, with bootstrap intervals.</w:t>
      </w:r>
    </w:p>
    <w:p>
      <w:pPr>
        <w:pStyle w:val="TableCaption"/>
      </w:pPr>
      <w:r>
        <w:rPr>
          <w:b w:val="0"/>
          <w:i w:val="0"/>
        </w:rPr>
        <w:t>Table 23 — The same models applied to the imported audience — a different distribution from the one they were fitted on.</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Prediction</w:t>
            </w:r>
          </w:p>
        </w:tc>
        <w:tc>
          <w:tcPr>
            <w:tcW w:type="dxa" w:w="1734"/>
            <w:shd w:val="clear" w:color="auto" w:fill="E8EEF6"/>
          </w:tcPr>
          <w:p>
            <w:pPr>
              <w:spacing w:after="40" w:line="240" w:lineRule="auto"/>
              <w:jc w:val="center"/>
            </w:pPr>
            <w:r/>
            <w:r>
              <w:rPr>
                <w:b/>
                <w:sz w:val="20"/>
              </w:rPr>
              <w:t>Min</w:t>
            </w:r>
          </w:p>
        </w:tc>
        <w:tc>
          <w:tcPr>
            <w:tcW w:type="dxa" w:w="1734"/>
            <w:shd w:val="clear" w:color="auto" w:fill="E8EEF6"/>
          </w:tcPr>
          <w:p>
            <w:pPr>
              <w:spacing w:after="40" w:line="240" w:lineRule="auto"/>
              <w:jc w:val="center"/>
            </w:pPr>
            <w:r/>
            <w:r>
              <w:rPr>
                <w:b/>
                <w:sz w:val="20"/>
              </w:rPr>
              <w:t>Median</w:t>
            </w:r>
          </w:p>
        </w:tc>
        <w:tc>
          <w:tcPr>
            <w:tcW w:type="dxa" w:w="1734"/>
            <w:shd w:val="clear" w:color="auto" w:fill="E8EEF6"/>
          </w:tcPr>
          <w:p>
            <w:pPr>
              <w:spacing w:after="40" w:line="240" w:lineRule="auto"/>
              <w:jc w:val="center"/>
            </w:pPr>
            <w:r/>
            <w:r>
              <w:rPr>
                <w:b/>
                <w:sz w:val="20"/>
              </w:rPr>
              <w:t>Max</w:t>
            </w:r>
          </w:p>
        </w:tc>
        <w:tc>
          <w:tcPr>
            <w:tcW w:type="dxa" w:w="1734"/>
            <w:shd w:val="clear" w:color="auto" w:fill="E8EEF6"/>
          </w:tcPr>
          <w:p>
            <w:pPr>
              <w:spacing w:after="40" w:line="240" w:lineRule="auto"/>
              <w:jc w:val="center"/>
            </w:pPr>
            <w:r/>
            <w:r>
              <w:rPr>
                <w:b/>
                <w:sz w:val="20"/>
              </w:rPr>
              <w:t>Above threshold</w:t>
            </w:r>
          </w:p>
        </w:tc>
      </w:tr>
      <w:tr>
        <w:tc>
          <w:tcPr>
            <w:tcW w:type="dxa" w:w="1734"/>
          </w:tcPr>
          <w:p>
            <w:pPr>
              <w:spacing w:after="40" w:line="240" w:lineRule="auto"/>
              <w:jc w:val="left"/>
            </w:pPr>
            <w:r/>
            <w:r>
              <w:rPr>
                <w:b w:val="0"/>
                <w:sz w:val="20"/>
              </w:rPr>
              <w:t>conversion</w:t>
            </w:r>
          </w:p>
        </w:tc>
        <w:tc>
          <w:tcPr>
            <w:tcW w:type="dxa" w:w="1734"/>
          </w:tcPr>
          <w:p>
            <w:pPr>
              <w:spacing w:after="40" w:line="240" w:lineRule="auto"/>
              <w:jc w:val="center"/>
            </w:pPr>
            <w:r/>
            <w:r>
              <w:rPr>
                <w:b w:val="0"/>
                <w:sz w:val="20"/>
              </w:rPr>
              <w:t>0.0103</w:t>
            </w:r>
          </w:p>
        </w:tc>
        <w:tc>
          <w:tcPr>
            <w:tcW w:type="dxa" w:w="1734"/>
          </w:tcPr>
          <w:p>
            <w:pPr>
              <w:spacing w:after="40" w:line="240" w:lineRule="auto"/>
              <w:jc w:val="center"/>
            </w:pPr>
            <w:r/>
            <w:r>
              <w:rPr>
                <w:b w:val="0"/>
                <w:sz w:val="20"/>
              </w:rPr>
              <w:t>0.9126</w:t>
            </w:r>
          </w:p>
        </w:tc>
        <w:tc>
          <w:tcPr>
            <w:tcW w:type="dxa" w:w="1734"/>
          </w:tcPr>
          <w:p>
            <w:pPr>
              <w:spacing w:after="40" w:line="240" w:lineRule="auto"/>
              <w:jc w:val="center"/>
            </w:pPr>
            <w:r/>
            <w:r>
              <w:rPr>
                <w:b w:val="0"/>
                <w:sz w:val="20"/>
              </w:rPr>
              <w:t>0.9956</w:t>
            </w:r>
          </w:p>
        </w:tc>
        <w:tc>
          <w:tcPr>
            <w:tcW w:type="dxa" w:w="1734"/>
          </w:tcPr>
          <w:p>
            <w:pPr>
              <w:spacing w:after="40" w:line="240" w:lineRule="auto"/>
              <w:jc w:val="center"/>
            </w:pPr>
            <w:r/>
            <w:r>
              <w:rPr>
                <w:b w:val="0"/>
                <w:sz w:val="20"/>
              </w:rPr>
              <w:t>5606 of 8000 (≥ 0.5)</w:t>
            </w:r>
          </w:p>
        </w:tc>
      </w:tr>
      <w:tr>
        <w:tc>
          <w:tcPr>
            <w:tcW w:type="dxa" w:w="1734"/>
          </w:tcPr>
          <w:p>
            <w:pPr>
              <w:spacing w:after="40" w:line="240" w:lineRule="auto"/>
              <w:jc w:val="left"/>
            </w:pPr>
            <w:r/>
            <w:r>
              <w:rPr>
                <w:b w:val="0"/>
                <w:sz w:val="20"/>
              </w:rPr>
              <w:t>drop-off risk</w:t>
            </w:r>
          </w:p>
        </w:tc>
        <w:tc>
          <w:tcPr>
            <w:tcW w:type="dxa" w:w="1734"/>
          </w:tcPr>
          <w:p>
            <w:pPr>
              <w:spacing w:after="40" w:line="240" w:lineRule="auto"/>
              <w:jc w:val="center"/>
            </w:pPr>
            <w:r/>
            <w:r>
              <w:rPr>
                <w:b w:val="0"/>
                <w:sz w:val="20"/>
              </w:rPr>
              <w:t>0.0006</w:t>
            </w:r>
          </w:p>
        </w:tc>
        <w:tc>
          <w:tcPr>
            <w:tcW w:type="dxa" w:w="1734"/>
          </w:tcPr>
          <w:p>
            <w:pPr>
              <w:spacing w:after="40" w:line="240" w:lineRule="auto"/>
              <w:jc w:val="center"/>
            </w:pPr>
            <w:r/>
            <w:r>
              <w:rPr>
                <w:b w:val="0"/>
                <w:sz w:val="20"/>
              </w:rPr>
              <w:t>0.0441</w:t>
            </w:r>
          </w:p>
        </w:tc>
        <w:tc>
          <w:tcPr>
            <w:tcW w:type="dxa" w:w="1734"/>
          </w:tcPr>
          <w:p>
            <w:pPr>
              <w:spacing w:after="40" w:line="240" w:lineRule="auto"/>
              <w:jc w:val="center"/>
            </w:pPr>
            <w:r/>
            <w:r>
              <w:rPr>
                <w:b w:val="0"/>
                <w:sz w:val="20"/>
              </w:rPr>
              <w:t>0.9911</w:t>
            </w:r>
          </w:p>
        </w:tc>
        <w:tc>
          <w:tcPr>
            <w:tcW w:type="dxa" w:w="1734"/>
          </w:tcPr>
          <w:p>
            <w:pPr>
              <w:spacing w:after="40" w:line="240" w:lineRule="auto"/>
              <w:jc w:val="center"/>
            </w:pPr>
            <w:r/>
            <w:r>
              <w:rPr>
                <w:b w:val="0"/>
                <w:sz w:val="20"/>
              </w:rPr>
              <w:t>911 of 8000 (≥ 0.6)</w:t>
            </w:r>
          </w:p>
        </w:tc>
      </w:tr>
    </w:tbl>
    <w:p>
      <w:pPr>
        <w:spacing w:after="120"/>
      </w:pPr>
    </w:p>
    <w:p>
      <w:r>
        <w:t>The models discriminate well on the distribution they were fitted on. Applying them to another audience is a transfer across distributions: the ranking remains usable, the absolute probabilities are not calibrated for it, and any threshold set on the training distribution should be treated as arbitrary here. The system raises a calibration warning rather than reporting a confident number when the prediction distribution is degenerate.</w:t>
      </w:r>
    </w:p>
    <w:p>
      <w:pPr>
        <w:pStyle w:val="Heading3"/>
      </w:pPr>
      <w:r>
        <w:t>7.3.6 Goal and tone — the simpler model wins, and it matters which metric says so</w:t>
      </w:r>
    </w:p>
    <w:p>
      <w:pPr>
        <w:pStyle w:val="TableCaption"/>
      </w:pPr>
      <w:r>
        <w:rPr>
          <w:b w:val="0"/>
          <w:i w:val="0"/>
        </w:rPr>
        <w:t>Table 24 — Classifier comparison. Accuracy and macro-F1 tell different stories.</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Target</w:t>
            </w:r>
          </w:p>
        </w:tc>
        <w:tc>
          <w:tcPr>
            <w:tcW w:type="dxa" w:w="1445"/>
            <w:shd w:val="clear" w:color="auto" w:fill="E8EEF6"/>
          </w:tcPr>
          <w:p>
            <w:pPr>
              <w:spacing w:after="40" w:line="240" w:lineRule="auto"/>
              <w:jc w:val="center"/>
            </w:pPr>
            <w:r/>
            <w:r>
              <w:rPr>
                <w:b/>
                <w:sz w:val="20"/>
              </w:rPr>
              <w:t>Model</w:t>
            </w:r>
          </w:p>
        </w:tc>
        <w:tc>
          <w:tcPr>
            <w:tcW w:type="dxa" w:w="1445"/>
            <w:shd w:val="clear" w:color="auto" w:fill="E8EEF6"/>
          </w:tcPr>
          <w:p>
            <w:pPr>
              <w:spacing w:after="40" w:line="240" w:lineRule="auto"/>
              <w:jc w:val="center"/>
            </w:pPr>
            <w:r/>
            <w:r>
              <w:rPr>
                <w:b/>
                <w:sz w:val="20"/>
              </w:rPr>
              <w:t>Accuracy</w:t>
            </w:r>
          </w:p>
        </w:tc>
        <w:tc>
          <w:tcPr>
            <w:tcW w:type="dxa" w:w="1445"/>
            <w:shd w:val="clear" w:color="auto" w:fill="E8EEF6"/>
          </w:tcPr>
          <w:p>
            <w:pPr>
              <w:spacing w:after="40" w:line="240" w:lineRule="auto"/>
              <w:jc w:val="center"/>
            </w:pPr>
            <w:r/>
            <w:r>
              <w:rPr>
                <w:b/>
                <w:sz w:val="20"/>
              </w:rPr>
              <w:t>Macro-F1</w:t>
            </w:r>
          </w:p>
        </w:tc>
        <w:tc>
          <w:tcPr>
            <w:tcW w:type="dxa" w:w="1445"/>
            <w:shd w:val="clear" w:color="auto" w:fill="E8EEF6"/>
          </w:tcPr>
          <w:p>
            <w:pPr>
              <w:spacing w:after="40" w:line="240" w:lineRule="auto"/>
              <w:jc w:val="center"/>
            </w:pPr>
            <w:r/>
            <w:r>
              <w:rPr>
                <w:b/>
                <w:sz w:val="20"/>
              </w:rPr>
              <w:t>Weighted F1</w:t>
            </w:r>
          </w:p>
        </w:tc>
        <w:tc>
          <w:tcPr>
            <w:tcW w:type="dxa" w:w="1445"/>
            <w:shd w:val="clear" w:color="auto" w:fill="E8EEF6"/>
          </w:tcPr>
          <w:p>
            <w:pPr>
              <w:spacing w:after="40" w:line="240" w:lineRule="auto"/>
              <w:jc w:val="center"/>
            </w:pPr>
            <w:r/>
            <w:r>
              <w:rPr>
                <w:b/>
                <w:sz w:val="20"/>
              </w:rPr>
              <w:t>Test rows</w:t>
            </w:r>
          </w:p>
        </w:tc>
      </w:tr>
      <w:tr>
        <w:tc>
          <w:tcPr>
            <w:tcW w:type="dxa" w:w="1445"/>
          </w:tcPr>
          <w:p>
            <w:pPr>
              <w:spacing w:after="40" w:line="240" w:lineRule="auto"/>
              <w:jc w:val="left"/>
            </w:pPr>
            <w:r/>
            <w:r>
              <w:rPr>
                <w:b w:val="0"/>
                <w:sz w:val="20"/>
              </w:rPr>
              <w:t>campaign_goal</w:t>
            </w:r>
          </w:p>
        </w:tc>
        <w:tc>
          <w:tcPr>
            <w:tcW w:type="dxa" w:w="1445"/>
          </w:tcPr>
          <w:p>
            <w:pPr>
              <w:spacing w:after="40" w:line="240" w:lineRule="auto"/>
              <w:jc w:val="center"/>
            </w:pPr>
            <w:r/>
            <w:r>
              <w:rPr>
                <w:b w:val="0"/>
                <w:sz w:val="20"/>
              </w:rPr>
              <w:t>majority baseline</w:t>
            </w:r>
          </w:p>
        </w:tc>
        <w:tc>
          <w:tcPr>
            <w:tcW w:type="dxa" w:w="1445"/>
          </w:tcPr>
          <w:p>
            <w:pPr>
              <w:spacing w:after="40" w:line="240" w:lineRule="auto"/>
              <w:jc w:val="center"/>
            </w:pPr>
            <w:r/>
            <w:r>
              <w:rPr>
                <w:b w:val="0"/>
                <w:sz w:val="20"/>
              </w:rPr>
              <w:t>0.5877</w:t>
            </w:r>
          </w:p>
        </w:tc>
        <w:tc>
          <w:tcPr>
            <w:tcW w:type="dxa" w:w="1445"/>
          </w:tcPr>
          <w:p>
            <w:pPr>
              <w:spacing w:after="40" w:line="240" w:lineRule="auto"/>
              <w:jc w:val="center"/>
            </w:pPr>
            <w:r/>
            <w:r>
              <w:rPr>
                <w:b w:val="0"/>
                <w:sz w:val="20"/>
              </w:rPr>
              <w:t>0.1481</w:t>
            </w:r>
          </w:p>
        </w:tc>
        <w:tc>
          <w:tcPr>
            <w:tcW w:type="dxa" w:w="1445"/>
          </w:tcPr>
          <w:p>
            <w:pPr>
              <w:spacing w:after="40" w:line="240" w:lineRule="auto"/>
              <w:jc w:val="center"/>
            </w:pPr>
            <w:r/>
            <w:r>
              <w:rPr>
                <w:b w:val="0"/>
                <w:sz w:val="20"/>
              </w:rPr>
              <w:t>0.4351</w:t>
            </w:r>
          </w:p>
        </w:tc>
        <w:tc>
          <w:tcPr>
            <w:tcW w:type="dxa" w:w="1445"/>
          </w:tcPr>
          <w:p>
            <w:pPr>
              <w:spacing w:after="40" w:line="240" w:lineRule="auto"/>
              <w:jc w:val="center"/>
            </w:pPr>
            <w:r/>
            <w:r>
              <w:rPr>
                <w:b w:val="0"/>
                <w:sz w:val="20"/>
              </w:rPr>
              <w:t>114</w:t>
            </w:r>
          </w:p>
        </w:tc>
      </w:tr>
      <w:tr>
        <w:tc>
          <w:tcPr>
            <w:tcW w:type="dxa" w:w="1445"/>
          </w:tcPr>
          <w:p>
            <w:pPr>
              <w:spacing w:after="40" w:line="240" w:lineRule="auto"/>
              <w:jc w:val="left"/>
            </w:pPr>
            <w:r/>
            <w:r>
              <w:rPr>
                <w:b w:val="0"/>
                <w:sz w:val="20"/>
              </w:rPr>
              <w:t>campaign_goal</w:t>
            </w:r>
          </w:p>
        </w:tc>
        <w:tc>
          <w:tcPr>
            <w:tcW w:type="dxa" w:w="1445"/>
          </w:tcPr>
          <w:p>
            <w:pPr>
              <w:spacing w:after="40" w:line="240" w:lineRule="auto"/>
              <w:jc w:val="center"/>
            </w:pPr>
            <w:r/>
            <w:r>
              <w:rPr>
                <w:b w:val="0"/>
                <w:sz w:val="20"/>
              </w:rPr>
              <w:t>tfidf + logistic</w:t>
            </w:r>
          </w:p>
        </w:tc>
        <w:tc>
          <w:tcPr>
            <w:tcW w:type="dxa" w:w="1445"/>
          </w:tcPr>
          <w:p>
            <w:pPr>
              <w:spacing w:after="40" w:line="240" w:lineRule="auto"/>
              <w:jc w:val="center"/>
            </w:pPr>
            <w:r/>
            <w:r>
              <w:rPr>
                <w:b w:val="0"/>
                <w:sz w:val="20"/>
              </w:rPr>
              <w:t>0.7719</w:t>
            </w:r>
          </w:p>
        </w:tc>
        <w:tc>
          <w:tcPr>
            <w:tcW w:type="dxa" w:w="1445"/>
          </w:tcPr>
          <w:p>
            <w:pPr>
              <w:spacing w:after="40" w:line="240" w:lineRule="auto"/>
              <w:jc w:val="center"/>
            </w:pPr>
            <w:r/>
            <w:r>
              <w:rPr>
                <w:b w:val="0"/>
                <w:sz w:val="20"/>
              </w:rPr>
              <w:t>0.4998</w:t>
            </w:r>
          </w:p>
        </w:tc>
        <w:tc>
          <w:tcPr>
            <w:tcW w:type="dxa" w:w="1445"/>
          </w:tcPr>
          <w:p>
            <w:pPr>
              <w:spacing w:after="40" w:line="240" w:lineRule="auto"/>
              <w:jc w:val="center"/>
            </w:pPr>
            <w:r/>
            <w:r>
              <w:rPr>
                <w:b w:val="0"/>
                <w:sz w:val="20"/>
              </w:rPr>
              <w:t>0.7628</w:t>
            </w:r>
          </w:p>
        </w:tc>
        <w:tc>
          <w:tcPr>
            <w:tcW w:type="dxa" w:w="1445"/>
          </w:tcPr>
          <w:p>
            <w:pPr>
              <w:spacing w:after="40" w:line="240" w:lineRule="auto"/>
              <w:jc w:val="center"/>
            </w:pPr>
            <w:r/>
            <w:r>
              <w:rPr>
                <w:b w:val="0"/>
                <w:sz w:val="20"/>
              </w:rPr>
              <w:t>114</w:t>
            </w:r>
          </w:p>
        </w:tc>
      </w:tr>
      <w:tr>
        <w:tc>
          <w:tcPr>
            <w:tcW w:type="dxa" w:w="1445"/>
          </w:tcPr>
          <w:p>
            <w:pPr>
              <w:spacing w:after="40" w:line="240" w:lineRule="auto"/>
              <w:jc w:val="left"/>
            </w:pPr>
            <w:r/>
            <w:r>
              <w:rPr>
                <w:b w:val="0"/>
                <w:sz w:val="20"/>
              </w:rPr>
              <w:t>campaign_goal</w:t>
            </w:r>
          </w:p>
        </w:tc>
        <w:tc>
          <w:tcPr>
            <w:tcW w:type="dxa" w:w="1445"/>
          </w:tcPr>
          <w:p>
            <w:pPr>
              <w:spacing w:after="40" w:line="240" w:lineRule="auto"/>
              <w:jc w:val="center"/>
            </w:pPr>
            <w:r/>
            <w:r>
              <w:rPr>
                <w:b w:val="0"/>
                <w:sz w:val="20"/>
              </w:rPr>
              <w:t>sbert + xgboost</w:t>
            </w:r>
          </w:p>
        </w:tc>
        <w:tc>
          <w:tcPr>
            <w:tcW w:type="dxa" w:w="1445"/>
          </w:tcPr>
          <w:p>
            <w:pPr>
              <w:spacing w:after="40" w:line="240" w:lineRule="auto"/>
              <w:jc w:val="center"/>
            </w:pPr>
            <w:r/>
            <w:r>
              <w:rPr>
                <w:b w:val="0"/>
                <w:sz w:val="20"/>
              </w:rPr>
              <w:t>0.7719</w:t>
            </w:r>
          </w:p>
        </w:tc>
        <w:tc>
          <w:tcPr>
            <w:tcW w:type="dxa" w:w="1445"/>
          </w:tcPr>
          <w:p>
            <w:pPr>
              <w:spacing w:after="40" w:line="240" w:lineRule="auto"/>
              <w:jc w:val="center"/>
            </w:pPr>
            <w:r/>
            <w:r>
              <w:rPr>
                <w:b w:val="0"/>
                <w:sz w:val="20"/>
              </w:rPr>
              <w:t>0.4042</w:t>
            </w:r>
          </w:p>
        </w:tc>
        <w:tc>
          <w:tcPr>
            <w:tcW w:type="dxa" w:w="1445"/>
          </w:tcPr>
          <w:p>
            <w:pPr>
              <w:spacing w:after="40" w:line="240" w:lineRule="auto"/>
              <w:jc w:val="center"/>
            </w:pPr>
            <w:r/>
            <w:r>
              <w:rPr>
                <w:b w:val="0"/>
                <w:sz w:val="20"/>
              </w:rPr>
              <w:t>0.7391</w:t>
            </w:r>
          </w:p>
        </w:tc>
        <w:tc>
          <w:tcPr>
            <w:tcW w:type="dxa" w:w="1445"/>
          </w:tcPr>
          <w:p>
            <w:pPr>
              <w:spacing w:after="40" w:line="240" w:lineRule="auto"/>
              <w:jc w:val="center"/>
            </w:pPr>
            <w:r/>
            <w:r>
              <w:rPr>
                <w:b w:val="0"/>
                <w:sz w:val="20"/>
              </w:rPr>
              <w:t>114</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majority baseline</w:t>
            </w:r>
          </w:p>
        </w:tc>
        <w:tc>
          <w:tcPr>
            <w:tcW w:type="dxa" w:w="1445"/>
          </w:tcPr>
          <w:p>
            <w:pPr>
              <w:spacing w:after="40" w:line="240" w:lineRule="auto"/>
              <w:jc w:val="center"/>
            </w:pPr>
            <w:r/>
            <w:r>
              <w:rPr>
                <w:b w:val="0"/>
                <w:sz w:val="20"/>
              </w:rPr>
              <w:t>0.3864</w:t>
            </w:r>
          </w:p>
        </w:tc>
        <w:tc>
          <w:tcPr>
            <w:tcW w:type="dxa" w:w="1445"/>
          </w:tcPr>
          <w:p>
            <w:pPr>
              <w:spacing w:after="40" w:line="240" w:lineRule="auto"/>
              <w:jc w:val="center"/>
            </w:pPr>
            <w:r/>
            <w:r>
              <w:rPr>
                <w:b w:val="0"/>
                <w:sz w:val="20"/>
              </w:rPr>
              <w:t>0.1115</w:t>
            </w:r>
          </w:p>
        </w:tc>
        <w:tc>
          <w:tcPr>
            <w:tcW w:type="dxa" w:w="1445"/>
          </w:tcPr>
          <w:p>
            <w:pPr>
              <w:spacing w:after="40" w:line="240" w:lineRule="auto"/>
              <w:jc w:val="center"/>
            </w:pPr>
            <w:r/>
            <w:r>
              <w:rPr>
                <w:b w:val="0"/>
                <w:sz w:val="20"/>
              </w:rPr>
              <w:t>0.2154</w:t>
            </w:r>
          </w:p>
        </w:tc>
        <w:tc>
          <w:tcPr>
            <w:tcW w:type="dxa" w:w="1445"/>
          </w:tcPr>
          <w:p>
            <w:pPr>
              <w:spacing w:after="40" w:line="240" w:lineRule="auto"/>
              <w:jc w:val="center"/>
            </w:pPr>
            <w:r/>
            <w:r>
              <w:rPr>
                <w:b w:val="0"/>
                <w:sz w:val="20"/>
              </w:rPr>
              <w:t>44</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tfidf + logistic</w:t>
            </w:r>
          </w:p>
        </w:tc>
        <w:tc>
          <w:tcPr>
            <w:tcW w:type="dxa" w:w="1445"/>
          </w:tcPr>
          <w:p>
            <w:pPr>
              <w:spacing w:after="40" w:line="240" w:lineRule="auto"/>
              <w:jc w:val="center"/>
            </w:pPr>
            <w:r/>
            <w:r>
              <w:rPr>
                <w:b w:val="0"/>
                <w:sz w:val="20"/>
              </w:rPr>
              <w:t>0.8182</w:t>
            </w:r>
          </w:p>
        </w:tc>
        <w:tc>
          <w:tcPr>
            <w:tcW w:type="dxa" w:w="1445"/>
          </w:tcPr>
          <w:p>
            <w:pPr>
              <w:spacing w:after="40" w:line="240" w:lineRule="auto"/>
              <w:jc w:val="center"/>
            </w:pPr>
            <w:r/>
            <w:r>
              <w:rPr>
                <w:b w:val="0"/>
                <w:sz w:val="20"/>
              </w:rPr>
              <w:t>0.7315</w:t>
            </w:r>
          </w:p>
        </w:tc>
        <w:tc>
          <w:tcPr>
            <w:tcW w:type="dxa" w:w="1445"/>
          </w:tcPr>
          <w:p>
            <w:pPr>
              <w:spacing w:after="40" w:line="240" w:lineRule="auto"/>
              <w:jc w:val="center"/>
            </w:pPr>
            <w:r/>
            <w:r>
              <w:rPr>
                <w:b w:val="0"/>
                <w:sz w:val="20"/>
              </w:rPr>
              <w:t>0.8153</w:t>
            </w:r>
          </w:p>
        </w:tc>
        <w:tc>
          <w:tcPr>
            <w:tcW w:type="dxa" w:w="1445"/>
          </w:tcPr>
          <w:p>
            <w:pPr>
              <w:spacing w:after="40" w:line="240" w:lineRule="auto"/>
              <w:jc w:val="center"/>
            </w:pPr>
            <w:r/>
            <w:r>
              <w:rPr>
                <w:b w:val="0"/>
                <w:sz w:val="20"/>
              </w:rPr>
              <w:t>44</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sbert + xgboost</w:t>
            </w:r>
          </w:p>
        </w:tc>
        <w:tc>
          <w:tcPr>
            <w:tcW w:type="dxa" w:w="1445"/>
          </w:tcPr>
          <w:p>
            <w:pPr>
              <w:spacing w:after="40" w:line="240" w:lineRule="auto"/>
              <w:jc w:val="center"/>
            </w:pPr>
            <w:r/>
            <w:r>
              <w:rPr>
                <w:b w:val="0"/>
                <w:sz w:val="20"/>
              </w:rPr>
              <w:t>0.7727</w:t>
            </w:r>
          </w:p>
        </w:tc>
        <w:tc>
          <w:tcPr>
            <w:tcW w:type="dxa" w:w="1445"/>
          </w:tcPr>
          <w:p>
            <w:pPr>
              <w:spacing w:after="40" w:line="240" w:lineRule="auto"/>
              <w:jc w:val="center"/>
            </w:pPr>
            <w:r/>
            <w:r>
              <w:rPr>
                <w:b w:val="0"/>
                <w:sz w:val="20"/>
              </w:rPr>
              <w:t>0.5912</w:t>
            </w:r>
          </w:p>
        </w:tc>
        <w:tc>
          <w:tcPr>
            <w:tcW w:type="dxa" w:w="1445"/>
          </w:tcPr>
          <w:p>
            <w:pPr>
              <w:spacing w:after="40" w:line="240" w:lineRule="auto"/>
              <w:jc w:val="center"/>
            </w:pPr>
            <w:r/>
            <w:r>
              <w:rPr>
                <w:b w:val="0"/>
                <w:sz w:val="20"/>
              </w:rPr>
              <w:t>0.7482</w:t>
            </w:r>
          </w:p>
        </w:tc>
        <w:tc>
          <w:tcPr>
            <w:tcW w:type="dxa" w:w="1445"/>
          </w:tcPr>
          <w:p>
            <w:pPr>
              <w:spacing w:after="40" w:line="240" w:lineRule="auto"/>
              <w:jc w:val="center"/>
            </w:pPr>
            <w:r/>
            <w:r>
              <w:rPr>
                <w:b w:val="0"/>
                <w:sz w:val="20"/>
              </w:rPr>
              <w:t>44</w:t>
            </w:r>
          </w:p>
        </w:tc>
      </w:tr>
    </w:tbl>
    <w:p>
      <w:pPr>
        <w:spacing w:after="120"/>
      </w:pPr>
    </w:p>
    <w:p>
      <w:pPr>
        <w:keepNext/>
        <w:keepLines/>
        <w:spacing w:before="360" w:after="120" w:line="240" w:lineRule="auto"/>
        <w:jc w:val="center"/>
      </w:pPr>
      <w:r>
        <w:drawing>
          <wp:inline xmlns:a="http://schemas.openxmlformats.org/drawingml/2006/main" xmlns:pic="http://schemas.openxmlformats.org/drawingml/2006/picture">
            <wp:extent cx="5486400" cy="1965085"/>
            <wp:docPr id="37" name="Picture 37"/>
            <wp:cNvGraphicFramePr>
              <a:graphicFrameLocks noChangeAspect="1"/>
            </wp:cNvGraphicFramePr>
            <a:graphic>
              <a:graphicData uri="http://schemas.openxmlformats.org/drawingml/2006/picture">
                <pic:pic>
                  <pic:nvPicPr>
                    <pic:cNvPr id="0" name="fig_e6_goal_tone.png"/>
                    <pic:cNvPicPr/>
                  </pic:nvPicPr>
                  <pic:blipFill>
                    <a:blip r:embed="rId47"/>
                    <a:stretch>
                      <a:fillRect/>
                    </a:stretch>
                  </pic:blipFill>
                  <pic:spPr>
                    <a:xfrm>
                      <a:off x="0" y="0"/>
                      <a:ext cx="5486400" cy="1965085"/>
                    </a:xfrm>
                    <a:prstGeom prst="rect"/>
                  </pic:spPr>
                </pic:pic>
              </a:graphicData>
            </a:graphic>
          </wp:inline>
        </w:drawing>
      </w:r>
    </w:p>
    <w:p>
      <w:pPr>
        <w:pStyle w:val="Caption"/>
        <w:keepLines/>
        <w:spacing w:before="40" w:after="400" w:line="240" w:lineRule="auto"/>
      </w:pPr>
      <w:r>
        <w:rPr>
          <w:b w:val="0"/>
          <w:i w:val="0"/>
        </w:rPr>
        <w:t>Figure 37 — Accuracy against macro-F1, with the majority-class baseline marked.</w:t>
      </w:r>
    </w:p>
    <w:p>
      <w:pPr>
        <w:pStyle w:val="TableCaption"/>
      </w:pPr>
      <w:r>
        <w:rPr>
          <w:b w:val="0"/>
          <w:i w:val="0"/>
        </w:rPr>
        <w:t>Table 25 — Exact McNemar between the two approaches on the same test rows.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Target</w:t>
            </w:r>
          </w:p>
        </w:tc>
        <w:tc>
          <w:tcPr>
            <w:tcW w:type="dxa" w:w="2167"/>
            <w:shd w:val="clear" w:color="auto" w:fill="E8EEF6"/>
          </w:tcPr>
          <w:p>
            <w:pPr>
              <w:spacing w:after="40" w:line="240" w:lineRule="auto"/>
              <w:jc w:val="center"/>
            </w:pPr>
            <w:r/>
            <w:r>
              <w:rPr>
                <w:b/>
                <w:sz w:val="20"/>
              </w:rPr>
              <w:t>TF-IDF right, SBERT wrong</w:t>
            </w:r>
          </w:p>
        </w:tc>
        <w:tc>
          <w:tcPr>
            <w:tcW w:type="dxa" w:w="2167"/>
            <w:shd w:val="clear" w:color="auto" w:fill="E8EEF6"/>
          </w:tcPr>
          <w:p>
            <w:pPr>
              <w:spacing w:after="40" w:line="240" w:lineRule="auto"/>
              <w:jc w:val="center"/>
            </w:pPr>
            <w:r/>
            <w:r>
              <w:rPr>
                <w:b/>
                <w:sz w:val="20"/>
              </w:rPr>
              <w:t>SBERT right, TF-IDF wrong</w:t>
            </w:r>
          </w:p>
        </w:tc>
        <w:tc>
          <w:tcPr>
            <w:tcW w:type="dxa" w:w="2167"/>
            <w:shd w:val="clear" w:color="auto" w:fill="E8EEF6"/>
          </w:tcPr>
          <w:p>
            <w:pPr>
              <w:spacing w:after="40" w:line="240" w:lineRule="auto"/>
              <w:jc w:val="center"/>
            </w:pPr>
            <w:r/>
            <w:r>
              <w:rPr>
                <w:b/>
                <w:sz w:val="20"/>
              </w:rPr>
              <w:t>p</w:t>
            </w:r>
          </w:p>
        </w:tc>
      </w:tr>
      <w:tr>
        <w:tc>
          <w:tcPr>
            <w:tcW w:type="dxa" w:w="2167"/>
          </w:tcPr>
          <w:p>
            <w:pPr>
              <w:spacing w:after="40" w:line="240" w:lineRule="auto"/>
              <w:jc w:val="left"/>
            </w:pPr>
            <w:r/>
            <w:r>
              <w:rPr>
                <w:b w:val="0"/>
                <w:sz w:val="20"/>
              </w:rPr>
              <w:t>campaign_goal</w:t>
            </w:r>
          </w:p>
        </w:tc>
        <w:tc>
          <w:tcPr>
            <w:tcW w:type="dxa" w:w="2167"/>
          </w:tcPr>
          <w:p>
            <w:pPr>
              <w:spacing w:after="40" w:line="240" w:lineRule="auto"/>
              <w:jc w:val="center"/>
            </w:pPr>
            <w:r/>
            <w:r>
              <w:rPr>
                <w:b w:val="0"/>
                <w:sz w:val="20"/>
              </w:rPr>
              <w:t>8</w:t>
            </w:r>
          </w:p>
        </w:tc>
        <w:tc>
          <w:tcPr>
            <w:tcW w:type="dxa" w:w="2167"/>
          </w:tcPr>
          <w:p>
            <w:pPr>
              <w:spacing w:after="40" w:line="240" w:lineRule="auto"/>
              <w:jc w:val="center"/>
            </w:pPr>
            <w:r/>
            <w:r>
              <w:rPr>
                <w:b w:val="0"/>
                <w:sz w:val="20"/>
              </w:rPr>
              <w:t>8</w:t>
            </w:r>
          </w:p>
        </w:tc>
        <w:tc>
          <w:tcPr>
            <w:tcW w:type="dxa" w:w="2167"/>
          </w:tcPr>
          <w:p>
            <w:pPr>
              <w:spacing w:after="40" w:line="240" w:lineRule="auto"/>
              <w:jc w:val="center"/>
            </w:pPr>
            <w:r/>
            <w:r>
              <w:rPr>
                <w:b w:val="0"/>
                <w:sz w:val="20"/>
              </w:rPr>
              <w:t>1.000</w:t>
            </w:r>
          </w:p>
        </w:tc>
      </w:tr>
      <w:tr>
        <w:tc>
          <w:tcPr>
            <w:tcW w:type="dxa" w:w="2167"/>
          </w:tcPr>
          <w:p>
            <w:pPr>
              <w:spacing w:after="40" w:line="240" w:lineRule="auto"/>
              <w:jc w:val="left"/>
            </w:pPr>
            <w:r/>
            <w:r>
              <w:rPr>
                <w:b w:val="0"/>
                <w:sz w:val="20"/>
              </w:rPr>
              <w:t>tone</w:t>
            </w:r>
          </w:p>
        </w:tc>
        <w:tc>
          <w:tcPr>
            <w:tcW w:type="dxa" w:w="2167"/>
          </w:tcPr>
          <w:p>
            <w:pPr>
              <w:spacing w:after="40" w:line="240" w:lineRule="auto"/>
              <w:jc w:val="center"/>
            </w:pPr>
            <w:r/>
            <w:r>
              <w:rPr>
                <w:b w:val="0"/>
                <w:sz w:val="20"/>
              </w:rPr>
              <w:t>5</w:t>
            </w:r>
          </w:p>
        </w:tc>
        <w:tc>
          <w:tcPr>
            <w:tcW w:type="dxa" w:w="2167"/>
          </w:tcPr>
          <w:p>
            <w:pPr>
              <w:spacing w:after="40" w:line="240" w:lineRule="auto"/>
              <w:jc w:val="center"/>
            </w:pPr>
            <w:r/>
            <w:r>
              <w:rPr>
                <w:b w:val="0"/>
                <w:sz w:val="20"/>
              </w:rPr>
              <w:t>3</w:t>
            </w:r>
          </w:p>
        </w:tc>
        <w:tc>
          <w:tcPr>
            <w:tcW w:type="dxa" w:w="2167"/>
          </w:tcPr>
          <w:p>
            <w:pPr>
              <w:spacing w:after="40" w:line="240" w:lineRule="auto"/>
              <w:jc w:val="center"/>
            </w:pPr>
            <w:r/>
            <w:r>
              <w:rPr>
                <w:b w:val="0"/>
                <w:sz w:val="20"/>
              </w:rPr>
              <w:t>0.727</w:t>
            </w:r>
          </w:p>
        </w:tc>
      </w:tr>
    </w:tbl>
    <w:p>
      <w:pPr>
        <w:spacing w:after="120"/>
      </w:pPr>
    </w:p>
    <w:p>
      <w:pPr>
        <w:pStyle w:val="NoteBox"/>
      </w:pPr>
      <w:r>
        <w:t>Neither comparison is significant. The two approaches are statistically indistinguishable on this corpus, so selecting TF-IDF is a decision about cost, speed and interpretability rather than about accuracy — which is a stronger and more defensible claim than asserting the simpler model is more accurate.</w:t>
      </w:r>
    </w:p>
    <w:p>
      <w:pPr>
        <w:pStyle w:val="Heading3"/>
      </w:pPr>
      <w:r>
        <w:t>7.3.7 Engagement — a leak, and a dataset with no signal</w:t>
      </w:r>
    </w:p>
    <w:p>
      <w:pPr>
        <w:pStyle w:val="TableCaption"/>
      </w:pPr>
      <w:r>
        <w:rPr>
          <w:b w:val="0"/>
          <w:i w:val="0"/>
        </w:rPr>
        <w:t>Table 26 — The engagement regressor with and without the outcome columns among its features.</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Feature set</w:t>
            </w:r>
          </w:p>
        </w:tc>
        <w:tc>
          <w:tcPr>
            <w:tcW w:type="dxa" w:w="1734"/>
            <w:shd w:val="clear" w:color="auto" w:fill="E8EEF6"/>
          </w:tcPr>
          <w:p>
            <w:pPr>
              <w:spacing w:after="40" w:line="240" w:lineRule="auto"/>
              <w:jc w:val="center"/>
            </w:pPr>
            <w:r/>
            <w:r>
              <w:rPr>
                <w:b/>
                <w:sz w:val="20"/>
              </w:rPr>
              <w:t>Features</w:t>
            </w:r>
          </w:p>
        </w:tc>
        <w:tc>
          <w:tcPr>
            <w:tcW w:type="dxa" w:w="1734"/>
            <w:shd w:val="clear" w:color="auto" w:fill="E8EEF6"/>
          </w:tcPr>
          <w:p>
            <w:pPr>
              <w:spacing w:after="40" w:line="240" w:lineRule="auto"/>
              <w:jc w:val="center"/>
            </w:pPr>
            <w:r/>
            <w:r>
              <w:rPr>
                <w:b/>
                <w:sz w:val="20"/>
              </w:rPr>
              <w:t>R²</w:t>
            </w:r>
          </w:p>
        </w:tc>
        <w:tc>
          <w:tcPr>
            <w:tcW w:type="dxa" w:w="1734"/>
            <w:shd w:val="clear" w:color="auto" w:fill="E8EEF6"/>
          </w:tcPr>
          <w:p>
            <w:pPr>
              <w:spacing w:after="40" w:line="240" w:lineRule="auto"/>
              <w:jc w:val="center"/>
            </w:pPr>
            <w:r/>
            <w:r>
              <w:rPr>
                <w:b/>
                <w:sz w:val="20"/>
              </w:rPr>
              <w:t>Spearman</w:t>
            </w:r>
          </w:p>
        </w:tc>
        <w:tc>
          <w:tcPr>
            <w:tcW w:type="dxa" w:w="1734"/>
            <w:shd w:val="clear" w:color="auto" w:fill="E8EEF6"/>
          </w:tcPr>
          <w:p>
            <w:pPr>
              <w:spacing w:after="40" w:line="240" w:lineRule="auto"/>
              <w:jc w:val="center"/>
            </w:pPr>
            <w:r/>
            <w:r>
              <w:rPr>
                <w:b/>
                <w:sz w:val="20"/>
              </w:rPr>
              <w:t>MAE</w:t>
            </w:r>
          </w:p>
        </w:tc>
      </w:tr>
      <w:tr>
        <w:tc>
          <w:tcPr>
            <w:tcW w:type="dxa" w:w="1734"/>
          </w:tcPr>
          <w:p>
            <w:pPr>
              <w:spacing w:after="40" w:line="240" w:lineRule="auto"/>
              <w:jc w:val="left"/>
            </w:pPr>
            <w:r/>
            <w:r>
              <w:rPr>
                <w:b w:val="0"/>
                <w:sz w:val="20"/>
              </w:rPr>
              <w:t>with outcome columns (original)</w:t>
            </w:r>
          </w:p>
        </w:tc>
        <w:tc>
          <w:tcPr>
            <w:tcW w:type="dxa" w:w="1734"/>
          </w:tcPr>
          <w:p>
            <w:pPr>
              <w:spacing w:after="40" w:line="240" w:lineRule="auto"/>
              <w:jc w:val="center"/>
            </w:pPr>
            <w:r/>
            <w:r>
              <w:rPr>
                <w:b w:val="0"/>
                <w:sz w:val="20"/>
              </w:rPr>
              <w:t>17</w:t>
            </w:r>
          </w:p>
        </w:tc>
        <w:tc>
          <w:tcPr>
            <w:tcW w:type="dxa" w:w="1734"/>
          </w:tcPr>
          <w:p>
            <w:pPr>
              <w:spacing w:after="40" w:line="240" w:lineRule="auto"/>
              <w:jc w:val="center"/>
            </w:pPr>
            <w:r/>
            <w:r>
              <w:rPr>
                <w:b w:val="0"/>
                <w:sz w:val="20"/>
              </w:rPr>
              <w:t>0.9901</w:t>
            </w:r>
          </w:p>
        </w:tc>
        <w:tc>
          <w:tcPr>
            <w:tcW w:type="dxa" w:w="1734"/>
          </w:tcPr>
          <w:p>
            <w:pPr>
              <w:spacing w:after="40" w:line="240" w:lineRule="auto"/>
              <w:jc w:val="center"/>
            </w:pPr>
            <w:r/>
            <w:r>
              <w:rPr>
                <w:b w:val="0"/>
                <w:sz w:val="20"/>
              </w:rPr>
              <w:t>0.9977</w:t>
            </w:r>
          </w:p>
        </w:tc>
        <w:tc>
          <w:tcPr>
            <w:tcW w:type="dxa" w:w="1734"/>
          </w:tcPr>
          <w:p>
            <w:pPr>
              <w:spacing w:after="40" w:line="240" w:lineRule="auto"/>
              <w:jc w:val="center"/>
            </w:pPr>
            <w:r/>
            <w:r>
              <w:rPr>
                <w:b w:val="0"/>
                <w:sz w:val="20"/>
              </w:rPr>
              <w:t>0.01847</w:t>
            </w:r>
          </w:p>
        </w:tc>
      </w:tr>
      <w:tr>
        <w:tc>
          <w:tcPr>
            <w:tcW w:type="dxa" w:w="1734"/>
          </w:tcPr>
          <w:p>
            <w:pPr>
              <w:spacing w:after="40" w:line="240" w:lineRule="auto"/>
              <w:jc w:val="left"/>
            </w:pPr>
            <w:r/>
            <w:r>
              <w:rPr>
                <w:b w:val="0"/>
                <w:sz w:val="20"/>
              </w:rPr>
              <w:t>text features only (corrected)</w:t>
            </w:r>
          </w:p>
        </w:tc>
        <w:tc>
          <w:tcPr>
            <w:tcW w:type="dxa" w:w="1734"/>
          </w:tcPr>
          <w:p>
            <w:pPr>
              <w:spacing w:after="40" w:line="240" w:lineRule="auto"/>
              <w:jc w:val="center"/>
            </w:pPr>
            <w:r/>
            <w:r>
              <w:rPr>
                <w:b w:val="0"/>
                <w:sz w:val="20"/>
              </w:rPr>
              <w:t>13</w:t>
            </w:r>
          </w:p>
        </w:tc>
        <w:tc>
          <w:tcPr>
            <w:tcW w:type="dxa" w:w="1734"/>
          </w:tcPr>
          <w:p>
            <w:pPr>
              <w:spacing w:after="40" w:line="240" w:lineRule="auto"/>
              <w:jc w:val="center"/>
            </w:pPr>
            <w:r/>
            <w:r>
              <w:rPr>
                <w:b w:val="0"/>
                <w:sz w:val="20"/>
              </w:rPr>
              <w:t>-0.1676</w:t>
            </w:r>
          </w:p>
        </w:tc>
        <w:tc>
          <w:tcPr>
            <w:tcW w:type="dxa" w:w="1734"/>
          </w:tcPr>
          <w:p>
            <w:pPr>
              <w:spacing w:after="40" w:line="240" w:lineRule="auto"/>
              <w:jc w:val="center"/>
            </w:pPr>
            <w:r/>
            <w:r>
              <w:rPr>
                <w:b w:val="0"/>
                <w:sz w:val="20"/>
              </w:rPr>
              <w:t>0.012</w:t>
            </w:r>
          </w:p>
        </w:tc>
        <w:tc>
          <w:tcPr>
            <w:tcW w:type="dxa" w:w="1734"/>
          </w:tcPr>
          <w:p>
            <w:pPr>
              <w:spacing w:after="40" w:line="240" w:lineRule="auto"/>
              <w:jc w:val="center"/>
            </w:pPr>
            <w:r/>
            <w:r>
              <w:rPr>
                <w:b w:val="0"/>
                <w:sz w:val="20"/>
              </w:rPr>
              <w:t>0.39307</w:t>
            </w:r>
          </w:p>
        </w:tc>
      </w:tr>
      <w:tr>
        <w:tc>
          <w:tcPr>
            <w:tcW w:type="dxa" w:w="1734"/>
          </w:tcPr>
          <w:p>
            <w:pPr>
              <w:spacing w:after="40" w:line="240" w:lineRule="auto"/>
              <w:jc w:val="left"/>
            </w:pPr>
            <w:r/>
            <w:r>
              <w:rPr>
                <w:b w:val="0"/>
                <w:sz w:val="20"/>
              </w:rPr>
              <w:t>baseline (predict the mean)</w:t>
            </w:r>
          </w:p>
        </w:tc>
        <w:tc>
          <w:tcPr>
            <w:tcW w:type="dxa" w:w="1734"/>
          </w:tcPr>
          <w:p>
            <w:pPr>
              <w:spacing w:after="40" w:line="240" w:lineRule="auto"/>
              <w:jc w:val="center"/>
            </w:pPr>
            <w:r/>
            <w:r>
              <w:rPr>
                <w:b w:val="0"/>
                <w:sz w:val="20"/>
              </w:rPr>
              <w:t>0</w:t>
            </w:r>
          </w:p>
        </w:tc>
        <w:tc>
          <w:tcPr>
            <w:tcW w:type="dxa" w:w="1734"/>
          </w:tcPr>
          <w:p>
            <w:pPr>
              <w:spacing w:after="40" w:line="240" w:lineRule="auto"/>
              <w:jc w:val="center"/>
            </w:pPr>
            <w:r/>
            <w:r>
              <w:rPr>
                <w:b w:val="0"/>
                <w:sz w:val="20"/>
              </w:rPr>
              <w:t>-0.0</w:t>
            </w:r>
          </w:p>
        </w:tc>
        <w:tc>
          <w:tcPr>
            <w:tcW w:type="dxa" w:w="1734"/>
          </w:tcPr>
          <w:p>
            <w:pPr>
              <w:spacing w:after="40" w:line="240" w:lineRule="auto"/>
              <w:jc w:val="center"/>
            </w:pPr>
            <w:r/>
            <w:r>
              <w:rPr>
                <w:b w:val="0"/>
                <w:sz w:val="20"/>
              </w:rPr>
              <w:t>0.0</w:t>
            </w:r>
          </w:p>
        </w:tc>
        <w:tc>
          <w:tcPr>
            <w:tcW w:type="dxa" w:w="1734"/>
          </w:tcPr>
          <w:p>
            <w:pPr>
              <w:spacing w:after="40" w:line="240" w:lineRule="auto"/>
              <w:jc w:val="center"/>
            </w:pPr>
            <w:r/>
            <w:r>
              <w:rPr>
                <w:b w:val="0"/>
                <w:sz w:val="20"/>
              </w:rPr>
              <w:t>0.32783</w:t>
            </w:r>
          </w:p>
        </w:tc>
      </w:tr>
    </w:tbl>
    <w:p>
      <w:pPr>
        <w:spacing w:after="120"/>
      </w:pPr>
    </w:p>
    <w:p>
      <w:r>
        <w:t>With the outcome columns present the model reports R² = 0.9901. Removing them gives R² = -0.1676 [-0.4081, -0.0715] and a rank correlation of 0.0120 [-0.0276, 0.0539] — an interval spanning zero, so no ranking skill is demonstrated on held-out data.</w:t>
      </w:r>
    </w:p>
    <w:p>
      <w:r>
        <w:t>The failure was invisible in training and fatal in use. A caption that has not been posted has no like count, so at prediction time those columns were filled with zeros — far outside anything the model had seen — and the score driving 45% of every content ranking became noise. Its weight was reduced to 0.20 once the honest number was known.</w:t>
      </w:r>
    </w:p>
    <w:p>
      <w:r>
        <w:t>Testing each of the 8 text features against the target individually, 0 survive Holm–Bonferroni correction. This is a property of the dataset rather than a modelling failure: no model can extract a signal that is not there, and the correct response is to reduce the weight the score carries rather than to keep tuning.</w:t>
      </w:r>
    </w:p>
    <w:p>
      <w:pPr>
        <w:keepNext/>
        <w:keepLines/>
        <w:spacing w:before="360" w:after="120" w:line="240" w:lineRule="auto"/>
        <w:jc w:val="center"/>
      </w:pPr>
      <w:r>
        <w:drawing>
          <wp:inline xmlns:a="http://schemas.openxmlformats.org/drawingml/2006/main" xmlns:pic="http://schemas.openxmlformats.org/drawingml/2006/picture">
            <wp:extent cx="5486400" cy="2293849"/>
            <wp:docPr id="38" name="Picture 38"/>
            <wp:cNvGraphicFramePr>
              <a:graphicFrameLocks noChangeAspect="1"/>
            </wp:cNvGraphicFramePr>
            <a:graphic>
              <a:graphicData uri="http://schemas.openxmlformats.org/drawingml/2006/picture">
                <pic:pic>
                  <pic:nvPicPr>
                    <pic:cNvPr id="0" name="fig_e7_engagement.png"/>
                    <pic:cNvPicPr/>
                  </pic:nvPicPr>
                  <pic:blipFill>
                    <a:blip r:embed="rId48"/>
                    <a:stretch>
                      <a:fillRect/>
                    </a:stretch>
                  </pic:blipFill>
                  <pic:spPr>
                    <a:xfrm>
                      <a:off x="0" y="0"/>
                      <a:ext cx="5486400" cy="2293849"/>
                    </a:xfrm>
                    <a:prstGeom prst="rect"/>
                  </pic:spPr>
                </pic:pic>
              </a:graphicData>
            </a:graphic>
          </wp:inline>
        </w:drawing>
      </w:r>
    </w:p>
    <w:p>
      <w:pPr>
        <w:pStyle w:val="Caption"/>
        <w:keepLines/>
        <w:spacing w:before="40" w:after="400" w:line="240" w:lineRule="auto"/>
      </w:pPr>
      <w:r>
        <w:rPr>
          <w:b w:val="0"/>
          <w:i w:val="0"/>
        </w:rPr>
        <w:t>Figure 38 — The leak, and the absence of text signal.</w:t>
      </w:r>
    </w:p>
    <w:p>
      <w:pPr>
        <w:pStyle w:val="Heading3"/>
      </w:pPr>
      <w:r>
        <w:t>7.3.8 Who to target is not who will convert</w:t>
      </w:r>
    </w:p>
    <w:p>
      <w:r>
        <w:t xml:space="preserve">The recommender ranks customers by predicted conversion and gives the strongest action to the top of that ranking. That is the intuitive thing to do and it answers the wrong question. What matters is not who will convert but for whom the action </w:t>
      </w:r>
      <w:r>
        <w:rPr>
          <w:i/>
        </w:rPr>
        <w:t>changes</w:t>
      </w:r>
      <w:r>
        <w:t xml:space="preserve"> whether they convert — a customer certain to buy anyway gains nothing from a discount, and the discount is wasted on them.</w:t>
      </w:r>
    </w:p>
    <w:p>
      <w:r>
        <w:t xml:space="preserve">Answering that needs counterfactuals, and this project's own audience cannot supply any: every imported customer received one treatment, nobody recorded which, and no comparable customer received an alternative. No model can recover a causal effect from data where the cause never varied. The experiment therefore moves to the </w:t>
      </w:r>
      <w:r>
        <w:rPr>
          <w:b/>
        </w:rPr>
        <w:t>Hillstrom MineThatData</w:t>
      </w:r>
      <w:r>
        <w:t xml:space="preserve"> dataset — 64,000 customers randomly assigned to one of three arms (mens email, womens email, no email) with observed visits. Random assignment is what makes the counterfactual estimable.</w:t>
      </w:r>
    </w:p>
    <w:p>
      <w:pPr>
        <w:pStyle w:val="TableCaption"/>
      </w:pPr>
      <w:r>
        <w:rPr>
          <w:b w:val="0"/>
          <w:i w:val="0"/>
        </w:rPr>
        <w:t>Table 27 — Targeting policies scored on held-out customers. Qini is incremental responders above random targeting; the final column is what a 30% email budget buys.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Policy</w:t>
            </w:r>
          </w:p>
        </w:tc>
        <w:tc>
          <w:tcPr>
            <w:tcW w:type="dxa" w:w="2167"/>
            <w:shd w:val="clear" w:color="auto" w:fill="E8EEF6"/>
          </w:tcPr>
          <w:p>
            <w:pPr>
              <w:spacing w:after="40" w:line="240" w:lineRule="auto"/>
              <w:jc w:val="center"/>
            </w:pPr>
            <w:r/>
            <w:r>
              <w:rPr>
                <w:b/>
                <w:sz w:val="20"/>
              </w:rPr>
              <w:t>Qini</w:t>
            </w:r>
          </w:p>
        </w:tc>
        <w:tc>
          <w:tcPr>
            <w:tcW w:type="dxa" w:w="2167"/>
            <w:shd w:val="clear" w:color="auto" w:fill="E8EEF6"/>
          </w:tcPr>
          <w:p>
            <w:pPr>
              <w:spacing w:after="40" w:line="240" w:lineRule="auto"/>
              <w:jc w:val="center"/>
            </w:pPr>
            <w:r/>
            <w:r>
              <w:rPr>
                <w:b/>
                <w:sz w:val="20"/>
              </w:rPr>
              <w:t>95% CI</w:t>
            </w:r>
          </w:p>
        </w:tc>
        <w:tc>
          <w:tcPr>
            <w:tcW w:type="dxa" w:w="2167"/>
            <w:shd w:val="clear" w:color="auto" w:fill="E8EEF6"/>
          </w:tcPr>
          <w:p>
            <w:pPr>
              <w:spacing w:after="40" w:line="240" w:lineRule="auto"/>
              <w:jc w:val="center"/>
            </w:pPr>
            <w:r/>
            <w:r>
              <w:rPr>
                <w:b/>
                <w:sz w:val="20"/>
              </w:rPr>
              <w:t>Extra visits per 1,000 targeted</w:t>
            </w:r>
          </w:p>
        </w:tc>
      </w:tr>
      <w:tr>
        <w:tc>
          <w:tcPr>
            <w:tcW w:type="dxa" w:w="2167"/>
          </w:tcPr>
          <w:p>
            <w:pPr>
              <w:spacing w:after="40" w:line="240" w:lineRule="auto"/>
              <w:jc w:val="left"/>
            </w:pPr>
            <w:r/>
            <w:r>
              <w:rPr>
                <w:b w:val="0"/>
                <w:sz w:val="20"/>
              </w:rPr>
              <w:t>uplift (S-learner)</w:t>
            </w:r>
          </w:p>
        </w:tc>
        <w:tc>
          <w:tcPr>
            <w:tcW w:type="dxa" w:w="2167"/>
          </w:tcPr>
          <w:p>
            <w:pPr>
              <w:spacing w:after="40" w:line="240" w:lineRule="auto"/>
              <w:jc w:val="center"/>
            </w:pPr>
            <w:r/>
            <w:r>
              <w:rPr>
                <w:b w:val="0"/>
                <w:sz w:val="20"/>
              </w:rPr>
              <w:t>93.62</w:t>
            </w:r>
          </w:p>
        </w:tc>
        <w:tc>
          <w:tcPr>
            <w:tcW w:type="dxa" w:w="2167"/>
          </w:tcPr>
          <w:p>
            <w:pPr>
              <w:spacing w:after="40" w:line="240" w:lineRule="auto"/>
              <w:jc w:val="center"/>
            </w:pPr>
            <w:r/>
            <w:r>
              <w:rPr>
                <w:b w:val="0"/>
                <w:sz w:val="20"/>
              </w:rPr>
              <w:t>[56.11, 129.76]</w:t>
            </w:r>
          </w:p>
        </w:tc>
        <w:tc>
          <w:tcPr>
            <w:tcW w:type="dxa" w:w="2167"/>
          </w:tcPr>
          <w:p>
            <w:pPr>
              <w:spacing w:after="40" w:line="240" w:lineRule="auto"/>
              <w:jc w:val="center"/>
            </w:pPr>
            <w:r/>
            <w:r>
              <w:rPr>
                <w:b w:val="0"/>
                <w:sz w:val="20"/>
              </w:rPr>
              <w:t>103.45</w:t>
            </w:r>
          </w:p>
        </w:tc>
      </w:tr>
      <w:tr>
        <w:tc>
          <w:tcPr>
            <w:tcW w:type="dxa" w:w="2167"/>
          </w:tcPr>
          <w:p>
            <w:pPr>
              <w:spacing w:after="40" w:line="240" w:lineRule="auto"/>
              <w:jc w:val="left"/>
            </w:pPr>
            <w:r/>
            <w:r>
              <w:rPr>
                <w:b w:val="0"/>
                <w:sz w:val="20"/>
              </w:rPr>
              <w:t>predicted response (current policy)</w:t>
            </w:r>
          </w:p>
        </w:tc>
        <w:tc>
          <w:tcPr>
            <w:tcW w:type="dxa" w:w="2167"/>
          </w:tcPr>
          <w:p>
            <w:pPr>
              <w:spacing w:after="40" w:line="240" w:lineRule="auto"/>
              <w:jc w:val="center"/>
            </w:pPr>
            <w:r/>
            <w:r>
              <w:rPr>
                <w:b w:val="0"/>
                <w:sz w:val="20"/>
              </w:rPr>
              <w:t>75.91</w:t>
            </w:r>
          </w:p>
        </w:tc>
        <w:tc>
          <w:tcPr>
            <w:tcW w:type="dxa" w:w="2167"/>
          </w:tcPr>
          <w:p>
            <w:pPr>
              <w:spacing w:after="40" w:line="240" w:lineRule="auto"/>
              <w:jc w:val="center"/>
            </w:pPr>
            <w:r/>
            <w:r>
              <w:rPr>
                <w:b w:val="0"/>
                <w:sz w:val="20"/>
              </w:rPr>
              <w:t>[38.8, 109.98]</w:t>
            </w:r>
          </w:p>
        </w:tc>
        <w:tc>
          <w:tcPr>
            <w:tcW w:type="dxa" w:w="2167"/>
          </w:tcPr>
          <w:p>
            <w:pPr>
              <w:spacing w:after="40" w:line="240" w:lineRule="auto"/>
              <w:jc w:val="center"/>
            </w:pPr>
            <w:r/>
            <w:r>
              <w:rPr>
                <w:b w:val="0"/>
                <w:sz w:val="20"/>
              </w:rPr>
              <w:t>91.26</w:t>
            </w:r>
          </w:p>
        </w:tc>
      </w:tr>
      <w:tr>
        <w:tc>
          <w:tcPr>
            <w:tcW w:type="dxa" w:w="2167"/>
          </w:tcPr>
          <w:p>
            <w:pPr>
              <w:spacing w:after="40" w:line="240" w:lineRule="auto"/>
              <w:jc w:val="left"/>
            </w:pPr>
            <w:r/>
            <w:r>
              <w:rPr>
                <w:b w:val="0"/>
                <w:sz w:val="20"/>
              </w:rPr>
              <w:t>uplift (T-learner)</w:t>
            </w:r>
          </w:p>
        </w:tc>
        <w:tc>
          <w:tcPr>
            <w:tcW w:type="dxa" w:w="2167"/>
          </w:tcPr>
          <w:p>
            <w:pPr>
              <w:spacing w:after="40" w:line="240" w:lineRule="auto"/>
              <w:jc w:val="center"/>
            </w:pPr>
            <w:r/>
            <w:r>
              <w:rPr>
                <w:b w:val="0"/>
                <w:sz w:val="20"/>
              </w:rPr>
              <w:t>70.36</w:t>
            </w:r>
          </w:p>
        </w:tc>
        <w:tc>
          <w:tcPr>
            <w:tcW w:type="dxa" w:w="2167"/>
          </w:tcPr>
          <w:p>
            <w:pPr>
              <w:spacing w:after="40" w:line="240" w:lineRule="auto"/>
              <w:jc w:val="center"/>
            </w:pPr>
            <w:r/>
            <w:r>
              <w:rPr>
                <w:b w:val="0"/>
                <w:sz w:val="20"/>
              </w:rPr>
              <w:t>[30.19, 112.29]</w:t>
            </w:r>
          </w:p>
        </w:tc>
        <w:tc>
          <w:tcPr>
            <w:tcW w:type="dxa" w:w="2167"/>
          </w:tcPr>
          <w:p>
            <w:pPr>
              <w:spacing w:after="40" w:line="240" w:lineRule="auto"/>
              <w:jc w:val="center"/>
            </w:pPr>
            <w:r/>
            <w:r>
              <w:rPr>
                <w:b w:val="0"/>
                <w:sz w:val="20"/>
              </w:rPr>
              <w:t>92.0</w:t>
            </w:r>
          </w:p>
        </w:tc>
      </w:tr>
      <w:tr>
        <w:tc>
          <w:tcPr>
            <w:tcW w:type="dxa" w:w="2167"/>
          </w:tcPr>
          <w:p>
            <w:pPr>
              <w:spacing w:after="40" w:line="240" w:lineRule="auto"/>
              <w:jc w:val="left"/>
            </w:pPr>
            <w:r/>
            <w:r>
              <w:rPr>
                <w:b w:val="0"/>
                <w:sz w:val="20"/>
              </w:rPr>
              <w:t>random targeting</w:t>
            </w:r>
          </w:p>
        </w:tc>
        <w:tc>
          <w:tcPr>
            <w:tcW w:type="dxa" w:w="2167"/>
          </w:tcPr>
          <w:p>
            <w:pPr>
              <w:spacing w:after="40" w:line="240" w:lineRule="auto"/>
              <w:jc w:val="center"/>
            </w:pPr>
            <w:r/>
            <w:r>
              <w:rPr>
                <w:b w:val="0"/>
                <w:sz w:val="20"/>
              </w:rPr>
              <w:t>-9.75</w:t>
            </w:r>
          </w:p>
        </w:tc>
        <w:tc>
          <w:tcPr>
            <w:tcW w:type="dxa" w:w="2167"/>
          </w:tcPr>
          <w:p>
            <w:pPr>
              <w:spacing w:after="40" w:line="240" w:lineRule="auto"/>
              <w:jc w:val="center"/>
            </w:pPr>
            <w:r/>
            <w:r>
              <w:rPr>
                <w:b w:val="0"/>
                <w:sz w:val="20"/>
              </w:rPr>
              <w:t>[-48.65, 26.95]</w:t>
            </w:r>
          </w:p>
        </w:tc>
        <w:tc>
          <w:tcPr>
            <w:tcW w:type="dxa" w:w="2167"/>
          </w:tcPr>
          <w:p>
            <w:pPr>
              <w:spacing w:after="40" w:line="240" w:lineRule="auto"/>
              <w:jc w:val="center"/>
            </w:pPr>
            <w:r/>
            <w:r>
              <w:rPr>
                <w:b w:val="0"/>
                <w:sz w:val="20"/>
              </w:rPr>
              <w:t>57.76</w:t>
            </w:r>
          </w:p>
        </w:tc>
      </w:tr>
    </w:tbl>
    <w:p>
      <w:pPr>
        <w:spacing w:after="120"/>
      </w:pPr>
    </w:p>
    <w:p>
      <w:pPr>
        <w:keepNext/>
        <w:keepLines/>
        <w:spacing w:before="360" w:after="120" w:line="240" w:lineRule="auto"/>
        <w:jc w:val="center"/>
      </w:pPr>
      <w:r>
        <w:drawing>
          <wp:inline xmlns:a="http://schemas.openxmlformats.org/drawingml/2006/main" xmlns:pic="http://schemas.openxmlformats.org/drawingml/2006/picture">
            <wp:extent cx="5486400" cy="2360919"/>
            <wp:docPr id="39" name="Picture 39"/>
            <wp:cNvGraphicFramePr>
              <a:graphicFrameLocks noChangeAspect="1"/>
            </wp:cNvGraphicFramePr>
            <a:graphic>
              <a:graphicData uri="http://schemas.openxmlformats.org/drawingml/2006/picture">
                <pic:pic>
                  <pic:nvPicPr>
                    <pic:cNvPr id="0" name="fig_e8_uplift.png"/>
                    <pic:cNvPicPr/>
                  </pic:nvPicPr>
                  <pic:blipFill>
                    <a:blip r:embed="rId49"/>
                    <a:stretch>
                      <a:fillRect/>
                    </a:stretch>
                  </pic:blipFill>
                  <pic:spPr>
                    <a:xfrm>
                      <a:off x="0" y="0"/>
                      <a:ext cx="5486400" cy="2360919"/>
                    </a:xfrm>
                    <a:prstGeom prst="rect"/>
                  </pic:spPr>
                </pic:pic>
              </a:graphicData>
            </a:graphic>
          </wp:inline>
        </w:drawing>
      </w:r>
    </w:p>
    <w:p>
      <w:pPr>
        <w:pStyle w:val="Caption"/>
        <w:keepLines/>
        <w:spacing w:before="40" w:after="400" w:line="240" w:lineRule="auto"/>
      </w:pPr>
      <w:r>
        <w:rPr>
          <w:b w:val="0"/>
          <w:i w:val="0"/>
        </w:rPr>
        <w:t>Figure 39 — Qini curves and what each policy buys at a fixed budget.</w:t>
      </w:r>
    </w:p>
    <w:p>
      <w:r>
        <w:t>Ranking by uplift and ranking by predicted response select substantially different people: the two scores correlate at Spearman 0.40, and at a 30% budget the two policies share only 56% of their chosen customers — so about 44% of the list would be emailed by one and not the other.</w:t>
      </w:r>
    </w:p>
    <w:p>
      <w:pPr>
        <w:pStyle w:val="NoteBox"/>
      </w:pPr>
      <w:r>
        <w:rPr>
          <w:b/>
        </w:rPr>
        <w:t>What this does and does not establish.</w:t>
      </w:r>
      <w:r>
        <w:t xml:space="preserve"> The best uplift learner buys more incremental visits than the current policy, but their Qini intervals overlap, so the ordering of the two is not established on this split. The two uplift learners also disagree with each other, one of them falling below the current policy — so “use uplift modelling” is not a conclusion on its own. What the data does support is the weaker and more useful claim: these are different policies that target different people, and the difference is large enough to matter.</w:t>
      </w:r>
    </w:p>
    <w:p>
      <w:pPr>
        <w:pStyle w:val="TableCaption"/>
      </w:pPr>
      <w:r>
        <w:rPr>
          <w:b w:val="0"/>
          <w:i w:val="0"/>
        </w:rPr>
        <w:t>Table 28 — The three-arm version: which action each customer should receive, rather than whether to act.</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Assigned action</w:t>
            </w:r>
          </w:p>
        </w:tc>
        <w:tc>
          <w:tcPr>
            <w:tcW w:type="dxa" w:w="2167"/>
            <w:shd w:val="clear" w:color="auto" w:fill="E8EEF6"/>
          </w:tcPr>
          <w:p>
            <w:pPr>
              <w:spacing w:after="40" w:line="240" w:lineRule="auto"/>
              <w:jc w:val="center"/>
            </w:pPr>
            <w:r/>
            <w:r>
              <w:rPr>
                <w:b/>
                <w:sz w:val="20"/>
              </w:rPr>
              <w:t>Customers</w:t>
            </w:r>
          </w:p>
        </w:tc>
        <w:tc>
          <w:tcPr>
            <w:tcW w:type="dxa" w:w="2167"/>
            <w:shd w:val="clear" w:color="auto" w:fill="E8EEF6"/>
          </w:tcPr>
          <w:p>
            <w:pPr>
              <w:spacing w:after="40" w:line="240" w:lineRule="auto"/>
              <w:jc w:val="center"/>
            </w:pPr>
            <w:r/>
            <w:r>
              <w:rPr>
                <w:b/>
                <w:sz w:val="20"/>
              </w:rPr>
              <w:t>Share</w:t>
            </w:r>
          </w:p>
        </w:tc>
        <w:tc>
          <w:tcPr>
            <w:tcW w:type="dxa" w:w="2167"/>
            <w:shd w:val="clear" w:color="auto" w:fill="E8EEF6"/>
          </w:tcPr>
          <w:p>
            <w:pPr>
              <w:spacing w:after="40" w:line="240" w:lineRule="auto"/>
              <w:jc w:val="center"/>
            </w:pPr>
            <w:r/>
            <w:r>
              <w:rPr>
                <w:b/>
                <w:sz w:val="20"/>
              </w:rPr>
              <w:t>Observed uplift per 1,000</w:t>
            </w:r>
          </w:p>
        </w:tc>
      </w:tr>
      <w:tr>
        <w:tc>
          <w:tcPr>
            <w:tcW w:type="dxa" w:w="2167"/>
          </w:tcPr>
          <w:p>
            <w:pPr>
              <w:spacing w:after="40" w:line="240" w:lineRule="auto"/>
              <w:jc w:val="left"/>
            </w:pPr>
            <w:r/>
            <w:r>
              <w:rPr>
                <w:b w:val="0"/>
                <w:sz w:val="20"/>
              </w:rPr>
              <w:t>Mens E-Mail</w:t>
            </w:r>
          </w:p>
        </w:tc>
        <w:tc>
          <w:tcPr>
            <w:tcW w:type="dxa" w:w="2167"/>
          </w:tcPr>
          <w:p>
            <w:pPr>
              <w:spacing w:after="40" w:line="240" w:lineRule="auto"/>
              <w:jc w:val="center"/>
            </w:pPr>
            <w:r/>
            <w:r>
              <w:rPr>
                <w:b w:val="0"/>
                <w:sz w:val="20"/>
              </w:rPr>
              <w:t>13601</w:t>
            </w:r>
          </w:p>
        </w:tc>
        <w:tc>
          <w:tcPr>
            <w:tcW w:type="dxa" w:w="2167"/>
          </w:tcPr>
          <w:p>
            <w:pPr>
              <w:spacing w:after="40" w:line="240" w:lineRule="auto"/>
              <w:jc w:val="center"/>
            </w:pPr>
            <w:r/>
            <w:r>
              <w:rPr>
                <w:b w:val="0"/>
                <w:sz w:val="20"/>
              </w:rPr>
              <w:t>70.8%</w:t>
            </w:r>
          </w:p>
        </w:tc>
        <w:tc>
          <w:tcPr>
            <w:tcW w:type="dxa" w:w="2167"/>
          </w:tcPr>
          <w:p>
            <w:pPr>
              <w:spacing w:after="40" w:line="240" w:lineRule="auto"/>
              <w:jc w:val="center"/>
            </w:pPr>
            <w:r/>
            <w:r>
              <w:rPr>
                <w:b w:val="0"/>
                <w:sz w:val="20"/>
              </w:rPr>
              <w:t>71.27</w:t>
            </w:r>
          </w:p>
        </w:tc>
      </w:tr>
      <w:tr>
        <w:tc>
          <w:tcPr>
            <w:tcW w:type="dxa" w:w="2167"/>
          </w:tcPr>
          <w:p>
            <w:pPr>
              <w:spacing w:after="40" w:line="240" w:lineRule="auto"/>
              <w:jc w:val="left"/>
            </w:pPr>
            <w:r/>
            <w:r>
              <w:rPr>
                <w:b w:val="0"/>
                <w:sz w:val="20"/>
              </w:rPr>
              <w:t>Womens E-Mail</w:t>
            </w:r>
          </w:p>
        </w:tc>
        <w:tc>
          <w:tcPr>
            <w:tcW w:type="dxa" w:w="2167"/>
          </w:tcPr>
          <w:p>
            <w:pPr>
              <w:spacing w:after="40" w:line="240" w:lineRule="auto"/>
              <w:jc w:val="center"/>
            </w:pPr>
            <w:r/>
            <w:r>
              <w:rPr>
                <w:b w:val="0"/>
                <w:sz w:val="20"/>
              </w:rPr>
              <w:t>5054</w:t>
            </w:r>
          </w:p>
        </w:tc>
        <w:tc>
          <w:tcPr>
            <w:tcW w:type="dxa" w:w="2167"/>
          </w:tcPr>
          <w:p>
            <w:pPr>
              <w:spacing w:after="40" w:line="240" w:lineRule="auto"/>
              <w:jc w:val="center"/>
            </w:pPr>
            <w:r/>
            <w:r>
              <w:rPr>
                <w:b w:val="0"/>
                <w:sz w:val="20"/>
              </w:rPr>
              <w:t>26.3%</w:t>
            </w:r>
          </w:p>
        </w:tc>
        <w:tc>
          <w:tcPr>
            <w:tcW w:type="dxa" w:w="2167"/>
          </w:tcPr>
          <w:p>
            <w:pPr>
              <w:spacing w:after="40" w:line="240" w:lineRule="auto"/>
              <w:jc w:val="center"/>
            </w:pPr>
            <w:r/>
            <w:r>
              <w:rPr>
                <w:b w:val="0"/>
                <w:sz w:val="20"/>
              </w:rPr>
              <w:t>87.47</w:t>
            </w:r>
          </w:p>
        </w:tc>
      </w:tr>
      <w:tr>
        <w:tc>
          <w:tcPr>
            <w:tcW w:type="dxa" w:w="2167"/>
          </w:tcPr>
          <w:p>
            <w:pPr>
              <w:spacing w:after="40" w:line="240" w:lineRule="auto"/>
              <w:jc w:val="left"/>
            </w:pPr>
            <w:r/>
            <w:r>
              <w:rPr>
                <w:b w:val="0"/>
                <w:sz w:val="20"/>
              </w:rPr>
              <w:t>No E-Mail</w:t>
            </w:r>
          </w:p>
        </w:tc>
        <w:tc>
          <w:tcPr>
            <w:tcW w:type="dxa" w:w="2167"/>
          </w:tcPr>
          <w:p>
            <w:pPr>
              <w:spacing w:after="40" w:line="240" w:lineRule="auto"/>
              <w:jc w:val="center"/>
            </w:pPr>
            <w:r/>
            <w:r>
              <w:rPr>
                <w:b w:val="0"/>
                <w:sz w:val="20"/>
              </w:rPr>
              <w:t>545</w:t>
            </w:r>
          </w:p>
        </w:tc>
        <w:tc>
          <w:tcPr>
            <w:tcW w:type="dxa" w:w="2167"/>
          </w:tcPr>
          <w:p>
            <w:pPr>
              <w:spacing w:after="40" w:line="240" w:lineRule="auto"/>
              <w:jc w:val="center"/>
            </w:pPr>
            <w:r/>
            <w:r>
              <w:rPr>
                <w:b w:val="0"/>
                <w:sz w:val="20"/>
              </w:rPr>
              <w:t>2.8%</w:t>
            </w:r>
          </w:p>
        </w:tc>
        <w:tc>
          <w:tcPr>
            <w:tcW w:type="dxa" w:w="2167"/>
          </w:tcPr>
          <w:p>
            <w:pPr>
              <w:spacing w:after="40" w:line="240" w:lineRule="auto"/>
              <w:jc w:val="center"/>
            </w:pPr>
            <w:r/>
            <w:r>
              <w:rPr>
                <w:b w:val="0"/>
                <w:sz w:val="20"/>
              </w:rPr>
              <w:t>0.0</w:t>
            </w:r>
          </w:p>
        </w:tc>
      </w:tr>
    </w:tbl>
    <w:p>
      <w:pPr>
        <w:spacing w:after="120"/>
      </w:pPr>
    </w:p>
    <w:p>
      <w:r>
        <w:t xml:space="preserve">This is the next-best-action problem proper: not send or do not send, but which of several actions. Note that the policy assigns a share of customers to </w:t>
      </w:r>
      <w:r>
        <w:rPr>
          <w:i/>
        </w:rPr>
        <w:t>no email at all</w:t>
      </w:r>
      <w:r>
        <w:t xml:space="preserve"> — an output the current rule cannot produce, because every customer is given some action regardless of whether acting helps.</w:t>
      </w:r>
    </w:p>
    <w:p>
      <w:r>
        <w:t>Hillstrom's actions are mens and womens email, not this project's premium, personalised, reactivation and reminder. The experiment demonstrates the method on real randomised data and shows that the current policy is answering a different question from the one it should. It does not produce a policy deployable to the imported audience, and nothing in this report should be read as claiming it does.</w:t>
      </w:r>
    </w:p>
    <w:p>
      <w:pPr>
        <w:pStyle w:val="Heading3"/>
      </w:pPr>
      <w:r>
        <w:t>7.3.9 Making the recommendation learnable</w:t>
      </w:r>
    </w:p>
    <w:p>
      <w:r>
        <w:t xml:space="preserve">E8 showed the recommender was answering the wrong question, and that no borrowed dataset can answer the right one for this project's actions. The response was to change what the system records. `analytics_output` is overwritten on every run and therefore holds only the current opinion; a new append-only `action_log` records the decision that was actually taken, </w:t>
      </w:r>
      <w:r>
        <w:rPr>
          <w:b/>
        </w:rPr>
        <w:t>the probability it was taken under</w:t>
      </w:r>
      <w:r>
        <w:t>, the features it was taken on, and what followed.</w:t>
      </w:r>
    </w:p>
    <w:p>
      <w:r>
        <w:t xml:space="preserve">The propensity is the column that matters. Without it, logged data can only report what the running policy achieved. With it, an inverse-propensity estimator can answer what a </w:t>
      </w:r>
      <w:r>
        <w:rPr>
          <w:i/>
        </w:rPr>
        <w:t>different</w:t>
      </w:r>
      <w:r>
        <w:t xml:space="preserve"> policy would have achieved on the same customers — a counterfactual recovered from observational logs. And because a deterministic policy assigns probability zero to every action it does not take, a small share of decisions are made at random on purpose.</w:t>
      </w:r>
    </w:p>
    <w:p>
      <w:r>
        <w:t>That machinery is only worth having if it works, so this experiment checks it in the one setting where “works” is precisely defined: a simulated world with a known reward function, where the true value of any policy is computable and the estimate can be scored against it.</w:t>
      </w:r>
    </w:p>
    <w:p>
      <w:pPr>
        <w:pStyle w:val="TableCaption"/>
      </w:pPr>
      <w:r>
        <w:rPr>
          <w:b w:val="0"/>
          <w:i w:val="0"/>
        </w:rPr>
        <w:t>Table 29 — Estimator error against the true policy value, as the log grows. 40 replications per row.</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Estimator</w:t>
            </w:r>
          </w:p>
        </w:tc>
        <w:tc>
          <w:tcPr>
            <w:tcW w:type="dxa" w:w="1445"/>
            <w:shd w:val="clear" w:color="auto" w:fill="E8EEF6"/>
          </w:tcPr>
          <w:p>
            <w:pPr>
              <w:spacing w:after="40" w:line="240" w:lineRule="auto"/>
              <w:jc w:val="center"/>
            </w:pPr>
            <w:r/>
            <w:r>
              <w:rPr>
                <w:b/>
                <w:sz w:val="20"/>
              </w:rPr>
              <w:t>Logged decisions</w:t>
            </w:r>
          </w:p>
        </w:tc>
        <w:tc>
          <w:tcPr>
            <w:tcW w:type="dxa" w:w="1445"/>
            <w:shd w:val="clear" w:color="auto" w:fill="E8EEF6"/>
          </w:tcPr>
          <w:p>
            <w:pPr>
              <w:spacing w:after="40" w:line="240" w:lineRule="auto"/>
              <w:jc w:val="center"/>
            </w:pPr>
            <w:r/>
            <w:r>
              <w:rPr>
                <w:b/>
                <w:sz w:val="20"/>
              </w:rPr>
              <w:t>Bias</w:t>
            </w:r>
          </w:p>
        </w:tc>
        <w:tc>
          <w:tcPr>
            <w:tcW w:type="dxa" w:w="1445"/>
            <w:shd w:val="clear" w:color="auto" w:fill="E8EEF6"/>
          </w:tcPr>
          <w:p>
            <w:pPr>
              <w:spacing w:after="40" w:line="240" w:lineRule="auto"/>
              <w:jc w:val="center"/>
            </w:pPr>
            <w:r/>
            <w:r>
              <w:rPr>
                <w:b/>
                <w:sz w:val="20"/>
              </w:rPr>
              <w:t>95% CI</w:t>
            </w:r>
          </w:p>
        </w:tc>
        <w:tc>
          <w:tcPr>
            <w:tcW w:type="dxa" w:w="1445"/>
            <w:shd w:val="clear" w:color="auto" w:fill="E8EEF6"/>
          </w:tcPr>
          <w:p>
            <w:pPr>
              <w:spacing w:after="40" w:line="240" w:lineRule="auto"/>
              <w:jc w:val="center"/>
            </w:pPr>
            <w:r/>
            <w:r>
              <w:rPr>
                <w:b/>
                <w:sz w:val="20"/>
              </w:rPr>
              <w:t>RMSE</w:t>
            </w:r>
          </w:p>
        </w:tc>
        <w:tc>
          <w:tcPr>
            <w:tcW w:type="dxa" w:w="1445"/>
            <w:shd w:val="clear" w:color="auto" w:fill="E8EEF6"/>
          </w:tcPr>
          <w:p>
            <w:pPr>
              <w:spacing w:after="40" w:line="240" w:lineRule="auto"/>
              <w:jc w:val="center"/>
            </w:pPr>
            <w:r/>
            <w:r>
              <w:rPr>
                <w:b/>
                <w:sz w:val="20"/>
              </w:rPr>
              <w:t>Unbiased</w:t>
            </w:r>
          </w:p>
        </w:tc>
      </w:tr>
      <w:tr>
        <w:tc>
          <w:tcPr>
            <w:tcW w:type="dxa" w:w="1445"/>
          </w:tcPr>
          <w:p>
            <w:pPr>
              <w:spacing w:after="40" w:line="240" w:lineRule="auto"/>
              <w:jc w:val="left"/>
            </w:pPr>
            <w:r/>
            <w:r>
              <w:rPr>
                <w:b w:val="0"/>
                <w:sz w:val="20"/>
              </w:rPr>
              <w:t>ips</w:t>
            </w:r>
          </w:p>
        </w:tc>
        <w:tc>
          <w:tcPr>
            <w:tcW w:type="dxa" w:w="1445"/>
          </w:tcPr>
          <w:p>
            <w:pPr>
              <w:spacing w:after="40" w:line="240" w:lineRule="auto"/>
              <w:jc w:val="center"/>
            </w:pPr>
            <w:r/>
            <w:r>
              <w:rPr>
                <w:b w:val="0"/>
                <w:sz w:val="20"/>
              </w:rPr>
              <w:t>500</w:t>
            </w:r>
          </w:p>
        </w:tc>
        <w:tc>
          <w:tcPr>
            <w:tcW w:type="dxa" w:w="1445"/>
          </w:tcPr>
          <w:p>
            <w:pPr>
              <w:spacing w:after="40" w:line="240" w:lineRule="auto"/>
              <w:jc w:val="center"/>
            </w:pPr>
            <w:r/>
            <w:r>
              <w:rPr>
                <w:b w:val="0"/>
                <w:sz w:val="20"/>
              </w:rPr>
              <w:t>-0.0297</w:t>
            </w:r>
          </w:p>
        </w:tc>
        <w:tc>
          <w:tcPr>
            <w:tcW w:type="dxa" w:w="1445"/>
          </w:tcPr>
          <w:p>
            <w:pPr>
              <w:spacing w:after="40" w:line="240" w:lineRule="auto"/>
              <w:jc w:val="center"/>
            </w:pPr>
            <w:r/>
            <w:r>
              <w:rPr>
                <w:b w:val="0"/>
                <w:sz w:val="20"/>
              </w:rPr>
              <w:t>[-0.0528, -0.0031]</w:t>
            </w:r>
          </w:p>
        </w:tc>
        <w:tc>
          <w:tcPr>
            <w:tcW w:type="dxa" w:w="1445"/>
          </w:tcPr>
          <w:p>
            <w:pPr>
              <w:spacing w:after="40" w:line="240" w:lineRule="auto"/>
              <w:jc w:val="center"/>
            </w:pPr>
            <w:r/>
            <w:r>
              <w:rPr>
                <w:b w:val="0"/>
                <w:sz w:val="20"/>
              </w:rPr>
              <w:t>0.0853</w:t>
            </w:r>
          </w:p>
        </w:tc>
        <w:tc>
          <w:tcPr>
            <w:tcW w:type="dxa" w:w="1445"/>
          </w:tcPr>
          <w:p>
            <w:pPr>
              <w:spacing w:after="40" w:line="240" w:lineRule="auto"/>
              <w:jc w:val="center"/>
            </w:pPr>
            <w:r/>
            <w:r>
              <w:rPr>
                <w:b w:val="0"/>
                <w:sz w:val="20"/>
              </w:rPr>
              <w:t>no</w:t>
            </w:r>
          </w:p>
        </w:tc>
      </w:tr>
      <w:tr>
        <w:tc>
          <w:tcPr>
            <w:tcW w:type="dxa" w:w="1445"/>
          </w:tcPr>
          <w:p>
            <w:pPr>
              <w:spacing w:after="40" w:line="240" w:lineRule="auto"/>
              <w:jc w:val="left"/>
            </w:pPr>
            <w:r/>
            <w:r>
              <w:rPr>
                <w:b w:val="0"/>
                <w:sz w:val="20"/>
              </w:rPr>
              <w:t>snips</w:t>
            </w:r>
          </w:p>
        </w:tc>
        <w:tc>
          <w:tcPr>
            <w:tcW w:type="dxa" w:w="1445"/>
          </w:tcPr>
          <w:p>
            <w:pPr>
              <w:spacing w:after="40" w:line="240" w:lineRule="auto"/>
              <w:jc w:val="center"/>
            </w:pPr>
            <w:r/>
            <w:r>
              <w:rPr>
                <w:b w:val="0"/>
                <w:sz w:val="20"/>
              </w:rPr>
              <w:t>500</w:t>
            </w:r>
          </w:p>
        </w:tc>
        <w:tc>
          <w:tcPr>
            <w:tcW w:type="dxa" w:w="1445"/>
          </w:tcPr>
          <w:p>
            <w:pPr>
              <w:spacing w:after="40" w:line="240" w:lineRule="auto"/>
              <w:jc w:val="center"/>
            </w:pPr>
            <w:r/>
            <w:r>
              <w:rPr>
                <w:b w:val="0"/>
                <w:sz w:val="20"/>
              </w:rPr>
              <w:t>-0.016</w:t>
            </w:r>
          </w:p>
        </w:tc>
        <w:tc>
          <w:tcPr>
            <w:tcW w:type="dxa" w:w="1445"/>
          </w:tcPr>
          <w:p>
            <w:pPr>
              <w:spacing w:after="40" w:line="240" w:lineRule="auto"/>
              <w:jc w:val="center"/>
            </w:pPr>
            <w:r/>
            <w:r>
              <w:rPr>
                <w:b w:val="0"/>
                <w:sz w:val="20"/>
              </w:rPr>
              <w:t>[-0.0399, 0.0089]</w:t>
            </w:r>
          </w:p>
        </w:tc>
        <w:tc>
          <w:tcPr>
            <w:tcW w:type="dxa" w:w="1445"/>
          </w:tcPr>
          <w:p>
            <w:pPr>
              <w:spacing w:after="40" w:line="240" w:lineRule="auto"/>
              <w:jc w:val="center"/>
            </w:pPr>
            <w:r/>
            <w:r>
              <w:rPr>
                <w:b w:val="0"/>
                <w:sz w:val="20"/>
              </w:rPr>
              <w:t>0.0783</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doubly robust</w:t>
            </w:r>
          </w:p>
        </w:tc>
        <w:tc>
          <w:tcPr>
            <w:tcW w:type="dxa" w:w="1445"/>
          </w:tcPr>
          <w:p>
            <w:pPr>
              <w:spacing w:after="40" w:line="240" w:lineRule="auto"/>
              <w:jc w:val="center"/>
            </w:pPr>
            <w:r/>
            <w:r>
              <w:rPr>
                <w:b w:val="0"/>
                <w:sz w:val="20"/>
              </w:rPr>
              <w:t>500</w:t>
            </w:r>
          </w:p>
        </w:tc>
        <w:tc>
          <w:tcPr>
            <w:tcW w:type="dxa" w:w="1445"/>
          </w:tcPr>
          <w:p>
            <w:pPr>
              <w:spacing w:after="40" w:line="240" w:lineRule="auto"/>
              <w:jc w:val="center"/>
            </w:pPr>
            <w:r/>
            <w:r>
              <w:rPr>
                <w:b w:val="0"/>
                <w:sz w:val="20"/>
              </w:rPr>
              <w:t>-0.0159</w:t>
            </w:r>
          </w:p>
        </w:tc>
        <w:tc>
          <w:tcPr>
            <w:tcW w:type="dxa" w:w="1445"/>
          </w:tcPr>
          <w:p>
            <w:pPr>
              <w:spacing w:after="40" w:line="240" w:lineRule="auto"/>
              <w:jc w:val="center"/>
            </w:pPr>
            <w:r/>
            <w:r>
              <w:rPr>
                <w:b w:val="0"/>
                <w:sz w:val="20"/>
              </w:rPr>
              <w:t>[-0.0401, 0.0094]</w:t>
            </w:r>
          </w:p>
        </w:tc>
        <w:tc>
          <w:tcPr>
            <w:tcW w:type="dxa" w:w="1445"/>
          </w:tcPr>
          <w:p>
            <w:pPr>
              <w:spacing w:after="40" w:line="240" w:lineRule="auto"/>
              <w:jc w:val="center"/>
            </w:pPr>
            <w:r/>
            <w:r>
              <w:rPr>
                <w:b w:val="0"/>
                <w:sz w:val="20"/>
              </w:rPr>
              <w:t>0.0788</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ips</w:t>
            </w:r>
          </w:p>
        </w:tc>
        <w:tc>
          <w:tcPr>
            <w:tcW w:type="dxa" w:w="1445"/>
          </w:tcPr>
          <w:p>
            <w:pPr>
              <w:spacing w:after="40" w:line="240" w:lineRule="auto"/>
              <w:jc w:val="center"/>
            </w:pPr>
            <w:r/>
            <w:r>
              <w:rPr>
                <w:b w:val="0"/>
                <w:sz w:val="20"/>
              </w:rPr>
              <w:t>2000</w:t>
            </w:r>
          </w:p>
        </w:tc>
        <w:tc>
          <w:tcPr>
            <w:tcW w:type="dxa" w:w="1445"/>
          </w:tcPr>
          <w:p>
            <w:pPr>
              <w:spacing w:after="40" w:line="240" w:lineRule="auto"/>
              <w:jc w:val="center"/>
            </w:pPr>
            <w:r/>
            <w:r>
              <w:rPr>
                <w:b w:val="0"/>
                <w:sz w:val="20"/>
              </w:rPr>
              <w:t>-0.007</w:t>
            </w:r>
          </w:p>
        </w:tc>
        <w:tc>
          <w:tcPr>
            <w:tcW w:type="dxa" w:w="1445"/>
          </w:tcPr>
          <w:p>
            <w:pPr>
              <w:spacing w:after="40" w:line="240" w:lineRule="auto"/>
              <w:jc w:val="center"/>
            </w:pPr>
            <w:r/>
            <w:r>
              <w:rPr>
                <w:b w:val="0"/>
                <w:sz w:val="20"/>
              </w:rPr>
              <w:t>[-0.0207, 0.0072]</w:t>
            </w:r>
          </w:p>
        </w:tc>
        <w:tc>
          <w:tcPr>
            <w:tcW w:type="dxa" w:w="1445"/>
          </w:tcPr>
          <w:p>
            <w:pPr>
              <w:spacing w:after="40" w:line="240" w:lineRule="auto"/>
              <w:jc w:val="center"/>
            </w:pPr>
            <w:r/>
            <w:r>
              <w:rPr>
                <w:b w:val="0"/>
                <w:sz w:val="20"/>
              </w:rPr>
              <w:t>0.0457</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snips</w:t>
            </w:r>
          </w:p>
        </w:tc>
        <w:tc>
          <w:tcPr>
            <w:tcW w:type="dxa" w:w="1445"/>
          </w:tcPr>
          <w:p>
            <w:pPr>
              <w:spacing w:after="40" w:line="240" w:lineRule="auto"/>
              <w:jc w:val="center"/>
            </w:pPr>
            <w:r/>
            <w:r>
              <w:rPr>
                <w:b w:val="0"/>
                <w:sz w:val="20"/>
              </w:rPr>
              <w:t>2000</w:t>
            </w:r>
          </w:p>
        </w:tc>
        <w:tc>
          <w:tcPr>
            <w:tcW w:type="dxa" w:w="1445"/>
          </w:tcPr>
          <w:p>
            <w:pPr>
              <w:spacing w:after="40" w:line="240" w:lineRule="auto"/>
              <w:jc w:val="center"/>
            </w:pPr>
            <w:r/>
            <w:r>
              <w:rPr>
                <w:b w:val="0"/>
                <w:sz w:val="20"/>
              </w:rPr>
              <w:t>-0.0029</w:t>
            </w:r>
          </w:p>
        </w:tc>
        <w:tc>
          <w:tcPr>
            <w:tcW w:type="dxa" w:w="1445"/>
          </w:tcPr>
          <w:p>
            <w:pPr>
              <w:spacing w:after="40" w:line="240" w:lineRule="auto"/>
              <w:jc w:val="center"/>
            </w:pPr>
            <w:r/>
            <w:r>
              <w:rPr>
                <w:b w:val="0"/>
                <w:sz w:val="20"/>
              </w:rPr>
              <w:t>[-0.0149, 0.0092]</w:t>
            </w:r>
          </w:p>
        </w:tc>
        <w:tc>
          <w:tcPr>
            <w:tcW w:type="dxa" w:w="1445"/>
          </w:tcPr>
          <w:p>
            <w:pPr>
              <w:spacing w:after="40" w:line="240" w:lineRule="auto"/>
              <w:jc w:val="center"/>
            </w:pPr>
            <w:r/>
            <w:r>
              <w:rPr>
                <w:b w:val="0"/>
                <w:sz w:val="20"/>
              </w:rPr>
              <w:t>0.0389</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doubly robust</w:t>
            </w:r>
          </w:p>
        </w:tc>
        <w:tc>
          <w:tcPr>
            <w:tcW w:type="dxa" w:w="1445"/>
          </w:tcPr>
          <w:p>
            <w:pPr>
              <w:spacing w:after="40" w:line="240" w:lineRule="auto"/>
              <w:jc w:val="center"/>
            </w:pPr>
            <w:r/>
            <w:r>
              <w:rPr>
                <w:b w:val="0"/>
                <w:sz w:val="20"/>
              </w:rPr>
              <w:t>2000</w:t>
            </w:r>
          </w:p>
        </w:tc>
        <w:tc>
          <w:tcPr>
            <w:tcW w:type="dxa" w:w="1445"/>
          </w:tcPr>
          <w:p>
            <w:pPr>
              <w:spacing w:after="40" w:line="240" w:lineRule="auto"/>
              <w:jc w:val="center"/>
            </w:pPr>
            <w:r/>
            <w:r>
              <w:rPr>
                <w:b w:val="0"/>
                <w:sz w:val="20"/>
              </w:rPr>
              <w:t>-0.0037</w:t>
            </w:r>
          </w:p>
        </w:tc>
        <w:tc>
          <w:tcPr>
            <w:tcW w:type="dxa" w:w="1445"/>
          </w:tcPr>
          <w:p>
            <w:pPr>
              <w:spacing w:after="40" w:line="240" w:lineRule="auto"/>
              <w:jc w:val="center"/>
            </w:pPr>
            <w:r/>
            <w:r>
              <w:rPr>
                <w:b w:val="0"/>
                <w:sz w:val="20"/>
              </w:rPr>
              <w:t>[-0.0157, 0.0088]</w:t>
            </w:r>
          </w:p>
        </w:tc>
        <w:tc>
          <w:tcPr>
            <w:tcW w:type="dxa" w:w="1445"/>
          </w:tcPr>
          <w:p>
            <w:pPr>
              <w:spacing w:after="40" w:line="240" w:lineRule="auto"/>
              <w:jc w:val="center"/>
            </w:pPr>
            <w:r/>
            <w:r>
              <w:rPr>
                <w:b w:val="0"/>
                <w:sz w:val="20"/>
              </w:rPr>
              <w:t>0.0399</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ips</w:t>
            </w:r>
          </w:p>
        </w:tc>
        <w:tc>
          <w:tcPr>
            <w:tcW w:type="dxa" w:w="1445"/>
          </w:tcPr>
          <w:p>
            <w:pPr>
              <w:spacing w:after="40" w:line="240" w:lineRule="auto"/>
              <w:jc w:val="center"/>
            </w:pPr>
            <w:r/>
            <w:r>
              <w:rPr>
                <w:b w:val="0"/>
                <w:sz w:val="20"/>
              </w:rPr>
              <w:t>10000</w:t>
            </w:r>
          </w:p>
        </w:tc>
        <w:tc>
          <w:tcPr>
            <w:tcW w:type="dxa" w:w="1445"/>
          </w:tcPr>
          <w:p>
            <w:pPr>
              <w:spacing w:after="40" w:line="240" w:lineRule="auto"/>
              <w:jc w:val="center"/>
            </w:pPr>
            <w:r/>
            <w:r>
              <w:rPr>
                <w:b w:val="0"/>
                <w:sz w:val="20"/>
              </w:rPr>
              <w:t>-0.0006</w:t>
            </w:r>
          </w:p>
        </w:tc>
        <w:tc>
          <w:tcPr>
            <w:tcW w:type="dxa" w:w="1445"/>
          </w:tcPr>
          <w:p>
            <w:pPr>
              <w:spacing w:after="40" w:line="240" w:lineRule="auto"/>
              <w:jc w:val="center"/>
            </w:pPr>
            <w:r/>
            <w:r>
              <w:rPr>
                <w:b w:val="0"/>
                <w:sz w:val="20"/>
              </w:rPr>
              <w:t>[-0.0071, 0.0057]</w:t>
            </w:r>
          </w:p>
        </w:tc>
        <w:tc>
          <w:tcPr>
            <w:tcW w:type="dxa" w:w="1445"/>
          </w:tcPr>
          <w:p>
            <w:pPr>
              <w:spacing w:after="40" w:line="240" w:lineRule="auto"/>
              <w:jc w:val="center"/>
            </w:pPr>
            <w:r/>
            <w:r>
              <w:rPr>
                <w:b w:val="0"/>
                <w:sz w:val="20"/>
              </w:rPr>
              <w:t>0.0213</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snips</w:t>
            </w:r>
          </w:p>
        </w:tc>
        <w:tc>
          <w:tcPr>
            <w:tcW w:type="dxa" w:w="1445"/>
          </w:tcPr>
          <w:p>
            <w:pPr>
              <w:spacing w:after="40" w:line="240" w:lineRule="auto"/>
              <w:jc w:val="center"/>
            </w:pPr>
            <w:r/>
            <w:r>
              <w:rPr>
                <w:b w:val="0"/>
                <w:sz w:val="20"/>
              </w:rPr>
              <w:t>10000</w:t>
            </w:r>
          </w:p>
        </w:tc>
        <w:tc>
          <w:tcPr>
            <w:tcW w:type="dxa" w:w="1445"/>
          </w:tcPr>
          <w:p>
            <w:pPr>
              <w:spacing w:after="40" w:line="240" w:lineRule="auto"/>
              <w:jc w:val="center"/>
            </w:pPr>
            <w:r/>
            <w:r>
              <w:rPr>
                <w:b w:val="0"/>
                <w:sz w:val="20"/>
              </w:rPr>
              <w:t>-0.0029</w:t>
            </w:r>
          </w:p>
        </w:tc>
        <w:tc>
          <w:tcPr>
            <w:tcW w:type="dxa" w:w="1445"/>
          </w:tcPr>
          <w:p>
            <w:pPr>
              <w:spacing w:after="40" w:line="240" w:lineRule="auto"/>
              <w:jc w:val="center"/>
            </w:pPr>
            <w:r/>
            <w:r>
              <w:rPr>
                <w:b w:val="0"/>
                <w:sz w:val="20"/>
              </w:rPr>
              <w:t>[-0.008, 0.0019]</w:t>
            </w:r>
          </w:p>
        </w:tc>
        <w:tc>
          <w:tcPr>
            <w:tcW w:type="dxa" w:w="1445"/>
          </w:tcPr>
          <w:p>
            <w:pPr>
              <w:spacing w:after="40" w:line="240" w:lineRule="auto"/>
              <w:jc w:val="center"/>
            </w:pPr>
            <w:r/>
            <w:r>
              <w:rPr>
                <w:b w:val="0"/>
                <w:sz w:val="20"/>
              </w:rPr>
              <w:t>0.0166</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doubly robust</w:t>
            </w:r>
          </w:p>
        </w:tc>
        <w:tc>
          <w:tcPr>
            <w:tcW w:type="dxa" w:w="1445"/>
          </w:tcPr>
          <w:p>
            <w:pPr>
              <w:spacing w:after="40" w:line="240" w:lineRule="auto"/>
              <w:jc w:val="center"/>
            </w:pPr>
            <w:r/>
            <w:r>
              <w:rPr>
                <w:b w:val="0"/>
                <w:sz w:val="20"/>
              </w:rPr>
              <w:t>10000</w:t>
            </w:r>
          </w:p>
        </w:tc>
        <w:tc>
          <w:tcPr>
            <w:tcW w:type="dxa" w:w="1445"/>
          </w:tcPr>
          <w:p>
            <w:pPr>
              <w:spacing w:after="40" w:line="240" w:lineRule="auto"/>
              <w:jc w:val="center"/>
            </w:pPr>
            <w:r/>
            <w:r>
              <w:rPr>
                <w:b w:val="0"/>
                <w:sz w:val="20"/>
              </w:rPr>
              <w:t>-0.0031</w:t>
            </w:r>
          </w:p>
        </w:tc>
        <w:tc>
          <w:tcPr>
            <w:tcW w:type="dxa" w:w="1445"/>
          </w:tcPr>
          <w:p>
            <w:pPr>
              <w:spacing w:after="40" w:line="240" w:lineRule="auto"/>
              <w:jc w:val="center"/>
            </w:pPr>
            <w:r/>
            <w:r>
              <w:rPr>
                <w:b w:val="0"/>
                <w:sz w:val="20"/>
              </w:rPr>
              <w:t>[-0.0084, 0.0018]</w:t>
            </w:r>
          </w:p>
        </w:tc>
        <w:tc>
          <w:tcPr>
            <w:tcW w:type="dxa" w:w="1445"/>
          </w:tcPr>
          <w:p>
            <w:pPr>
              <w:spacing w:after="40" w:line="240" w:lineRule="auto"/>
              <w:jc w:val="center"/>
            </w:pPr>
            <w:r/>
            <w:r>
              <w:rPr>
                <w:b w:val="0"/>
                <w:sz w:val="20"/>
              </w:rPr>
              <w:t>0.017</w:t>
            </w:r>
          </w:p>
        </w:tc>
        <w:tc>
          <w:tcPr>
            <w:tcW w:type="dxa" w:w="1445"/>
          </w:tcPr>
          <w:p>
            <w:pPr>
              <w:spacing w:after="40" w:line="240" w:lineRule="auto"/>
              <w:jc w:val="center"/>
            </w:pPr>
            <w:r/>
            <w:r>
              <w:rPr>
                <w:b w:val="0"/>
                <w:sz w:val="20"/>
              </w:rPr>
              <w:t>yes</w:t>
            </w:r>
          </w:p>
        </w:tc>
      </w:tr>
    </w:tbl>
    <w:p>
      <w:pPr>
        <w:spacing w:after="120"/>
      </w:pPr>
    </w:p>
    <w:p>
      <w:pPr>
        <w:pStyle w:val="TableCaption"/>
      </w:pPr>
      <w:r>
        <w:rPr>
          <w:b w:val="0"/>
          <w:i w:val="0"/>
        </w:rPr>
        <w:t>Table 30 — What exploration buys, and what it costs.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Exploration rate</w:t>
            </w:r>
          </w:p>
        </w:tc>
        <w:tc>
          <w:tcPr>
            <w:tcW w:type="dxa" w:w="2167"/>
            <w:shd w:val="clear" w:color="auto" w:fill="E8EEF6"/>
          </w:tcPr>
          <w:p>
            <w:pPr>
              <w:spacing w:after="40" w:line="240" w:lineRule="auto"/>
              <w:jc w:val="center"/>
            </w:pPr>
            <w:r/>
            <w:r>
              <w:rPr>
                <w:b/>
                <w:sz w:val="20"/>
              </w:rPr>
              <w:t>Bias</w:t>
            </w:r>
          </w:p>
        </w:tc>
        <w:tc>
          <w:tcPr>
            <w:tcW w:type="dxa" w:w="2167"/>
            <w:shd w:val="clear" w:color="auto" w:fill="E8EEF6"/>
          </w:tcPr>
          <w:p>
            <w:pPr>
              <w:spacing w:after="40" w:line="240" w:lineRule="auto"/>
              <w:jc w:val="center"/>
            </w:pPr>
            <w:r/>
            <w:r>
              <w:rPr>
                <w:b/>
                <w:sz w:val="20"/>
              </w:rPr>
              <w:t>RMSE</w:t>
            </w:r>
          </w:p>
        </w:tc>
        <w:tc>
          <w:tcPr>
            <w:tcW w:type="dxa" w:w="2167"/>
            <w:shd w:val="clear" w:color="auto" w:fill="E8EEF6"/>
          </w:tcPr>
          <w:p>
            <w:pPr>
              <w:spacing w:after="40" w:line="240" w:lineRule="auto"/>
              <w:jc w:val="center"/>
            </w:pPr>
            <w:r/>
            <w:r>
              <w:rPr>
                <w:b/>
                <w:sz w:val="20"/>
              </w:rPr>
              <w:t>Reward given up</w:t>
            </w:r>
          </w:p>
        </w:tc>
      </w:tr>
      <w:tr>
        <w:tc>
          <w:tcPr>
            <w:tcW w:type="dxa" w:w="2167"/>
          </w:tcPr>
          <w:p>
            <w:pPr>
              <w:spacing w:after="40" w:line="240" w:lineRule="auto"/>
              <w:jc w:val="left"/>
            </w:pPr>
            <w:r/>
            <w:r>
              <w:rPr>
                <w:b w:val="0"/>
                <w:sz w:val="20"/>
              </w:rPr>
              <w:t>0%</w:t>
            </w:r>
          </w:p>
        </w:tc>
        <w:tc>
          <w:tcPr>
            <w:tcW w:type="dxa" w:w="2167"/>
          </w:tcPr>
          <w:p>
            <w:pPr>
              <w:spacing w:after="40" w:line="240" w:lineRule="auto"/>
              <w:jc w:val="center"/>
            </w:pPr>
            <w:r/>
            <w:r>
              <w:rPr>
                <w:b w:val="0"/>
                <w:sz w:val="20"/>
              </w:rPr>
              <w:t>0.0391</w:t>
            </w:r>
          </w:p>
        </w:tc>
        <w:tc>
          <w:tcPr>
            <w:tcW w:type="dxa" w:w="2167"/>
          </w:tcPr>
          <w:p>
            <w:pPr>
              <w:spacing w:after="40" w:line="240" w:lineRule="auto"/>
              <w:jc w:val="center"/>
            </w:pPr>
            <w:r/>
            <w:r>
              <w:rPr>
                <w:b w:val="0"/>
                <w:sz w:val="20"/>
              </w:rPr>
              <w:t>0.0423</w:t>
            </w:r>
          </w:p>
        </w:tc>
        <w:tc>
          <w:tcPr>
            <w:tcW w:type="dxa" w:w="2167"/>
          </w:tcPr>
          <w:p>
            <w:pPr>
              <w:spacing w:after="40" w:line="240" w:lineRule="auto"/>
              <w:jc w:val="center"/>
            </w:pPr>
            <w:r/>
            <w:r>
              <w:rPr>
                <w:b w:val="0"/>
                <w:sz w:val="20"/>
              </w:rPr>
              <w:t>0.0%</w:t>
            </w:r>
          </w:p>
        </w:tc>
      </w:tr>
      <w:tr>
        <w:tc>
          <w:tcPr>
            <w:tcW w:type="dxa" w:w="2167"/>
          </w:tcPr>
          <w:p>
            <w:pPr>
              <w:spacing w:after="40" w:line="240" w:lineRule="auto"/>
              <w:jc w:val="left"/>
            </w:pPr>
            <w:r/>
            <w:r>
              <w:rPr>
                <w:b w:val="0"/>
                <w:sz w:val="20"/>
              </w:rPr>
              <w:t>1%</w:t>
            </w:r>
          </w:p>
        </w:tc>
        <w:tc>
          <w:tcPr>
            <w:tcW w:type="dxa" w:w="2167"/>
          </w:tcPr>
          <w:p>
            <w:pPr>
              <w:spacing w:after="40" w:line="240" w:lineRule="auto"/>
              <w:jc w:val="center"/>
            </w:pPr>
            <w:r/>
            <w:r>
              <w:rPr>
                <w:b w:val="0"/>
                <w:sz w:val="20"/>
              </w:rPr>
              <w:t>0.0105</w:t>
            </w:r>
          </w:p>
        </w:tc>
        <w:tc>
          <w:tcPr>
            <w:tcW w:type="dxa" w:w="2167"/>
          </w:tcPr>
          <w:p>
            <w:pPr>
              <w:spacing w:after="40" w:line="240" w:lineRule="auto"/>
              <w:jc w:val="center"/>
            </w:pPr>
            <w:r/>
            <w:r>
              <w:rPr>
                <w:b w:val="0"/>
                <w:sz w:val="20"/>
              </w:rPr>
              <w:t>0.1124</w:t>
            </w:r>
          </w:p>
        </w:tc>
        <w:tc>
          <w:tcPr>
            <w:tcW w:type="dxa" w:w="2167"/>
          </w:tcPr>
          <w:p>
            <w:pPr>
              <w:spacing w:after="40" w:line="240" w:lineRule="auto"/>
              <w:jc w:val="center"/>
            </w:pPr>
            <w:r/>
            <w:r>
              <w:rPr>
                <w:b w:val="0"/>
                <w:sz w:val="20"/>
              </w:rPr>
              <w:t>0.8%</w:t>
            </w:r>
          </w:p>
        </w:tc>
      </w:tr>
      <w:tr>
        <w:tc>
          <w:tcPr>
            <w:tcW w:type="dxa" w:w="2167"/>
          </w:tcPr>
          <w:p>
            <w:pPr>
              <w:spacing w:after="40" w:line="240" w:lineRule="auto"/>
              <w:jc w:val="left"/>
            </w:pPr>
            <w:r/>
            <w:r>
              <w:rPr>
                <w:b w:val="0"/>
                <w:sz w:val="20"/>
              </w:rPr>
              <w:t>5%</w:t>
            </w:r>
          </w:p>
        </w:tc>
        <w:tc>
          <w:tcPr>
            <w:tcW w:type="dxa" w:w="2167"/>
          </w:tcPr>
          <w:p>
            <w:pPr>
              <w:spacing w:after="40" w:line="240" w:lineRule="auto"/>
              <w:jc w:val="center"/>
            </w:pPr>
            <w:r/>
            <w:r>
              <w:rPr>
                <w:b w:val="0"/>
                <w:sz w:val="20"/>
              </w:rPr>
              <w:t>0.0142</w:t>
            </w:r>
          </w:p>
        </w:tc>
        <w:tc>
          <w:tcPr>
            <w:tcW w:type="dxa" w:w="2167"/>
          </w:tcPr>
          <w:p>
            <w:pPr>
              <w:spacing w:after="40" w:line="240" w:lineRule="auto"/>
              <w:jc w:val="center"/>
            </w:pPr>
            <w:r/>
            <w:r>
              <w:rPr>
                <w:b w:val="0"/>
                <w:sz w:val="20"/>
              </w:rPr>
              <w:t>0.0655</w:t>
            </w:r>
          </w:p>
        </w:tc>
        <w:tc>
          <w:tcPr>
            <w:tcW w:type="dxa" w:w="2167"/>
          </w:tcPr>
          <w:p>
            <w:pPr>
              <w:spacing w:after="40" w:line="240" w:lineRule="auto"/>
              <w:jc w:val="center"/>
            </w:pPr>
            <w:r/>
            <w:r>
              <w:rPr>
                <w:b w:val="0"/>
                <w:sz w:val="20"/>
              </w:rPr>
              <w:t>3.8%</w:t>
            </w:r>
          </w:p>
        </w:tc>
      </w:tr>
      <w:tr>
        <w:tc>
          <w:tcPr>
            <w:tcW w:type="dxa" w:w="2167"/>
          </w:tcPr>
          <w:p>
            <w:pPr>
              <w:spacing w:after="40" w:line="240" w:lineRule="auto"/>
              <w:jc w:val="left"/>
            </w:pPr>
            <w:r/>
            <w:r>
              <w:rPr>
                <w:b w:val="0"/>
                <w:sz w:val="20"/>
              </w:rPr>
              <w:t>10%</w:t>
            </w:r>
          </w:p>
        </w:tc>
        <w:tc>
          <w:tcPr>
            <w:tcW w:type="dxa" w:w="2167"/>
          </w:tcPr>
          <w:p>
            <w:pPr>
              <w:spacing w:after="40" w:line="240" w:lineRule="auto"/>
              <w:jc w:val="center"/>
            </w:pPr>
            <w:r/>
            <w:r>
              <w:rPr>
                <w:b w:val="0"/>
                <w:sz w:val="20"/>
              </w:rPr>
              <w:t>-0.0015</w:t>
            </w:r>
          </w:p>
        </w:tc>
        <w:tc>
          <w:tcPr>
            <w:tcW w:type="dxa" w:w="2167"/>
          </w:tcPr>
          <w:p>
            <w:pPr>
              <w:spacing w:after="40" w:line="240" w:lineRule="auto"/>
              <w:jc w:val="center"/>
            </w:pPr>
            <w:r/>
            <w:r>
              <w:rPr>
                <w:b w:val="0"/>
                <w:sz w:val="20"/>
              </w:rPr>
              <w:t>0.0332</w:t>
            </w:r>
          </w:p>
        </w:tc>
        <w:tc>
          <w:tcPr>
            <w:tcW w:type="dxa" w:w="2167"/>
          </w:tcPr>
          <w:p>
            <w:pPr>
              <w:spacing w:after="40" w:line="240" w:lineRule="auto"/>
              <w:jc w:val="center"/>
            </w:pPr>
            <w:r/>
            <w:r>
              <w:rPr>
                <w:b w:val="0"/>
                <w:sz w:val="20"/>
              </w:rPr>
              <w:t>7.5%</w:t>
            </w:r>
          </w:p>
        </w:tc>
      </w:tr>
      <w:tr>
        <w:tc>
          <w:tcPr>
            <w:tcW w:type="dxa" w:w="2167"/>
          </w:tcPr>
          <w:p>
            <w:pPr>
              <w:spacing w:after="40" w:line="240" w:lineRule="auto"/>
              <w:jc w:val="left"/>
            </w:pPr>
            <w:r/>
            <w:r>
              <w:rPr>
                <w:b w:val="0"/>
                <w:sz w:val="20"/>
              </w:rPr>
              <w:t>25%</w:t>
            </w:r>
          </w:p>
        </w:tc>
        <w:tc>
          <w:tcPr>
            <w:tcW w:type="dxa" w:w="2167"/>
          </w:tcPr>
          <w:p>
            <w:pPr>
              <w:spacing w:after="40" w:line="240" w:lineRule="auto"/>
              <w:jc w:val="center"/>
            </w:pPr>
            <w:r/>
            <w:r>
              <w:rPr>
                <w:b w:val="0"/>
                <w:sz w:val="20"/>
              </w:rPr>
              <w:t>-0.011</w:t>
            </w:r>
          </w:p>
        </w:tc>
        <w:tc>
          <w:tcPr>
            <w:tcW w:type="dxa" w:w="2167"/>
          </w:tcPr>
          <w:p>
            <w:pPr>
              <w:spacing w:after="40" w:line="240" w:lineRule="auto"/>
              <w:jc w:val="center"/>
            </w:pPr>
            <w:r/>
            <w:r>
              <w:rPr>
                <w:b w:val="0"/>
                <w:sz w:val="20"/>
              </w:rPr>
              <w:t>0.0242</w:t>
            </w:r>
          </w:p>
        </w:tc>
        <w:tc>
          <w:tcPr>
            <w:tcW w:type="dxa" w:w="2167"/>
          </w:tcPr>
          <w:p>
            <w:pPr>
              <w:spacing w:after="40" w:line="240" w:lineRule="auto"/>
              <w:jc w:val="center"/>
            </w:pPr>
            <w:r/>
            <w:r>
              <w:rPr>
                <w:b w:val="0"/>
                <w:sz w:val="20"/>
              </w:rPr>
              <w:t>18.8%</w:t>
            </w:r>
          </w:p>
        </w:tc>
      </w:tr>
    </w:tbl>
    <w:p>
      <w:pPr>
        <w:spacing w:after="120"/>
      </w:pPr>
    </w:p>
    <w:p>
      <w:pPr>
        <w:keepNext/>
        <w:keepLines/>
        <w:spacing w:before="360" w:after="120" w:line="240" w:lineRule="auto"/>
        <w:jc w:val="center"/>
      </w:pPr>
      <w:r>
        <w:drawing>
          <wp:inline xmlns:a="http://schemas.openxmlformats.org/drawingml/2006/main" xmlns:pic="http://schemas.openxmlformats.org/drawingml/2006/picture">
            <wp:extent cx="5486400" cy="2303289"/>
            <wp:docPr id="40" name="Picture 40"/>
            <wp:cNvGraphicFramePr>
              <a:graphicFrameLocks noChangeAspect="1"/>
            </wp:cNvGraphicFramePr>
            <a:graphic>
              <a:graphicData uri="http://schemas.openxmlformats.org/drawingml/2006/picture">
                <pic:pic>
                  <pic:nvPicPr>
                    <pic:cNvPr id="0" name="fig_e9_offpolicy.png"/>
                    <pic:cNvPicPr/>
                  </pic:nvPicPr>
                  <pic:blipFill>
                    <a:blip r:embed="rId50"/>
                    <a:stretch>
                      <a:fillRect/>
                    </a:stretch>
                  </pic:blipFill>
                  <pic:spPr>
                    <a:xfrm>
                      <a:off x="0" y="0"/>
                      <a:ext cx="5486400" cy="2303289"/>
                    </a:xfrm>
                    <a:prstGeom prst="rect"/>
                  </pic:spPr>
                </pic:pic>
              </a:graphicData>
            </a:graphic>
          </wp:inline>
        </w:drawing>
      </w:r>
    </w:p>
    <w:p>
      <w:pPr>
        <w:pStyle w:val="Caption"/>
        <w:keepLines/>
        <w:spacing w:before="40" w:after="400" w:line="240" w:lineRule="auto"/>
      </w:pPr>
      <w:r>
        <w:rPr>
          <w:b w:val="0"/>
          <w:i w:val="0"/>
        </w:rPr>
        <w:t>Figure 40 — Estimator error against log size, and bias against exploration rate.</w:t>
      </w:r>
    </w:p>
    <w:p>
      <w:r>
        <w:t>At 10,000 logged decisions the self-normalised estimator recovers the candidate policy's true value with a bias of -0.0029 and an interval containing zero. The mechanism also detects that the candidate policy is worth 0.0361 more reward per customer than the one generating the logs — from logged data alone, without having deployed it to anybody.</w:t>
      </w:r>
    </w:p>
    <w:p>
      <w:pPr>
        <w:pStyle w:val="NoteBox"/>
      </w:pPr>
      <w:r>
        <w:rPr>
          <w:b/>
        </w:rPr>
        <w:t>The finding worth carrying into the viva.</w:t>
      </w:r>
      <w:r>
        <w:t xml:space="preserve"> Without exploration the estimate is biased by +0.0391, and biased </w:t>
      </w:r>
      <w:r>
        <w:rPr>
          <w:i/>
        </w:rPr>
        <w:t>upwards</w:t>
      </w:r>
      <w:r>
        <w:t xml:space="preserve"> — it reports the candidate policy as better than it is. Worse, the deterministic log looks more trustworthy: its effective sample size is 1094 against 107 with exploration, because every weight is 0 or 1 rather than spread out. The standard diagnostic for an unreliable importance-weighted estimate points the wrong way. The estimate is stable and wrong, computed only over the customers where the candidate happens to agree with the logged policy. </w:t>
      </w:r>
      <w:r>
        <w:rPr>
          <w:b/>
        </w:rPr>
        <w:t>Stability is not correctness.</w:t>
      </w:r>
    </w:p>
    <w:p>
      <w:r>
        <w:t>Token exploration is worse than none: at a 1% rate the estimator has the worst error of any setting tested — too few random decisions to remove the bias, and weights large enough to wreck the variance. Exploration is a commitment, not a gesture.</w:t>
      </w:r>
    </w:p>
    <w:p>
      <w:r>
        <w:t xml:space="preserve">This experiment is a simulation, deliberately and without apology. The claim under test is a property of an </w:t>
      </w:r>
      <w:r>
        <w:rPr>
          <w:i/>
        </w:rPr>
        <w:t>estimator</w:t>
      </w:r>
      <w:r>
        <w:t xml:space="preserve"> — unbiasedness — which is settled by mathematics and can therefore be checked exactly against a known answer. It claims nothing about real customers. What it establishes is that the mechanism now in the system will produce a usable answer once enough decisions have been logged, which is the difference between a system that can improve and one that can only assert.</w:t>
      </w:r>
    </w:p>
    <w:p>
      <w:pPr>
        <w:pStyle w:val="Heading3"/>
      </w:pPr>
      <w:r>
        <w:t>7.3.10 The action set is a property of the website</w:t>
      </w:r>
    </w:p>
    <w:p>
      <w:r>
        <w:t>Every result so far assumed a fixed vocabulary of four actions. That assumption does not survive contact with a second client. A news site has no checkout, so recommending a discount there is not a poor recommendation but a category error; a charity has no upgrade path; a subscription product has no basket to abandon. The action set is therefore not a constant but the intersection of two things — what the website can perform, and what the customer qualifies for.</w:t>
      </w:r>
    </w:p>
    <w:p>
      <w:r>
        <w:t xml:space="preserve">It is tempting to learn this. There is no dataset of websites labelled with marketing actions, so the labels would have to be synthesised from a rule and the model would learn that rule back — the same circularity as the two defects in 3.2 and 3.7. What a site can do is </w:t>
      </w:r>
      <w:r>
        <w:rPr>
          <w:i/>
        </w:rPr>
        <w:t>evidence on its pages</w:t>
      </w:r>
      <w:r>
        <w:t>, so it is detected; which of the available actions is best is genuinely unknown, so that is left to the decision log.</w:t>
      </w:r>
    </w:p>
    <w:p>
      <w:pPr>
        <w:pStyle w:val="Heading4"/>
      </w:pPr>
      <w:r>
        <w:t>7.3.10.1 Detecting what a website can do</w:t>
      </w:r>
    </w:p>
    <w:p>
      <w:pPr>
        <w:pStyle w:val="TableCaption"/>
      </w:pPr>
      <w:r>
        <w:rPr>
          <w:b w:val="0"/>
          <w:i w:val="0"/>
        </w:rPr>
        <w:t>Table 31 — Capability detection against hand labels on real websites.</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Capability</w:t>
            </w:r>
          </w:p>
        </w:tc>
        <w:tc>
          <w:tcPr>
            <w:tcW w:type="dxa" w:w="1445"/>
            <w:shd w:val="clear" w:color="auto" w:fill="E8EEF6"/>
          </w:tcPr>
          <w:p>
            <w:pPr>
              <w:spacing w:after="40" w:line="240" w:lineRule="auto"/>
              <w:jc w:val="center"/>
            </w:pPr>
            <w:r/>
            <w:r>
              <w:rPr>
                <w:b/>
                <w:sz w:val="20"/>
              </w:rPr>
              <w:t>Judgements</w:t>
            </w:r>
          </w:p>
        </w:tc>
        <w:tc>
          <w:tcPr>
            <w:tcW w:type="dxa" w:w="1445"/>
            <w:shd w:val="clear" w:color="auto" w:fill="E8EEF6"/>
          </w:tcPr>
          <w:p>
            <w:pPr>
              <w:spacing w:after="40" w:line="240" w:lineRule="auto"/>
              <w:jc w:val="center"/>
            </w:pPr>
            <w:r/>
            <w:r>
              <w:rPr>
                <w:b/>
                <w:sz w:val="20"/>
              </w:rPr>
              <w:t>Agreement</w:t>
            </w:r>
          </w:p>
        </w:tc>
        <w:tc>
          <w:tcPr>
            <w:tcW w:type="dxa" w:w="1445"/>
            <w:shd w:val="clear" w:color="auto" w:fill="E8EEF6"/>
          </w:tcPr>
          <w:p>
            <w:pPr>
              <w:spacing w:after="40" w:line="240" w:lineRule="auto"/>
              <w:jc w:val="center"/>
            </w:pPr>
            <w:r/>
            <w:r>
              <w:rPr>
                <w:b/>
                <w:sz w:val="20"/>
              </w:rPr>
              <w:t>95% CI</w:t>
            </w:r>
          </w:p>
        </w:tc>
        <w:tc>
          <w:tcPr>
            <w:tcW w:type="dxa" w:w="1445"/>
            <w:shd w:val="clear" w:color="auto" w:fill="E8EEF6"/>
          </w:tcPr>
          <w:p>
            <w:pPr>
              <w:spacing w:after="40" w:line="240" w:lineRule="auto"/>
              <w:jc w:val="center"/>
            </w:pPr>
            <w:r/>
            <w:r>
              <w:rPr>
                <w:b/>
                <w:sz w:val="20"/>
              </w:rPr>
              <w:t>False positives</w:t>
            </w:r>
          </w:p>
        </w:tc>
        <w:tc>
          <w:tcPr>
            <w:tcW w:type="dxa" w:w="1445"/>
            <w:shd w:val="clear" w:color="auto" w:fill="E8EEF6"/>
          </w:tcPr>
          <w:p>
            <w:pPr>
              <w:spacing w:after="40" w:line="240" w:lineRule="auto"/>
              <w:jc w:val="center"/>
            </w:pPr>
            <w:r/>
            <w:r>
              <w:rPr>
                <w:b/>
                <w:sz w:val="20"/>
              </w:rPr>
              <w:t>False negatives</w:t>
            </w:r>
          </w:p>
        </w:tc>
      </w:tr>
      <w:tr>
        <w:tc>
          <w:tcPr>
            <w:tcW w:type="dxa" w:w="1445"/>
          </w:tcPr>
          <w:p>
            <w:pPr>
              <w:spacing w:after="40" w:line="240" w:lineRule="auto"/>
              <w:jc w:val="left"/>
            </w:pPr>
            <w:r/>
            <w:r>
              <w:rPr>
                <w:b w:val="0"/>
                <w:sz w:val="20"/>
              </w:rPr>
              <w:t>commerce</w:t>
            </w:r>
          </w:p>
        </w:tc>
        <w:tc>
          <w:tcPr>
            <w:tcW w:type="dxa" w:w="1445"/>
          </w:tcPr>
          <w:p>
            <w:pPr>
              <w:spacing w:after="40" w:line="240" w:lineRule="auto"/>
              <w:jc w:val="center"/>
            </w:pPr>
            <w:r/>
            <w:r>
              <w:rPr>
                <w:b w:val="0"/>
                <w:sz w:val="20"/>
              </w:rPr>
              <w:t>8</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[0.676, 1.0]</w:t>
            </w:r>
          </w:p>
        </w:tc>
        <w:tc>
          <w:tcPr>
            <w:tcW w:type="dxa" w:w="1445"/>
          </w:tcPr>
          <w:p>
            <w:pPr>
              <w:spacing w:after="40" w:line="240" w:lineRule="auto"/>
              <w:jc w:val="center"/>
            </w:pPr>
            <w:r/>
            <w:r>
              <w:rPr>
                <w:b w:val="0"/>
                <w:sz w:val="20"/>
              </w:rPr>
              <w:t>0</w:t>
            </w:r>
          </w:p>
        </w:tc>
        <w:tc>
          <w:tcPr>
            <w:tcW w:type="dxa" w:w="1445"/>
          </w:tcPr>
          <w:p>
            <w:pPr>
              <w:spacing w:after="40" w:line="240" w:lineRule="auto"/>
              <w:jc w:val="center"/>
            </w:pPr>
            <w:r/>
            <w:r>
              <w:rPr>
                <w:b w:val="0"/>
                <w:sz w:val="20"/>
              </w:rPr>
              <w:t>0</w:t>
            </w:r>
          </w:p>
        </w:tc>
      </w:tr>
      <w:tr>
        <w:tc>
          <w:tcPr>
            <w:tcW w:type="dxa" w:w="1445"/>
          </w:tcPr>
          <w:p>
            <w:pPr>
              <w:spacing w:after="40" w:line="240" w:lineRule="auto"/>
              <w:jc w:val="left"/>
            </w:pPr>
            <w:r/>
            <w:r>
              <w:rPr>
                <w:b w:val="0"/>
                <w:sz w:val="20"/>
              </w:rPr>
              <w:t>subscription</w:t>
            </w:r>
          </w:p>
        </w:tc>
        <w:tc>
          <w:tcPr>
            <w:tcW w:type="dxa" w:w="1445"/>
          </w:tcPr>
          <w:p>
            <w:pPr>
              <w:spacing w:after="40" w:line="240" w:lineRule="auto"/>
              <w:jc w:val="center"/>
            </w:pPr>
            <w:r/>
            <w:r>
              <w:rPr>
                <w:b w:val="0"/>
                <w:sz w:val="20"/>
              </w:rPr>
              <w:t>4</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[0.51, 1.0]</w:t>
            </w:r>
          </w:p>
        </w:tc>
        <w:tc>
          <w:tcPr>
            <w:tcW w:type="dxa" w:w="1445"/>
          </w:tcPr>
          <w:p>
            <w:pPr>
              <w:spacing w:after="40" w:line="240" w:lineRule="auto"/>
              <w:jc w:val="center"/>
            </w:pPr>
            <w:r/>
            <w:r>
              <w:rPr>
                <w:b w:val="0"/>
                <w:sz w:val="20"/>
              </w:rPr>
              <w:t>0</w:t>
            </w:r>
          </w:p>
        </w:tc>
        <w:tc>
          <w:tcPr>
            <w:tcW w:type="dxa" w:w="1445"/>
          </w:tcPr>
          <w:p>
            <w:pPr>
              <w:spacing w:after="40" w:line="240" w:lineRule="auto"/>
              <w:jc w:val="center"/>
            </w:pPr>
            <w:r/>
            <w:r>
              <w:rPr>
                <w:b w:val="0"/>
                <w:sz w:val="20"/>
              </w:rPr>
              <w:t>0</w:t>
            </w:r>
          </w:p>
        </w:tc>
      </w:tr>
      <w:tr>
        <w:tc>
          <w:tcPr>
            <w:tcW w:type="dxa" w:w="1445"/>
          </w:tcPr>
          <w:p>
            <w:pPr>
              <w:spacing w:after="40" w:line="240" w:lineRule="auto"/>
              <w:jc w:val="left"/>
            </w:pPr>
            <w:r/>
            <w:r>
              <w:rPr>
                <w:b w:val="0"/>
                <w:sz w:val="20"/>
              </w:rPr>
              <w:t>lead capture</w:t>
            </w:r>
          </w:p>
        </w:tc>
        <w:tc>
          <w:tcPr>
            <w:tcW w:type="dxa" w:w="1445"/>
          </w:tcPr>
          <w:p>
            <w:pPr>
              <w:spacing w:after="40" w:line="240" w:lineRule="auto"/>
              <w:jc w:val="center"/>
            </w:pPr>
            <w:r/>
            <w:r>
              <w:rPr>
                <w:b w:val="0"/>
                <w:sz w:val="20"/>
              </w:rPr>
              <w:t>1</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[0.207, 1.0]</w:t>
            </w:r>
          </w:p>
        </w:tc>
        <w:tc>
          <w:tcPr>
            <w:tcW w:type="dxa" w:w="1445"/>
          </w:tcPr>
          <w:p>
            <w:pPr>
              <w:spacing w:after="40" w:line="240" w:lineRule="auto"/>
              <w:jc w:val="center"/>
            </w:pPr>
            <w:r/>
            <w:r>
              <w:rPr>
                <w:b w:val="0"/>
                <w:sz w:val="20"/>
              </w:rPr>
              <w:t>0</w:t>
            </w:r>
          </w:p>
        </w:tc>
        <w:tc>
          <w:tcPr>
            <w:tcW w:type="dxa" w:w="1445"/>
          </w:tcPr>
          <w:p>
            <w:pPr>
              <w:spacing w:after="40" w:line="240" w:lineRule="auto"/>
              <w:jc w:val="center"/>
            </w:pPr>
            <w:r/>
            <w:r>
              <w:rPr>
                <w:b w:val="0"/>
                <w:sz w:val="20"/>
              </w:rPr>
              <w:t>0</w:t>
            </w:r>
          </w:p>
        </w:tc>
      </w:tr>
      <w:tr>
        <w:tc>
          <w:tcPr>
            <w:tcW w:type="dxa" w:w="1445"/>
          </w:tcPr>
          <w:p>
            <w:pPr>
              <w:spacing w:after="40" w:line="240" w:lineRule="auto"/>
              <w:jc w:val="left"/>
            </w:pPr>
            <w:r/>
            <w:r>
              <w:rPr>
                <w:b w:val="0"/>
                <w:sz w:val="20"/>
              </w:rPr>
              <w:t>donation</w:t>
            </w:r>
          </w:p>
        </w:tc>
        <w:tc>
          <w:tcPr>
            <w:tcW w:type="dxa" w:w="1445"/>
          </w:tcPr>
          <w:p>
            <w:pPr>
              <w:spacing w:after="40" w:line="240" w:lineRule="auto"/>
              <w:jc w:val="center"/>
            </w:pPr>
            <w:r/>
            <w:r>
              <w:rPr>
                <w:b w:val="0"/>
                <w:sz w:val="20"/>
              </w:rPr>
              <w:t>8</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[0.676, 1.0]</w:t>
            </w:r>
          </w:p>
        </w:tc>
        <w:tc>
          <w:tcPr>
            <w:tcW w:type="dxa" w:w="1445"/>
          </w:tcPr>
          <w:p>
            <w:pPr>
              <w:spacing w:after="40" w:line="240" w:lineRule="auto"/>
              <w:jc w:val="center"/>
            </w:pPr>
            <w:r/>
            <w:r>
              <w:rPr>
                <w:b w:val="0"/>
                <w:sz w:val="20"/>
              </w:rPr>
              <w:t>0</w:t>
            </w:r>
          </w:p>
        </w:tc>
        <w:tc>
          <w:tcPr>
            <w:tcW w:type="dxa" w:w="1445"/>
          </w:tcPr>
          <w:p>
            <w:pPr>
              <w:spacing w:after="40" w:line="240" w:lineRule="auto"/>
              <w:jc w:val="center"/>
            </w:pPr>
            <w:r/>
            <w:r>
              <w:rPr>
                <w:b w:val="0"/>
                <w:sz w:val="20"/>
              </w:rPr>
              <w:t>0</w:t>
            </w:r>
          </w:p>
        </w:tc>
      </w:tr>
    </w:tbl>
    <w:p>
      <w:pPr>
        <w:spacing w:after="120"/>
      </w:pPr>
    </w:p>
    <w:p>
      <w:pPr>
        <w:keepNext/>
        <w:keepLines/>
        <w:spacing w:before="360" w:after="120" w:line="240" w:lineRule="auto"/>
        <w:jc w:val="center"/>
      </w:pPr>
      <w:r>
        <w:drawing>
          <wp:inline xmlns:a="http://schemas.openxmlformats.org/drawingml/2006/main" xmlns:pic="http://schemas.openxmlformats.org/drawingml/2006/picture">
            <wp:extent cx="5486400" cy="2820112"/>
            <wp:docPr id="41" name="Picture 41"/>
            <wp:cNvGraphicFramePr>
              <a:graphicFrameLocks noChangeAspect="1"/>
            </wp:cNvGraphicFramePr>
            <a:graphic>
              <a:graphicData uri="http://schemas.openxmlformats.org/drawingml/2006/picture">
                <pic:pic>
                  <pic:nvPicPr>
                    <pic:cNvPr id="0" name="fig_e10_capability_detection.png"/>
                    <pic:cNvPicPr/>
                  </pic:nvPicPr>
                  <pic:blipFill>
                    <a:blip r:embed="rId51"/>
                    <a:stretch>
                      <a:fillRect/>
                    </a:stretch>
                  </pic:blipFill>
                  <pic:spPr>
                    <a:xfrm>
                      <a:off x="0" y="0"/>
                      <a:ext cx="5486400" cy="2820112"/>
                    </a:xfrm>
                    <a:prstGeom prst="rect"/>
                  </pic:spPr>
                </pic:pic>
              </a:graphicData>
            </a:graphic>
          </wp:inline>
        </w:drawing>
      </w:r>
    </w:p>
    <w:p>
      <w:pPr>
        <w:pStyle w:val="Caption"/>
        <w:keepLines/>
        <w:spacing w:before="40" w:after="400" w:line="240" w:lineRule="auto"/>
      </w:pPr>
      <w:r>
        <w:rPr>
          <w:b w:val="0"/>
          <w:i w:val="0"/>
        </w:rPr>
        <w:t>Figure 41 — Agreement per capability, with Wilson intervals. The width of the bars is the honest content.</w:t>
      </w:r>
    </w:p>
    <w:p>
      <w:pPr>
        <w:pStyle w:val="NoteBox"/>
      </w:pPr>
      <w:r>
        <w:rPr>
          <w:b/>
        </w:rPr>
        <w:t>This is a development set and the figure is fitted.</w:t>
      </w:r>
      <w:r>
        <w:t xml:space="preserve"> The first run disagreed on four judgements. Two were detector faults, both caused by matching URLs as free text: `/product` fired on a magazine's `/categories/product-strategy`, and a retailer's `support.` subdomain was read as a donation page. Matching now works on whole path segments and host labels. The other two were faults in the </w:t>
      </w:r>
      <w:r>
        <w:rPr>
          <w:i/>
        </w:rPr>
        <w:t>labels</w:t>
      </w:r>
      <w:r>
        <w:t xml:space="preserve"> — a charity with a shop and a publisher with a store had both been marked as having no commerce, and the detector was right. Code and labels both changed after seeing results, so a fresh sample would be needed to claim generalisation, and none is claimed here.</w:t>
      </w:r>
    </w:p>
    <w:p>
      <w:r>
        <w:t xml:space="preserve">The finding that matters is not the percentage but what the disagreements taught: capability is not a site </w:t>
      </w:r>
      <w:r>
        <w:rPr>
          <w:i/>
        </w:rPr>
        <w:t>type</w:t>
      </w:r>
      <w:r>
        <w:t>. A charity that sells merchandise has donation and commerce both; a publisher running a store has commerce as well as content. Modelling capabilities as independent flags rather than as a category is what allowed the detector to be right where the human label was wrong.</w:t>
      </w:r>
    </w:p>
    <w:p>
      <w:pPr>
        <w:pStyle w:val="Heading4"/>
      </w:pPr>
      <w:r>
        <w:t>7.3.10.2 What a larger action set costs</w:t>
      </w:r>
    </w:p>
    <w:p>
      <w:r>
        <w:t>Letting each site use its own actions is not free. Exploration is a fixed budget, so the more actions on offer the less evidence each accumulates, and the longer before a logged policy comparison means anything.</w:t>
      </w:r>
    </w:p>
    <w:p>
      <w:pPr>
        <w:pStyle w:val="TableCaption"/>
      </w:pPr>
      <w:r>
        <w:rPr>
          <w:b w:val="0"/>
          <w:i w:val="0"/>
        </w:rPr>
        <w:t>Table 32 — Logged decisions needed to reach an RMSE of 0.02 against the true policy value.</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Actions on offer</w:t>
            </w:r>
          </w:p>
        </w:tc>
        <w:tc>
          <w:tcPr>
            <w:tcW w:type="dxa" w:w="2890"/>
            <w:shd w:val="clear" w:color="auto" w:fill="E8EEF6"/>
          </w:tcPr>
          <w:p>
            <w:pPr>
              <w:spacing w:after="40" w:line="240" w:lineRule="auto"/>
              <w:jc w:val="center"/>
            </w:pPr>
            <w:r/>
            <w:r>
              <w:rPr>
                <w:b/>
                <w:sz w:val="20"/>
              </w:rPr>
              <w:t>Decisions needed</w:t>
            </w:r>
          </w:p>
        </w:tc>
        <w:tc>
          <w:tcPr>
            <w:tcW w:type="dxa" w:w="2890"/>
            <w:shd w:val="clear" w:color="auto" w:fill="E8EEF6"/>
          </w:tcPr>
          <w:p>
            <w:pPr>
              <w:spacing w:after="40" w:line="240" w:lineRule="auto"/>
              <w:jc w:val="center"/>
            </w:pPr>
            <w:r/>
            <w:r>
              <w:rPr>
                <w:b/>
                <w:sz w:val="20"/>
              </w:rPr>
              <w:t>Per action</w:t>
            </w:r>
          </w:p>
        </w:tc>
      </w:tr>
      <w:tr>
        <w:tc>
          <w:tcPr>
            <w:tcW w:type="dxa" w:w="2890"/>
          </w:tcPr>
          <w:p>
            <w:pPr>
              <w:spacing w:after="40" w:line="240" w:lineRule="auto"/>
              <w:jc w:val="left"/>
            </w:pPr>
            <w:r/>
            <w:r>
              <w:rPr>
                <w:b w:val="0"/>
                <w:sz w:val="20"/>
              </w:rPr>
              <w:t>2</w:t>
            </w:r>
          </w:p>
        </w:tc>
        <w:tc>
          <w:tcPr>
            <w:tcW w:type="dxa" w:w="2890"/>
          </w:tcPr>
          <w:p>
            <w:pPr>
              <w:spacing w:after="40" w:line="240" w:lineRule="auto"/>
              <w:jc w:val="center"/>
            </w:pPr>
            <w:r/>
            <w:r>
              <w:rPr>
                <w:b w:val="0"/>
                <w:sz w:val="20"/>
              </w:rPr>
              <w:t>5,000</w:t>
            </w:r>
          </w:p>
        </w:tc>
        <w:tc>
          <w:tcPr>
            <w:tcW w:type="dxa" w:w="2890"/>
          </w:tcPr>
          <w:p>
            <w:pPr>
              <w:spacing w:after="40" w:line="240" w:lineRule="auto"/>
              <w:jc w:val="center"/>
            </w:pPr>
            <w:r/>
            <w:r>
              <w:rPr>
                <w:b w:val="0"/>
                <w:sz w:val="20"/>
              </w:rPr>
              <w:t>2500</w:t>
            </w:r>
          </w:p>
        </w:tc>
      </w:tr>
      <w:tr>
        <w:tc>
          <w:tcPr>
            <w:tcW w:type="dxa" w:w="2890"/>
          </w:tcPr>
          <w:p>
            <w:pPr>
              <w:spacing w:after="40" w:line="240" w:lineRule="auto"/>
              <w:jc w:val="left"/>
            </w:pPr>
            <w:r/>
            <w:r>
              <w:rPr>
                <w:b w:val="0"/>
                <w:sz w:val="20"/>
              </w:rPr>
              <w:t>4</w:t>
            </w:r>
          </w:p>
        </w:tc>
        <w:tc>
          <w:tcPr>
            <w:tcW w:type="dxa" w:w="2890"/>
          </w:tcPr>
          <w:p>
            <w:pPr>
              <w:spacing w:after="40" w:line="240" w:lineRule="auto"/>
              <w:jc w:val="center"/>
            </w:pPr>
            <w:r/>
            <w:r>
              <w:rPr>
                <w:b w:val="0"/>
                <w:sz w:val="20"/>
              </w:rPr>
              <w:t>5,000</w:t>
            </w:r>
          </w:p>
        </w:tc>
        <w:tc>
          <w:tcPr>
            <w:tcW w:type="dxa" w:w="2890"/>
          </w:tcPr>
          <w:p>
            <w:pPr>
              <w:spacing w:after="40" w:line="240" w:lineRule="auto"/>
              <w:jc w:val="center"/>
            </w:pPr>
            <w:r/>
            <w:r>
              <w:rPr>
                <w:b w:val="0"/>
                <w:sz w:val="20"/>
              </w:rPr>
              <w:t>1250</w:t>
            </w:r>
          </w:p>
        </w:tc>
      </w:tr>
      <w:tr>
        <w:tc>
          <w:tcPr>
            <w:tcW w:type="dxa" w:w="2890"/>
          </w:tcPr>
          <w:p>
            <w:pPr>
              <w:spacing w:after="40" w:line="240" w:lineRule="auto"/>
              <w:jc w:val="left"/>
            </w:pPr>
            <w:r/>
            <w:r>
              <w:rPr>
                <w:b w:val="0"/>
                <w:sz w:val="20"/>
              </w:rPr>
              <w:t>8</w:t>
            </w:r>
          </w:p>
        </w:tc>
        <w:tc>
          <w:tcPr>
            <w:tcW w:type="dxa" w:w="2890"/>
          </w:tcPr>
          <w:p>
            <w:pPr>
              <w:spacing w:after="40" w:line="240" w:lineRule="auto"/>
              <w:jc w:val="center"/>
            </w:pPr>
            <w:r/>
            <w:r>
              <w:rPr>
                <w:b w:val="0"/>
                <w:sz w:val="20"/>
              </w:rPr>
              <w:t>20,000</w:t>
            </w:r>
          </w:p>
        </w:tc>
        <w:tc>
          <w:tcPr>
            <w:tcW w:type="dxa" w:w="2890"/>
          </w:tcPr>
          <w:p>
            <w:pPr>
              <w:spacing w:after="40" w:line="240" w:lineRule="auto"/>
              <w:jc w:val="center"/>
            </w:pPr>
            <w:r/>
            <w:r>
              <w:rPr>
                <w:b w:val="0"/>
                <w:sz w:val="20"/>
              </w:rPr>
              <w:t>2500</w:t>
            </w:r>
          </w:p>
        </w:tc>
      </w:tr>
      <w:tr>
        <w:tc>
          <w:tcPr>
            <w:tcW w:type="dxa" w:w="2890"/>
          </w:tcPr>
          <w:p>
            <w:pPr>
              <w:spacing w:after="40" w:line="240" w:lineRule="auto"/>
              <w:jc w:val="left"/>
            </w:pPr>
            <w:r/>
            <w:r>
              <w:rPr>
                <w:b w:val="0"/>
                <w:sz w:val="20"/>
              </w:rPr>
              <w:t>16</w:t>
            </w:r>
          </w:p>
        </w:tc>
        <w:tc>
          <w:tcPr>
            <w:tcW w:type="dxa" w:w="2890"/>
          </w:tcPr>
          <w:p>
            <w:pPr>
              <w:spacing w:after="40" w:line="240" w:lineRule="auto"/>
              <w:jc w:val="center"/>
            </w:pPr>
            <w:r/>
            <w:r>
              <w:rPr>
                <w:b w:val="0"/>
                <w:sz w:val="20"/>
              </w:rPr>
              <w:t>80,000</w:t>
            </w:r>
          </w:p>
        </w:tc>
        <w:tc>
          <w:tcPr>
            <w:tcW w:type="dxa" w:w="2890"/>
          </w:tcPr>
          <w:p>
            <w:pPr>
              <w:spacing w:after="40" w:line="240" w:lineRule="auto"/>
              <w:jc w:val="center"/>
            </w:pPr>
            <w:r/>
            <w:r>
              <w:rPr>
                <w:b w:val="0"/>
                <w:sz w:val="20"/>
              </w:rPr>
              <w:t>5000</w:t>
            </w:r>
          </w:p>
        </w:tc>
      </w:tr>
    </w:tbl>
    <w:p>
      <w:pPr>
        <w:spacing w:after="120"/>
      </w:pPr>
    </w:p>
    <w:p>
      <w:pPr>
        <w:keepNext/>
        <w:keepLines/>
        <w:spacing w:before="360" w:after="120" w:line="240" w:lineRule="auto"/>
        <w:jc w:val="center"/>
      </w:pPr>
      <w:r>
        <w:drawing>
          <wp:inline xmlns:a="http://schemas.openxmlformats.org/drawingml/2006/main" xmlns:pic="http://schemas.openxmlformats.org/drawingml/2006/picture">
            <wp:extent cx="5486400" cy="2256670"/>
            <wp:docPr id="42" name="Picture 42"/>
            <wp:cNvGraphicFramePr>
              <a:graphicFrameLocks noChangeAspect="1"/>
            </wp:cNvGraphicFramePr>
            <a:graphic>
              <a:graphicData uri="http://schemas.openxmlformats.org/drawingml/2006/picture">
                <pic:pic>
                  <pic:nvPicPr>
                    <pic:cNvPr id="0" name="fig_e11_action_set_size.png"/>
                    <pic:cNvPicPr/>
                  </pic:nvPicPr>
                  <pic:blipFill>
                    <a:blip r:embed="rId52"/>
                    <a:stretch>
                      <a:fillRect/>
                    </a:stretch>
                  </pic:blipFill>
                  <pic:spPr>
                    <a:xfrm>
                      <a:off x="0" y="0"/>
                      <a:ext cx="5486400" cy="2256670"/>
                    </a:xfrm>
                    <a:prstGeom prst="rect"/>
                  </pic:spPr>
                </pic:pic>
              </a:graphicData>
            </a:graphic>
          </wp:inline>
        </w:drawing>
      </w:r>
    </w:p>
    <w:p>
      <w:pPr>
        <w:pStyle w:val="Caption"/>
        <w:keepLines/>
        <w:spacing w:before="40" w:after="400" w:line="240" w:lineRule="auto"/>
      </w:pPr>
      <w:r>
        <w:rPr>
          <w:b w:val="0"/>
          <w:i w:val="0"/>
        </w:rPr>
        <w:t>Figure 42 — Estimator error against action-set size, and the data each size requires.</w:t>
      </w:r>
    </w:p>
    <w:p>
      <w:r>
        <w:t>Reaching a usable estimate takes 5,000 decisions with 2 actions and 80,000 with 16. Raising the exploration rate helps but does not substitute for volume, and every explored decision is one deliberately not taken greedily.</w:t>
      </w:r>
    </w:p>
    <w:p>
      <w:pPr>
        <w:pStyle w:val="NoteBox"/>
      </w:pPr>
      <w:r>
        <w:rPr>
          <w:b/>
        </w:rPr>
        <w:t>The design guidance this yields.</w:t>
      </w:r>
      <w:r>
        <w:t xml:space="preserve"> The catalogue should stay as small as honestly covers what a site can do. Adding an action nobody will choose is not free — it takes evidence away from every other action. A site offering twelve actions should not expect conclusions on the same timescale as one offering four, and the system should say so rather than present an early estimate as settled.</w:t>
      </w:r>
    </w:p>
    <w:p>
      <w:pPr>
        <w:pStyle w:val="Heading2"/>
      </w:pPr>
      <w:r>
        <w:t>7.4 Discussion</w:t>
      </w:r>
    </w:p>
    <w:p>
      <w:pPr>
        <w:pStyle w:val="Heading3"/>
      </w:pPr>
      <w:r>
        <w:t>7.4.1 What the evidence supports</w:t>
      </w:r>
    </w:p>
    <w:p>
      <w:pPr>
        <w:pStyle w:val="ListBullet"/>
        <w:spacing w:after="80" w:line="312" w:lineRule="auto"/>
        <w:jc w:val="both"/>
      </w:pPr>
      <w:r>
        <w:rPr>
          <w:b/>
        </w:rPr>
        <w:t>The closed loop runs.</w:t>
      </w:r>
      <w:r>
        <w:t xml:space="preserve"> One audience passes through segmentation, content generation, campaign planning and analytics, and the analytics output feeds back into which platforms get written for next. That is the architecture the report proposes, executing.</w:t>
      </w:r>
    </w:p>
    <w:p>
      <w:pPr>
        <w:pStyle w:val="ListBullet"/>
        <w:spacing w:after="80" w:line="312" w:lineRule="auto"/>
        <w:jc w:val="both"/>
      </w:pPr>
      <w:r>
        <w:rPr>
          <w:b/>
        </w:rPr>
        <w:t>Cold start is handled explicitly, and it had to be defended.</w:t>
      </w:r>
      <w:r>
        <w:t xml:space="preserve"> The engine declines to cluster below thirty customers and says why; individual customers with thin histories are decided by rules and flagged. The vote-order defect showed how easily that contribution can be destroyed by a pipeline that looks correct.</w:t>
      </w:r>
    </w:p>
    <w:p>
      <w:pPr>
        <w:pStyle w:val="ListBullet"/>
        <w:spacing w:after="80" w:line="312" w:lineRule="auto"/>
        <w:jc w:val="both"/>
      </w:pPr>
      <w:r>
        <w:rPr>
          <w:b/>
        </w:rPr>
        <w:t>Attribution model choice changes the conclusion.</w:t>
      </w:r>
      <w:r>
        <w:t xml:space="preserve"> On the same journeys the four models disagree over a third of attributed credit on average. Any single-model dashboard is a decision, not a measurement.</w:t>
      </w:r>
    </w:p>
    <w:p>
      <w:pPr>
        <w:pStyle w:val="ListBullet"/>
        <w:spacing w:after="80" w:line="312" w:lineRule="auto"/>
        <w:jc w:val="both"/>
      </w:pPr>
      <w:r>
        <w:rPr>
          <w:b/>
        </w:rPr>
        <w:t>Simpler models won twice.</w:t>
      </w:r>
      <w:r>
        <w:t xml:space="preserve"> TF-IDF matched Sentence-BERT on goal and tone, and interpretable rules matched the full hybrid on conversion separation. Neither result was expected.</w:t>
      </w:r>
    </w:p>
    <w:p>
      <w:pPr>
        <w:pStyle w:val="ListBullet"/>
        <w:spacing w:after="80" w:line="312" w:lineRule="auto"/>
        <w:jc w:val="both"/>
      </w:pPr>
      <w:r>
        <w:rPr>
          <w:b/>
        </w:rPr>
        <w:t>The recommender was answering the wrong question.</w:t>
      </w:r>
      <w:r>
        <w:t xml:space="preserve"> Ranking customers by predicted conversion and ranking them by the </w:t>
      </w:r>
      <w:r>
        <w:rPr>
          <w:i/>
        </w:rPr>
        <w:t>incremental effect</w:t>
      </w:r>
      <w:r>
        <w:t xml:space="preserve"> of the action select materially different people — they share only about half their choices at a realistic budget. This is the clearest direction for future work the project produced.</w:t>
      </w:r>
    </w:p>
    <w:p>
      <w:pPr>
        <w:pStyle w:val="Heading3"/>
      </w:pPr>
      <w:r>
        <w:t>7.4.2 What the evidence does not support</w:t>
      </w:r>
    </w:p>
    <w:p>
      <w:pPr>
        <w:pStyle w:val="ListBullet"/>
        <w:spacing w:after="80" w:line="312" w:lineRule="auto"/>
        <w:jc w:val="both"/>
      </w:pPr>
      <w:r>
        <w:rPr>
          <w:b/>
        </w:rPr>
        <w:t>That the hybrid segmentation separates conversion better than rules alone.</w:t>
      </w:r>
      <w:r>
        <w:t xml:space="preserve"> It does not, on this dataset. Its value lies in calibrated confidence and explicit cold start.</w:t>
      </w:r>
    </w:p>
    <w:p>
      <w:pPr>
        <w:pStyle w:val="ListBullet"/>
        <w:spacing w:after="80" w:line="312" w:lineRule="auto"/>
        <w:jc w:val="both"/>
      </w:pPr>
      <w:r>
        <w:rPr>
          <w:b/>
        </w:rPr>
        <w:t>That any one automation policy is best.</w:t>
      </w:r>
      <w:r>
        <w:t xml:space="preserve"> The simulator and the live build disagree, and the ranking depends on how response is modelled rather than on the policies themselves.</w:t>
      </w:r>
    </w:p>
    <w:p>
      <w:pPr>
        <w:pStyle w:val="ListBullet"/>
        <w:spacing w:after="80" w:line="312" w:lineRule="auto"/>
        <w:jc w:val="both"/>
      </w:pPr>
      <w:r>
        <w:rPr>
          <w:b/>
        </w:rPr>
        <w:t>That engagement can be predicted from caption text.</w:t>
      </w:r>
      <w:r>
        <w:t xml:space="preserve"> Not on this corpus, where no text feature survives correction.</w:t>
      </w:r>
    </w:p>
    <w:p>
      <w:pPr>
        <w:pStyle w:val="ListBullet"/>
        <w:spacing w:after="80" w:line="312" w:lineRule="auto"/>
        <w:jc w:val="both"/>
      </w:pPr>
      <w:r>
        <w:rPr>
          <w:b/>
        </w:rPr>
        <w:t>That the prediction thresholds transfer.</w:t>
      </w:r>
      <w:r>
        <w:t xml:space="preserve"> They were set on the distribution the models were fitted on and do not carry to another audience. The production recommender was changed to rank rather than threshold as a direct consequence.</w:t>
      </w:r>
    </w:p>
    <w:p>
      <w:pPr>
        <w:pStyle w:val="ListBullet"/>
        <w:spacing w:after="80" w:line="312" w:lineRule="auto"/>
        <w:jc w:val="both"/>
      </w:pPr>
      <w:r>
        <w:rPr>
          <w:b/>
        </w:rPr>
        <w:t>That uplift modelling is straightforwardly better.</w:t>
      </w:r>
      <w:r>
        <w:t xml:space="preserve"> The best uplift learner beat the current policy, but the intervals overlap and the second uplift learner did worse. The framing is right; the evidence for any particular learner is not yet strong.</w:t>
      </w:r>
    </w:p>
    <w:p>
      <w:pPr>
        <w:pStyle w:val="Heading2"/>
      </w:pPr>
      <w:r>
        <w:t>7.5 Threats to Validity</w:t>
      </w:r>
    </w:p>
    <w:p>
      <w:pPr>
        <w:pStyle w:val="Heading3"/>
      </w:pPr>
      <w:r>
        <w:t>7.5.1 Construct validity</w:t>
      </w:r>
    </w:p>
    <w:p>
      <w:r>
        <w:t xml:space="preserve">The reconstruction of event timing is the principal threat. Attribution operates on journeys whose </w:t>
      </w:r>
      <w:r>
        <w:rPr>
          <w:i/>
        </w:rPr>
        <w:t>order</w:t>
      </w:r>
      <w:r>
        <w:t xml:space="preserve"> this project created, so the attribution results characterise the reconstruction as well as the data. The counts underlying those journeys are real; their sequence is not observed. A dataset with genuine timestamped events would settle what this study can only bound.</w:t>
      </w:r>
    </w:p>
    <w:p>
      <w:r>
        <w:t>Conversion separation depends on segment definitions that a human wrote. The rules were not tuned against the conversion column — which is what keeps the metric from being circular — but they were written by someone who knows the domain, and that is a weaker guarantee than a preregistered rule set.</w:t>
      </w:r>
    </w:p>
    <w:p>
      <w:pPr>
        <w:pStyle w:val="Heading3"/>
      </w:pPr>
      <w:r>
        <w:t>7.5.2 Internal validity</w:t>
      </w:r>
    </w:p>
    <w:p>
      <w:r>
        <w:t>Two defects found in this work were both invisible to the metrics being watched at the time, and both made results look better. That is evidence that other such defects may remain. Every correction now carries a regression test, and the leakage guard in the engagement model raises an exception rather than a warning if an outcome column re-enters the feature set.</w:t>
      </w:r>
    </w:p>
    <w:p>
      <w:r>
        <w:t>Campaign response in both the simulator and the live build is modelled, not observed. No claim about open or click rates in this report is a measurement of human behaviour.</w:t>
      </w:r>
    </w:p>
    <w:p>
      <w:pPr>
        <w:pStyle w:val="Heading3"/>
      </w:pPr>
      <w:r>
        <w:t>7.5.3 External validity</w:t>
      </w:r>
    </w:p>
    <w:p>
      <w:r>
        <w:t xml:space="preserve">One dataset, one product category, one language. The 87.6% conversion rate in the source data is far above any plausible e-commerce baseline, which suggests the dataset is either filtered or synthetic in origin; conclusions about absolute rates should not leave it. Comparisons </w:t>
      </w:r>
      <w:r>
        <w:rPr>
          <w:i/>
        </w:rPr>
        <w:t>between</w:t>
      </w:r>
      <w:r>
        <w:t xml:space="preserve"> methods on the same data are the results that travel.</w:t>
      </w:r>
    </w:p>
    <w:p>
      <w:r>
        <w:t>The goal corpus has 453 labelled rows and the tone corpus 174, with one tone class represented by a single example. Macro-F1 on a corpus that small carries wide uncertainty, and the per-class numbers for rare classes should be read as indicative.</w:t>
      </w:r>
    </w:p>
    <w:p>
      <w:pPr>
        <w:pStyle w:val="Heading2"/>
      </w:pPr>
      <w:r>
        <w:t>7.6 Limitations</w:t>
      </w:r>
    </w:p>
    <w:p>
      <w:pPr>
        <w:pStyle w:val="ListBullet"/>
        <w:spacing w:after="80" w:line="312" w:lineRule="auto"/>
        <w:jc w:val="both"/>
      </w:pPr>
      <w:r>
        <w:rPr>
          <w:b/>
        </w:rPr>
        <w:t>Event timing and ordering are reconstructed</w:t>
      </w:r>
      <w:r>
        <w:t>, so attribution path statistics are partly a property of the importer.</w:t>
      </w:r>
    </w:p>
    <w:p>
      <w:pPr>
        <w:pStyle w:val="ListBullet"/>
        <w:spacing w:after="80" w:line="312" w:lineRule="auto"/>
        <w:jc w:val="both"/>
      </w:pPr>
      <w:r>
        <w:rPr>
          <w:b/>
        </w:rPr>
        <w:t>Campaign response is modelled</w:t>
      </w:r>
      <w:r>
        <w:t>, in both the simulator and the live build. Nobody in this study opened a real email.</w:t>
      </w:r>
    </w:p>
    <w:p>
      <w:pPr>
        <w:pStyle w:val="ListBullet"/>
        <w:spacing w:after="80" w:line="312" w:lineRule="auto"/>
        <w:jc w:val="both"/>
      </w:pPr>
      <w:r>
        <w:rPr>
          <w:b/>
        </w:rPr>
        <w:t>Conversion and drop-off models were fitted on a simulator</w:t>
      </w:r>
      <w:r>
        <w:t xml:space="preserve"> and transfer poorly in calibration, though the ranking survives.</w:t>
      </w:r>
    </w:p>
    <w:p>
      <w:pPr>
        <w:pStyle w:val="ListBullet"/>
        <w:spacing w:after="80" w:line="312" w:lineRule="auto"/>
        <w:jc w:val="both"/>
      </w:pPr>
      <w:r>
        <w:rPr>
          <w:b/>
        </w:rPr>
        <w:t>The engagement dataset carries no usable text signal</w:t>
      </w:r>
      <w:r>
        <w:t>, so that component of the content score is close to arbitrary and is weighted accordingly.</w:t>
      </w:r>
    </w:p>
    <w:p>
      <w:pPr>
        <w:pStyle w:val="ListBullet"/>
        <w:spacing w:after="80" w:line="312" w:lineRule="auto"/>
        <w:jc w:val="both"/>
      </w:pPr>
      <w:r>
        <w:rPr>
          <w:b/>
        </w:rPr>
        <w:t>`humorous` tone has a single training example</w:t>
      </w:r>
      <w:r>
        <w:t xml:space="preserve"> and cannot be learned or evaluated.</w:t>
      </w:r>
    </w:p>
    <w:p>
      <w:pPr>
        <w:pStyle w:val="ListBullet"/>
        <w:spacing w:after="80" w:line="312" w:lineRule="auto"/>
        <w:jc w:val="both"/>
      </w:pPr>
      <w:r>
        <w:rPr>
          <w:b/>
        </w:rPr>
        <w:t>Open-rate tracking under-reports</w:t>
      </w:r>
      <w:r>
        <w:t xml:space="preserve"> by design: most mail clients block the pixel, so click-through is the reliable engagement signal.</w:t>
      </w:r>
    </w:p>
    <w:p>
      <w:pPr>
        <w:pStyle w:val="ListBullet"/>
        <w:spacing w:after="80" w:line="312" w:lineRule="auto"/>
        <w:jc w:val="both"/>
      </w:pPr>
      <w:r>
        <w:rPr>
          <w:b/>
        </w:rPr>
        <w:t>Three real platform datasets ship unused</w:t>
      </w:r>
      <w:r>
        <w:t xml:space="preserve"> — they are comment-level scrapes that pair no post text with post engagement.</w:t>
      </w:r>
    </w:p>
    <w:p>
      <w:pPr>
        <w:pStyle w:val="ListBullet"/>
        <w:spacing w:after="80" w:line="312" w:lineRule="auto"/>
        <w:jc w:val="both"/>
      </w:pPr>
      <w:r>
        <w:rPr>
          <w:b/>
        </w:rPr>
        <w:t>No action was ever randomised on this project's own audience</w:t>
      </w:r>
      <w:r>
        <w:t xml:space="preserve">, so the next-best-action recommendation cannot be validated on it at all. E8 borrows a dataset where treatment </w:t>
      </w:r>
      <w:r>
        <w:rPr>
          <w:i/>
        </w:rPr>
        <w:t>was</w:t>
      </w:r>
      <w:r>
        <w:t xml:space="preserve"> randomised, and the actions there are not this project's actions.</w:t>
      </w:r>
    </w:p>
    <w:p>
      <w:pPr>
        <w:pStyle w:val="ListBullet"/>
        <w:spacing w:after="80" w:line="312" w:lineRule="auto"/>
        <w:jc w:val="both"/>
      </w:pPr>
      <w:r>
        <w:rPr>
          <w:b/>
        </w:rPr>
        <w:t>Capability detection was evaluated on the sample used to develop it.</w:t>
      </w:r>
      <w:r>
        <w:t xml:space="preserve"> Fifteen websites, with both the detector and two labels corrected after seeing the results, so the reported agreement is optimistic and a fresh sample is needed before it can be quoted as accuracy.</w:t>
      </w:r>
    </w:p>
    <w:p>
      <w:pPr>
        <w:pStyle w:val="ListBullet"/>
        <w:spacing w:after="80" w:line="312" w:lineRule="auto"/>
        <w:jc w:val="both"/>
      </w:pPr>
      <w:r>
        <w:rPr>
          <w:b/>
        </w:rPr>
        <w:t>The action vocabulary is authored, not discovered.</w:t>
      </w:r>
      <w:r>
        <w:t xml:space="preserve"> Detection decides which families of action a site can support; it does not invent new ones. A client whose marketing needs an action outside the catalogue must have it added by hand.</w:t>
      </w:r>
    </w:p>
    <w:p>
      <w:r>
        <w:br w:type="page"/>
      </w:r>
    </w:p>
    <w:p>
      <w:pPr>
        <w:pStyle w:val="Heading1"/>
      </w:pPr>
      <w:r>
        <w:t>CHAPTER 8 — CONCLUSION</w:t>
      </w:r>
    </w:p>
    <w:p>
      <w:pPr>
        <w:pStyle w:val="Heading2"/>
      </w:pPr>
      <w:r>
        <w:t>8.1 Conclusion</w:t>
      </w:r>
    </w:p>
    <w:p>
      <w:r>
        <w:t>This project set out to determine whether the four principal functions of digital marketing — audience targeting, campaign automation, analytics and content production — can be operated as a single measurable feedback loop, and whether such a loop remains useful for a newly launched product that has almost no data. Both questions are answered affirmatively, with qualifications that the evidence in Chapter 7 makes explicit rather than leaves implied.</w:t>
      </w:r>
    </w:p>
    <w:p>
      <w:r>
        <w:t>A complete, running system was delivered: four research modules behind a FastAPI service over PostgreSQL, a Next.js dashboard, a demonstration e-commerce store carrying a first-party tracking snippet, and an 8,000-customer research audience imported through the same path a live visitor uses. The system is reproducible from a clean checkout, covered by 260 automated tests, and accompanied by eleven experiments that regenerate every table, figure and chapter of the evaluation with one command.</w:t>
      </w:r>
    </w:p>
    <w:p>
      <w:r>
        <w:t>The eleven objectives of Section 1.4.2 were met. What distinguishes the outcome is that meeting them produced several results the team did not expect and would not have chosen.</w:t>
      </w:r>
    </w:p>
    <w:p>
      <w:pPr>
        <w:pStyle w:val="Heading2"/>
      </w:pPr>
      <w:r>
        <w:t>8.2 Principal Findings</w:t>
      </w:r>
    </w:p>
    <w:p>
      <w:r>
        <w:t>Four findings are substantive contributions in their own right.</w:t>
      </w:r>
    </w:p>
    <w:p>
      <w:r>
        <w:rPr>
          <w:b/>
        </w:rPr>
        <w:t>A hybrid method must be measured against its own components.</w:t>
      </w:r>
      <w:r>
        <w:t xml:space="preserve"> The segmentation engine separates conversion by 0.3838; its own rules, alone, reach 0.3837. The clustering contributes nothing to that metric, and the finding is only available because the ablation was run. The hybrid keeps its place in the system on different and defensible grounds — it produces a calibrated confidence from three-way agreement, and the vote is what makes cold start explicit — but the claim that it separates conversion better than a handful of interpretable rules is not supported, and is not made.</w:t>
      </w:r>
    </w:p>
    <w:p>
      <w:r>
        <w:rPr>
          <w:b/>
        </w:rPr>
        <w:t>Accuracy is not what a leak corrupts.</w:t>
      </w:r>
      <w:r>
        <w:t xml:space="preserve"> The confidence model trained with its own target among the inputs was 0.9213 accurate; corrected, it is 0.9200. The difference is 0.0013. But 450 customers emerged at confidence 1.00 with the leak against 3 without it — a 150-fold inflation of certainty. A model whose accuracy is honest while its confidence is not will be trusted in exactly the cases where it should not be, and no test will go red.</w:t>
      </w:r>
    </w:p>
    <w:p>
      <w:r>
        <w:rPr>
          <w:b/>
        </w:rPr>
        <w:t>Attribution models do not merely differ; they disagree enough to reverse a spending decision.</w:t>
      </w:r>
      <w:r>
        <w:t xml:space="preserve"> Across 7,811 converting journeys the widest pair of models disagrees over 68 % of all attributed credit, and 20 % of those journeys have a single touchpoint, where every model agrees by arithmetic rather than by evidence. A company reading only last-touch would conclude that email is responsible for almost everything and cut the acquisition spend that built the audience.</w:t>
      </w:r>
    </w:p>
    <w:p>
      <w:r>
        <w:rPr>
          <w:b/>
        </w:rPr>
        <w:t>A recommender that ranks by predicted response is answering a different question from the one a campaign asks, and a system that does not log propensities cannot discover that for itself.</w:t>
      </w:r>
      <w:r>
        <w:t xml:space="preserve"> On randomised data the response-ranking and uplift-ranking policies share only 56 % of a 30 % budget. Establishing which is better for </w:t>
      </w:r>
      <w:r>
        <w:rPr>
          <w:i/>
        </w:rPr>
        <w:t>this</w:t>
      </w:r>
      <w:r>
        <w:t xml:space="preserve"> system's actions requires this system's own data — so it now records every decision with the probability it was taken under, and explores on purpose. Validation against a known answer shows that without exploration the estimate is biased </w:t>
      </w:r>
      <w:r>
        <w:rPr>
          <w:b/>
        </w:rPr>
        <w:t>upwards</w:t>
      </w:r>
      <w:r>
        <w:t xml:space="preserve"> while its standard diagnostic looks </w:t>
      </w:r>
      <w:r>
        <w:rPr>
          <w:i/>
        </w:rPr>
        <w:t>better</w:t>
      </w:r>
      <w:r>
        <w:t>, not worse. Stability is not correctness.</w:t>
      </w:r>
    </w:p>
    <w:p>
      <w:pPr>
        <w:pStyle w:val="Heading2"/>
      </w:pPr>
      <w:r>
        <w:t>8.3 Methodological Contribution</w:t>
      </w:r>
    </w:p>
    <w:p>
      <w:r>
        <w:t>The project's methodological contribution is of comparable weight to its technical one. Seven defects were found in the team's own research code. Every one inflated a result and none produced an error message. Their correction changed headline figures materially — an engagement R² of 0.99 became −0.168, a confidence column that read 1.00 for 450 customers read it for 3, and a cold-start segment that had silently emptied to zero was restored.</w:t>
      </w:r>
    </w:p>
    <w:p>
      <w:r>
        <w:t>That experience shaped the system's design. Provenance is derived at write time rather than asserted by a caller. The importer preserves measured totals exactly and declares what it reconstructs. Propensity is a mandatory column, not an optional one. Refusal thresholds suppress output the data cannot support. Chapter 7 is generated from the results file, so a figure cannot drift from the number it plots. Each of these is a small engineering decision whose purpose is to make overstating a result structurally difficult rather than merely discouraged.</w:t>
      </w:r>
    </w:p>
    <w:p>
      <w:pPr>
        <w:pStyle w:val="Heading2"/>
      </w:pPr>
      <w:r>
        <w:t>8.4 Limitations</w:t>
      </w:r>
    </w:p>
    <w:p>
      <w:r>
        <w:t>The limitations are stated in full in Section 7.6 and are not minor. The study audience is a real dataset of per-customer totals whose event ordering is reconstructed, so any result resting on timing is a property of that reconstruction. The policy ranking is not stable across how response is modelled. The uplift result comes from a borrowed dataset whose actions are not this system's actions, and its intervals overlap. The capability-detection sample is a development set, not a held-out one, and its accuracy figure is therefore fitted. The engagement corpus contains no usable text signal at all. None of these is concealed, because a framework whose purpose is to help marketers trust their measurements cannot be evaluated by a standard lower than the one it advocates.</w:t>
      </w:r>
    </w:p>
    <w:p>
      <w:pPr>
        <w:pStyle w:val="Heading2"/>
      </w:pPr>
      <w:r>
        <w:t>8.5 Future Work</w:t>
      </w:r>
    </w:p>
    <w:p>
      <w:pPr>
        <w:pStyle w:val="ListNumber"/>
        <w:spacing w:after="80" w:line="312" w:lineRule="auto"/>
        <w:jc w:val="both"/>
      </w:pPr>
      <w:r>
        <w:rPr>
          <w:b/>
        </w:rPr>
        <w:t>Run the loop long enough to close it with real decisions.</w:t>
      </w:r>
      <w:r>
        <w:t xml:space="preserve"> The decision log, the propensity column and the exploration mechanism are built and validated against a known answer. What remains is to accumulate enough live decisions for the estimator to be applied to this system's own policy rather than to a simulated one — a matter of volume, not of design.</w:t>
      </w:r>
    </w:p>
    <w:p>
      <w:pPr>
        <w:pStyle w:val="ListNumber"/>
        <w:spacing w:after="80" w:line="312" w:lineRule="auto"/>
        <w:jc w:val="both"/>
      </w:pPr>
      <w:r>
        <w:rPr>
          <w:b/>
        </w:rPr>
        <w:t>A held-out capability sample.</w:t>
      </w:r>
      <w:r>
        <w:t xml:space="preserve"> Section 7.3.10 reports a fitted accuracy on a development set and says so. A fresh sample of websites never inspected during development would convert a verdict into a generalisation claim.</w:t>
      </w:r>
    </w:p>
    <w:p>
      <w:pPr>
        <w:pStyle w:val="ListNumber"/>
        <w:spacing w:after="80" w:line="312" w:lineRule="auto"/>
        <w:jc w:val="both"/>
      </w:pPr>
      <w:r>
        <w:rPr>
          <w:b/>
        </w:rPr>
        <w:t>Live-audience validation of the predictive models.</w:t>
      </w:r>
      <w:r>
        <w:t xml:space="preserve"> Their ranking transfers to the imported audience; their absolute probabilities do not. Re-fitting on measured journeys would make thresholds, and not only orderings, usable.</w:t>
      </w:r>
    </w:p>
    <w:p>
      <w:pPr>
        <w:pStyle w:val="ListNumber"/>
        <w:spacing w:after="80" w:line="312" w:lineRule="auto"/>
        <w:jc w:val="both"/>
      </w:pPr>
      <w:r>
        <w:rPr>
          <w:b/>
        </w:rPr>
        <w:t>A content corpus with genuine engagement signal.</w:t>
      </w:r>
      <w:r>
        <w:t xml:space="preserve"> The negative engagement result is a property of the dataset, not of the model. Collecting post-level text paired with post-level engagement from the platform's own campaigns — which the tracking layer already supports — would allow the model to be retrained and its weight restored if it earns it.</w:t>
      </w:r>
    </w:p>
    <w:p>
      <w:pPr>
        <w:pStyle w:val="ListNumber"/>
        <w:spacing w:after="80" w:line="312" w:lineRule="auto"/>
        <w:jc w:val="both"/>
      </w:pPr>
      <w:r>
        <w:rPr>
          <w:b/>
        </w:rPr>
        <w:t>Growing the labelled goal and tone corpora.</w:t>
      </w:r>
      <w:r>
        <w:t xml:space="preserve"> Both classifiers are limited by corpus size rather than by method, and one tone class has too few examples to be learned or evaluated at all. Active learning over the assets the platform already generates would expand the rare classes.</w:t>
      </w:r>
    </w:p>
    <w:p>
      <w:pPr>
        <w:pStyle w:val="ListNumber"/>
        <w:spacing w:after="80" w:line="312" w:lineRule="auto"/>
        <w:jc w:val="both"/>
      </w:pPr>
      <w:r>
        <w:rPr>
          <w:b/>
        </w:rPr>
        <w:t>Adaptive policy selection.</w:t>
      </w:r>
      <w:r>
        <w:t xml:space="preserve"> With a propensity-logged record in place, a contextual-bandit layer could select the automation policy per segment online, using the exploration budget the system already spends and the operational-complexity measure as an explicit cost term.</w:t>
      </w:r>
    </w:p>
    <w:p>
      <w:pPr>
        <w:pStyle w:val="ListNumber"/>
        <w:spacing w:after="80" w:line="312" w:lineRule="auto"/>
        <w:jc w:val="both"/>
      </w:pPr>
      <w:r>
        <w:rPr>
          <w:b/>
        </w:rPr>
        <w:t>Privacy and regulatory hardening.</w:t>
      </w:r>
      <w:r>
        <w:t xml:space="preserve"> The tracking layer is first-party and honours Do Not Track, but consent management, retention policy and subject-access support would be required for commercial deployment.</w:t>
      </w:r>
    </w:p>
    <w:p>
      <w:r>
        <w:t>The framework as delivered is a research instrument that happens to run as a product. Its value lies less in any single model than in demonstrating that the four marketing functions can be operated as one loop, that the effect of doing so can be measured rather than asserted, and that a system can be built to make its own results harder to overstate.</w:t>
      </w:r>
    </w:p>
    <w:p>
      <w:r>
        <w:br w:type="page"/>
      </w:r>
    </w:p>
    <w:p>
      <w:pPr>
        <w:pStyle w:val="Heading1"/>
      </w:pPr>
      <w:r>
        <w:t>CHAPTER 9 — REFERENCES</w:t>
      </w:r>
    </w:p>
    <w:p>
      <w:r>
        <w:t xml:space="preserve">[1] D. A. Aaker and C. Moorman, </w:t>
      </w:r>
      <w:r>
        <w:rPr>
          <w:i/>
        </w:rPr>
        <w:t>Strategic Market Management</w:t>
      </w:r>
      <w:r>
        <w:t>, 11th ed. Hoboken, NJ, USA: Wiley, 2017.</w:t>
      </w:r>
    </w:p>
    <w:p>
      <w:r>
        <w:t xml:space="preserve">[2] C. C. Aggarwal, </w:t>
      </w:r>
      <w:r>
        <w:rPr>
          <w:i/>
        </w:rPr>
        <w:t>Data Mining: The Textbook</w:t>
      </w:r>
      <w:r>
        <w:t>. Cham, Switzerland: Springer, 2015.</w:t>
      </w:r>
    </w:p>
    <w:p>
      <w:r>
        <w:t xml:space="preserve">[3] M. Alves Gomes and T. Meisen, “A review on customer segmentation methods for personalized customer targeting in e-commerce use cases,” </w:t>
      </w:r>
      <w:r>
        <w:rPr>
          <w:i/>
        </w:rPr>
        <w:t>Information Systems and e-Business Management</w:t>
      </w:r>
      <w:r>
        <w:t>, vol. 21, no. 3, pp. 527–570, 2023.</w:t>
      </w:r>
    </w:p>
    <w:p>
      <w:r>
        <w:t xml:space="preserve">[4] A. Banks and E. Porcello, </w:t>
      </w:r>
      <w:r>
        <w:rPr>
          <w:i/>
        </w:rPr>
        <w:t>Learning React</w:t>
      </w:r>
      <w:r>
        <w:t>, 2nd ed. Sebastopol, CA, USA: O’Reilly Media, 2020.</w:t>
      </w:r>
    </w:p>
    <w:p>
      <w:r>
        <w:t xml:space="preserve">[5] J. Bobadilla, F. Ortega, A. Hernando, and A. Gutiérrez, “Recommender systems survey,” </w:t>
      </w:r>
      <w:r>
        <w:rPr>
          <w:i/>
        </w:rPr>
        <w:t>Knowledge-Based Systems</w:t>
      </w:r>
      <w:r>
        <w:t>, vol. 46, pp. 109–132, 2013.</w:t>
      </w:r>
    </w:p>
    <w:p>
      <w:r>
        <w:t xml:space="preserve">[6] T. B. Brown et al., “Language models are few-shot learners,” </w:t>
      </w:r>
      <w:r>
        <w:rPr>
          <w:i/>
        </w:rPr>
        <w:t>Advances in Neural Information Processing Systems</w:t>
      </w:r>
      <w:r>
        <w:t>, vol. 33, pp. 1877–1901, 2020.</w:t>
      </w:r>
    </w:p>
    <w:p>
      <w:r>
        <w:t xml:space="preserve">[7] S. Chacon and B. Straub, </w:t>
      </w:r>
      <w:r>
        <w:rPr>
          <w:i/>
        </w:rPr>
        <w:t>Pro Git</w:t>
      </w:r>
      <w:r>
        <w:t>, 2nd ed. Berkeley, CA, USA: Apress, 2014.</w:t>
      </w:r>
    </w:p>
    <w:p>
      <w:r>
        <w:t xml:space="preserve">[8] D. Chaffey and F. Ellis-Chadwick, </w:t>
      </w:r>
      <w:r>
        <w:rPr>
          <w:i/>
        </w:rPr>
        <w:t>Digital Marketing: Strategy, Implementation and Practice</w:t>
      </w:r>
      <w:r>
        <w:t>, 8th ed. Harlow, UK: Pearson, 2022.</w:t>
      </w:r>
    </w:p>
    <w:p>
      <w:r>
        <w:t xml:space="preserve">[9] D. Chaffey, T. Hemphill, and D. Edmundson-Bird, </w:t>
      </w:r>
      <w:r>
        <w:rPr>
          <w:i/>
        </w:rPr>
        <w:t>Digital Business and E-Commerce Management</w:t>
      </w:r>
      <w:r>
        <w:t>, 8th ed. Harlow, UK: Pearson, 2024.</w:t>
      </w:r>
    </w:p>
    <w:p>
      <w:r>
        <w:t xml:space="preserve">[10] D. Court, D. Elzinga, S. Mulder, and O. J. Vetvik, “The consumer decision journey,” </w:t>
      </w:r>
      <w:r>
        <w:rPr>
          <w:i/>
        </w:rPr>
        <w:t>McKinsey Quarterly</w:t>
      </w:r>
      <w:r>
        <w:t>, vol. 3, pp. 96–107, 2009.</w:t>
      </w:r>
    </w:p>
    <w:p>
      <w:r>
        <w:t xml:space="preserve">[11] B. Dalessandro, C. Perlich, O. Stitelman, and F. Provost, “Causally motivated attribution for online advertising,” in </w:t>
      </w:r>
      <w:r>
        <w:rPr>
          <w:i/>
        </w:rPr>
        <w:t>Proc. 6th Int. Workshop on Data Mining for Online Advertising and Internet Economy (ADKDD)</w:t>
      </w:r>
      <w:r>
        <w:t>, 2012, pp. 1–9.</w:t>
      </w:r>
    </w:p>
    <w:p>
      <w:r>
        <w:t xml:space="preserve">[12] T. H. Davenport, A. Guha, D. Grewal, and T. Bressgott, “How artificial intelligence will change the future of marketing,” </w:t>
      </w:r>
      <w:r>
        <w:rPr>
          <w:i/>
        </w:rPr>
        <w:t>Journal of the Academy of Marketing Science</w:t>
      </w:r>
      <w:r>
        <w:t>, vol. 48, no. 1, pp. 24–42, 2020.</w:t>
      </w:r>
    </w:p>
    <w:p>
      <w:r>
        <w:t xml:space="preserve">[13] Y. K. Dwivedi et al., “Artificial Intelligence (AI): Multidisciplinary perspectives on emerging challenges, opportunities, and agenda for research, practice and policy,” </w:t>
      </w:r>
      <w:r>
        <w:rPr>
          <w:i/>
        </w:rPr>
        <w:t>International Journal of Information Management</w:t>
      </w:r>
      <w:r>
        <w:t>, vol. 57, Art. no. 101994, 2021.</w:t>
      </w:r>
    </w:p>
    <w:p>
      <w:r>
        <w:t xml:space="preserve">[14] A. Géron, </w:t>
      </w:r>
      <w:r>
        <w:rPr>
          <w:i/>
        </w:rPr>
        <w:t>Hands-On Machine Learning with Scikit-Learn, Keras, and TensorFlow</w:t>
      </w:r>
      <w:r>
        <w:t>, 3rd ed. Sebastopol, CA, USA: O’Reilly Media, 2022.</w:t>
      </w:r>
    </w:p>
    <w:p>
      <w:r>
        <w:t xml:space="preserve">[15] I. Goodfellow, Y. Bengio, and A. Courville, </w:t>
      </w:r>
      <w:r>
        <w:rPr>
          <w:i/>
        </w:rPr>
        <w:t>Deep Learning</w:t>
      </w:r>
      <w:r>
        <w:t>. Cambridge, MA, USA: MIT Press, 2016.</w:t>
      </w:r>
    </w:p>
    <w:p>
      <w:r>
        <w:t xml:space="preserve">[16] J. Han, J. Pei, and H. Tong, </w:t>
      </w:r>
      <w:r>
        <w:rPr>
          <w:i/>
        </w:rPr>
        <w:t>Data Mining: Concepts and Techniques</w:t>
      </w:r>
      <w:r>
        <w:t>, 4th ed. Cambridge, MA, USA: Morgan Kaufmann, 2022.</w:t>
      </w:r>
    </w:p>
    <w:p>
      <w:r>
        <w:t xml:space="preserve">[17] T. Hastie, R. Tibshirani, and J. Friedman, </w:t>
      </w:r>
      <w:r>
        <w:rPr>
          <w:i/>
        </w:rPr>
        <w:t>The Elements of Statistical Learning</w:t>
      </w:r>
      <w:r>
        <w:t>, 2nd ed. New York, NY, USA: Springer, 2009.</w:t>
      </w:r>
    </w:p>
    <w:p>
      <w:r>
        <w:t xml:space="preserve">[18] M. Haverbeke, </w:t>
      </w:r>
      <w:r>
        <w:rPr>
          <w:i/>
        </w:rPr>
        <w:t>Eloquent JavaScript</w:t>
      </w:r>
      <w:r>
        <w:t>, 4th ed. San Francisco, CA, USA: No Starch Press, 2024.</w:t>
      </w:r>
    </w:p>
    <w:p>
      <w:r>
        <w:t xml:space="preserve">[19] D. Herron, </w:t>
      </w:r>
      <w:r>
        <w:rPr>
          <w:i/>
        </w:rPr>
        <w:t>Node.js Web Development</w:t>
      </w:r>
      <w:r>
        <w:t>, 5th ed. Birmingham, UK: Packt Publishing, 2020.</w:t>
      </w:r>
    </w:p>
    <w:p>
      <w:r>
        <w:t xml:space="preserve">[20] S. Holm, “A simple sequentially rejective multiple test procedure,” </w:t>
      </w:r>
      <w:r>
        <w:rPr>
          <w:i/>
        </w:rPr>
        <w:t>Scandinavian Journal of Statistics</w:t>
      </w:r>
      <w:r>
        <w:t>, vol. 6, no. 2, pp. 65–70, 1979.</w:t>
      </w:r>
    </w:p>
    <w:p>
      <w:r>
        <w:t xml:space="preserve">[21] M.-H. Huang and R. T. Rust, “Artificial intelligence in service,” </w:t>
      </w:r>
      <w:r>
        <w:rPr>
          <w:i/>
        </w:rPr>
        <w:t>Journal of Service Research</w:t>
      </w:r>
      <w:r>
        <w:t>, vol. 21, no. 2, pp. 155–172, 2018.</w:t>
      </w:r>
    </w:p>
    <w:p>
      <w:r>
        <w:t xml:space="preserve">[22] J. Järvinen and H. Karjaluoto, “The use of Web analytics for digital marketing performance measurement,” </w:t>
      </w:r>
      <w:r>
        <w:rPr>
          <w:i/>
        </w:rPr>
        <w:t>Industrial Marketing Management</w:t>
      </w:r>
      <w:r>
        <w:t>, vol. 50, pp. 117–127, 2015.</w:t>
      </w:r>
    </w:p>
    <w:p>
      <w:r>
        <w:t xml:space="preserve">[23] B. Johnson, </w:t>
      </w:r>
      <w:r>
        <w:rPr>
          <w:i/>
        </w:rPr>
        <w:t>Visual Studio Code: End-to-End Editing and Debugging Tools for Web Developers</w:t>
      </w:r>
      <w:r>
        <w:t>. Hoboken, NJ, USA: Wiley, 2019.</w:t>
      </w:r>
    </w:p>
    <w:p>
      <w:r>
        <w:t xml:space="preserve">[24] P. Kotler, H. Kartajaya, and I. Setiawan, </w:t>
      </w:r>
      <w:r>
        <w:rPr>
          <w:i/>
        </w:rPr>
        <w:t>Marketing 5.0: Technology for Humanity</w:t>
      </w:r>
      <w:r>
        <w:t>. Hoboken, NJ, USA: Wiley, 2021.</w:t>
      </w:r>
    </w:p>
    <w:p>
      <w:r>
        <w:t xml:space="preserve">[25] P. Kotler, K. L. Keller, and A. Chernev, </w:t>
      </w:r>
      <w:r>
        <w:rPr>
          <w:i/>
        </w:rPr>
        <w:t>Marketing Management</w:t>
      </w:r>
      <w:r>
        <w:t>, 16th ed. Harlow, UK: Pearson, 2021.</w:t>
      </w:r>
    </w:p>
    <w:p>
      <w:r>
        <w:t xml:space="preserve">[26] V. Kumar, A. Dixit, R. G. Javalgi, and M. Dass, “Digital transformation of marketing: A synthesis and research agenda,” </w:t>
      </w:r>
      <w:r>
        <w:rPr>
          <w:i/>
        </w:rPr>
        <w:t>Journal of Business Research</w:t>
      </w:r>
      <w:r>
        <w:t>, vol. 122, pp. 779–792, 2021.</w:t>
      </w:r>
    </w:p>
    <w:p>
      <w:r>
        <w:t xml:space="preserve">[27] V. Kumar and W. Reinartz, </w:t>
      </w:r>
      <w:r>
        <w:rPr>
          <w:i/>
        </w:rPr>
        <w:t>Customer Relationship Management: Concept, Strategy, and Tools</w:t>
      </w:r>
      <w:r>
        <w:t>, 3rd ed. Berlin, Germany: Springer, 2018.</w:t>
      </w:r>
    </w:p>
    <w:p>
      <w:r>
        <w:t xml:space="preserve">[28] J. Li, D. Li, C. Xiong, and S. C. H. Hoi, “BLIP: Bootstrapping language-image pre-training for unified vision-language understanding and generation,” in </w:t>
      </w:r>
      <w:r>
        <w:rPr>
          <w:i/>
        </w:rPr>
        <w:t>Proc. Int. Conf. Machine Learning (ICML)</w:t>
      </w:r>
      <w:r>
        <w:t>, 2022, pp. 12888–12900.</w:t>
      </w:r>
    </w:p>
    <w:p>
      <w:r>
        <w:t xml:space="preserve">[29] S. M. Lundberg and S.-I. Lee, “A unified approach to interpreting model predictions,” </w:t>
      </w:r>
      <w:r>
        <w:rPr>
          <w:i/>
        </w:rPr>
        <w:t>Advances in Neural Information Processing Systems</w:t>
      </w:r>
      <w:r>
        <w:t>, vol. 30, pp. 4765–4774, 2017.</w:t>
      </w:r>
    </w:p>
    <w:p>
      <w:r>
        <w:t xml:space="preserve">[30] Q. McNemar, “Note on the sampling error of the difference between correlated proportions or percentages,” </w:t>
      </w:r>
      <w:r>
        <w:rPr>
          <w:i/>
        </w:rPr>
        <w:t>Psychometrika</w:t>
      </w:r>
      <w:r>
        <w:t>, vol. 12, no. 2, pp. 153–157, 1947.</w:t>
      </w:r>
    </w:p>
    <w:p>
      <w:r>
        <w:t xml:space="preserve">[31] B. Marr and M. Ward, </w:t>
      </w:r>
      <w:r>
        <w:rPr>
          <w:i/>
        </w:rPr>
        <w:t>Artificial Intelligence in Practice</w:t>
      </w:r>
      <w:r>
        <w:t>. Hoboken, NJ, USA: Wiley, 2019.</w:t>
      </w:r>
    </w:p>
    <w:p>
      <w:r>
        <w:t xml:space="preserve">[32] W. McKinney, </w:t>
      </w:r>
      <w:r>
        <w:rPr>
          <w:i/>
        </w:rPr>
        <w:t>Python for Data Analysis</w:t>
      </w:r>
      <w:r>
        <w:t>, 3rd ed. Sebastopol, CA, USA: O’Reilly Media, 2022.</w:t>
      </w:r>
    </w:p>
    <w:p>
      <w:r>
        <w:t xml:space="preserve">[33] C. Molnar, </w:t>
      </w:r>
      <w:r>
        <w:rPr>
          <w:i/>
        </w:rPr>
        <w:t>Interpretable Machine Learning</w:t>
      </w:r>
      <w:r>
        <w:t>, 2nd ed., 2022.</w:t>
      </w:r>
    </w:p>
    <w:p>
      <w:r>
        <w:t xml:space="preserve">[34] N. Cliff, “Dominance statistics: Ordinal analyses to answer ordinal questions,” </w:t>
      </w:r>
      <w:r>
        <w:rPr>
          <w:i/>
        </w:rPr>
        <w:t>Psychological Bulletin</w:t>
      </w:r>
      <w:r>
        <w:t>, vol. 114, no. 3, pp. 494–509, 1993.</w:t>
      </w:r>
    </w:p>
    <w:p>
      <w:r>
        <w:t xml:space="preserve">[35] R. O. Obe and L. S. Hsu, </w:t>
      </w:r>
      <w:r>
        <w:rPr>
          <w:i/>
        </w:rPr>
        <w:t>PostgreSQL: Up and Running</w:t>
      </w:r>
      <w:r>
        <w:t>, 3rd ed. Sebastopol, CA, USA: O’Reilly Media, 2017.</w:t>
      </w:r>
    </w:p>
    <w:p>
      <w:r>
        <w:t xml:space="preserve">[36] F. Pedregosa et al., “Scikit-learn: Machine learning in Python,” </w:t>
      </w:r>
      <w:r>
        <w:rPr>
          <w:i/>
        </w:rPr>
        <w:t>Journal of Machine Learning Research</w:t>
      </w:r>
      <w:r>
        <w:t>, vol. 12, pp. 2825–2830, 2011.</w:t>
      </w:r>
    </w:p>
    <w:p>
      <w:r>
        <w:t xml:space="preserve">[37] F. Provost and T. Fawcett, </w:t>
      </w:r>
      <w:r>
        <w:rPr>
          <w:i/>
        </w:rPr>
        <w:t>Data Science for Business</w:t>
      </w:r>
      <w:r>
        <w:t>. Sebastopol, CA, USA: O’Reilly Media, 2013.</w:t>
      </w:r>
    </w:p>
    <w:p>
      <w:r>
        <w:t xml:space="preserve">[38] A. Radford et al., “Learning transferable visual models from natural language supervision,” in </w:t>
      </w:r>
      <w:r>
        <w:rPr>
          <w:i/>
        </w:rPr>
        <w:t>Proc. Int. Conf. Machine Learning (ICML)</w:t>
      </w:r>
      <w:r>
        <w:t>, 2021, pp. 8748–8763.</w:t>
      </w:r>
    </w:p>
    <w:p>
      <w:r>
        <w:t xml:space="preserve">[39] N. J. Radcliffe and P. D. Surry, “Real-world uplift modelling with significance-based uplift trees,” </w:t>
      </w:r>
      <w:r>
        <w:rPr>
          <w:i/>
        </w:rPr>
        <w:t>Stochastic Solutions White Paper</w:t>
      </w:r>
      <w:r>
        <w:t>, pp. 1–33, 2011.</w:t>
      </w:r>
    </w:p>
    <w:p>
      <w:r>
        <w:t xml:space="preserve">[40] F. Ricci, L. Rokach, and B. Shapira, Eds., </w:t>
      </w:r>
      <w:r>
        <w:rPr>
          <w:i/>
        </w:rPr>
        <w:t>Recommender Systems Handbook</w:t>
      </w:r>
      <w:r>
        <w:t>, 3rd ed. New York, NY, USA: Springer, 2022.</w:t>
      </w:r>
    </w:p>
    <w:p>
      <w:r>
        <w:t xml:space="preserve">[41] M. Riva, </w:t>
      </w:r>
      <w:r>
        <w:rPr>
          <w:i/>
        </w:rPr>
        <w:t>Real-World Next.js</w:t>
      </w:r>
      <w:r>
        <w:t>. Birmingham, UK: Packt Publishing, 2022.</w:t>
      </w:r>
    </w:p>
    <w:p>
      <w:r>
        <w:t xml:space="preserve">[42] A. I. Schein, A. Popescul, L. H. Ungar, and D. M. Pennock, “Methods and metrics for cold-start recommendations,” in </w:t>
      </w:r>
      <w:r>
        <w:rPr>
          <w:i/>
        </w:rPr>
        <w:t>Proc. 25th Annu. Int. ACM SIGIR Conf. Research and Development in Information Retrieval</w:t>
      </w:r>
      <w:r>
        <w:t>, 2002, pp. 253–260.</w:t>
      </w:r>
    </w:p>
    <w:p>
      <w:r>
        <w:t xml:space="preserve">[43] X. Shao and L. Li, “Data-driven multi-touch attribution models,” in </w:t>
      </w:r>
      <w:r>
        <w:rPr>
          <w:i/>
        </w:rPr>
        <w:t>Proc. 17th ACM SIGKDD Int. Conf. Knowledge Discovery and Data Mining</w:t>
      </w:r>
      <w:r>
        <w:t>, 2011, pp. 258–264.</w:t>
      </w:r>
    </w:p>
    <w:p>
      <w:r>
        <w:t xml:space="preserve">[44] R. S. Sutton and A. G. Barto, </w:t>
      </w:r>
      <w:r>
        <w:rPr>
          <w:i/>
        </w:rPr>
        <w:t>Reinforcement Learning: An Introduction</w:t>
      </w:r>
      <w:r>
        <w:t>, 2nd ed. Cambridge, MA, USA: MIT Press, 2018.</w:t>
      </w:r>
    </w:p>
    <w:p>
      <w:r>
        <w:t xml:space="preserve">[45] L. Tunstall, L. von Werra, and T. Wolf, </w:t>
      </w:r>
      <w:r>
        <w:rPr>
          <w:i/>
        </w:rPr>
        <w:t>Natural Language Processing with Transformers</w:t>
      </w:r>
      <w:r>
        <w:t>. Sebastopol, CA, USA: O’Reilly Media, 2022.</w:t>
      </w:r>
    </w:p>
    <w:p>
      <w:r>
        <w:t xml:space="preserve">[46] J. VanderPlas, </w:t>
      </w:r>
      <w:r>
        <w:rPr>
          <w:i/>
        </w:rPr>
        <w:t>Python Data Science Handbook</w:t>
      </w:r>
      <w:r>
        <w:t>, 2nd ed. Sebastopol, CA, USA: O’Reilly Media, 2022.</w:t>
      </w:r>
    </w:p>
    <w:p>
      <w:r>
        <w:t xml:space="preserve">[47] A. Vaswani et al., “Attention is all you need,” </w:t>
      </w:r>
      <w:r>
        <w:rPr>
          <w:i/>
        </w:rPr>
        <w:t>Advances in Neural Information Processing Systems</w:t>
      </w:r>
      <w:r>
        <w:t>, vol. 30, pp. 5998–6008, 2017.</w:t>
      </w:r>
    </w:p>
    <w:p>
      <w:r>
        <w:t xml:space="preserve">[48] S. Verma, R. Sharma, S. Deb, and D. Maitra, “Artificial intelligence in marketing: Systematic review and future research direction,” </w:t>
      </w:r>
      <w:r>
        <w:rPr>
          <w:i/>
        </w:rPr>
        <w:t>International Journal of Information Management Data Insights</w:t>
      </w:r>
      <w:r>
        <w:t>, vol. 1, no. 1, Art. no. 100002, 2021.</w:t>
      </w:r>
    </w:p>
    <w:p>
      <w:r>
        <w:t xml:space="preserve">[49] M. Wedel and P. K. Kannan, “Marketing analytics for data-rich environments,” </w:t>
      </w:r>
      <w:r>
        <w:rPr>
          <w:i/>
        </w:rPr>
        <w:t>Journal of Marketing</w:t>
      </w:r>
      <w:r>
        <w:t>, vol. 80, no. 6, pp. 97–121, 2016.</w:t>
      </w:r>
    </w:p>
    <w:p>
      <w:r>
        <w:t xml:space="preserve">[50] T. Zhang, V. Kishore, F. Wu, K. Q. Weinberger, and Y. Artzi, “BERTScore: Evaluating text generation with BERT,” in </w:t>
      </w:r>
      <w:r>
        <w:rPr>
          <w:i/>
        </w:rPr>
        <w:t>Proc. Int. Conf. Learning Representations (ICLR)</w:t>
      </w:r>
      <w:r>
        <w:t>, 2020.</w:t>
      </w:r>
    </w:p>
    <w:p>
      <w:r>
        <w:t xml:space="preserve">[51] P. Gutierrez and J.-Y. Gérardy, “Causal inference and uplift modelling: A review of the literature,” in </w:t>
      </w:r>
      <w:r>
        <w:rPr>
          <w:i/>
        </w:rPr>
        <w:t>Proc. 3rd Int. Conf. Predictive Applications and APIs (PMLR 67)</w:t>
      </w:r>
      <w:r>
        <w:t>, 2017, pp. 1–13.</w:t>
      </w:r>
    </w:p>
    <w:p>
      <w:r>
        <w:t xml:space="preserve">[52] B. Efron and R. J. Tibshirani, </w:t>
      </w:r>
      <w:r>
        <w:rPr>
          <w:i/>
        </w:rPr>
        <w:t>An Introduction to the Bootstrap</w:t>
      </w:r>
      <w:r>
        <w:t>. New York, NY, USA: Chapman &amp; Hall, 1993.</w:t>
      </w:r>
    </w:p>
    <w:p>
      <w:r>
        <w:t xml:space="preserve">[53] N. Reimers and I. Gurevych, “Sentence-BERT: Sentence embeddings using Siamese BERT-networks,” in </w:t>
      </w:r>
      <w:r>
        <w:rPr>
          <w:i/>
        </w:rPr>
        <w:t>Proc. Conf. Empirical Methods in Natural Language Processing (EMNLP-IJCNLP)</w:t>
      </w:r>
      <w:r>
        <w:t>, 2019, pp. 3982–3992.</w:t>
      </w:r>
    </w:p>
    <w:p>
      <w:r>
        <w:t>[54] S. Ramírez, “FastAPI documentation,” 2025. [Online]. Available: https://fastapi.tiangolo.com</w:t>
      </w:r>
    </w:p>
    <w:p>
      <w:r>
        <w:t>[55] Vercel Inc., “Next.js documentation,” 2025. [Online]. Available: https://nextjs.org/docs</w:t>
      </w:r>
    </w:p>
    <w:p>
      <w:r>
        <w:t>[56] The PostgreSQL Global Development Group, “PostgreSQL 16 documentation,” 2024. [Online]. Available: https://www.postgresql.org/docs/16/</w:t>
      </w:r>
    </w:p>
    <w:p>
      <w:r>
        <w:t xml:space="preserve">[57] T. Chen and C. Guestrin, “XGBoost: A scalable tree boosting system,” in </w:t>
      </w:r>
      <w:r>
        <w:rPr>
          <w:i/>
        </w:rPr>
        <w:t>Proc. 22nd ACM SIGKDD Int. Conf. Knowledge Discovery and Data Mining</w:t>
      </w:r>
      <w:r>
        <w:t>, 2016, pp. 785–794.</w:t>
      </w:r>
    </w:p>
    <w:p>
      <w:r>
        <w:t>[58] K. Hillstrom, “The MineThatData e-mail analytics and data mining challenge,” MineThatData Blog, 2008. [Online]. Available: https://blog.minethatdata.com</w:t>
      </w:r>
    </w:p>
    <w:p>
      <w:r>
        <w:t xml:space="preserve">[59] D. G. Horvitz and D. J. Thompson, “A generalization of sampling without replacement from a finite universe,” </w:t>
      </w:r>
      <w:r>
        <w:rPr>
          <w:i/>
        </w:rPr>
        <w:t>Journal of the American Statistical Association</w:t>
      </w:r>
      <w:r>
        <w:t>, vol. 47, no. 260, pp. 663–685, 1952.</w:t>
      </w:r>
    </w:p>
    <w:p>
      <w:r>
        <w:t xml:space="preserve">[60] M. Dudík, J. Langford, and L. Li, “Doubly robust policy evaluation and learning,” in </w:t>
      </w:r>
      <w:r>
        <w:rPr>
          <w:i/>
        </w:rPr>
        <w:t>Proc. 28th Int. Conf. Machine Learning (ICML)</w:t>
      </w:r>
      <w:r>
        <w:t>, 2011, pp. 1097–1104.</w:t>
      </w:r>
    </w:p>
    <w:p>
      <w:r>
        <w:t xml:space="preserve">[61] A. Swaminathan and T. Joachims, “The self-normalized estimator for counterfactual learning,” </w:t>
      </w:r>
      <w:r>
        <w:rPr>
          <w:i/>
        </w:rPr>
        <w:t>Advances in Neural Information Processing Systems</w:t>
      </w:r>
      <w:r>
        <w:t>, vol. 28, pp. 3231–3239, 2015.</w:t>
      </w:r>
    </w:p>
    <w:p>
      <w:r>
        <w:t xml:space="preserve">[62] L. Li, W. Chu, J. Langford, and X. Wang, “Unbiased offline evaluation of contextual-bandit-based news article recommendation algorithms,” in </w:t>
      </w:r>
      <w:r>
        <w:rPr>
          <w:i/>
        </w:rPr>
        <w:t>Proc. 4th ACM Int. Conf. Web Search and Data Mining (WSDM)</w:t>
      </w:r>
      <w:r>
        <w:t>, 2011, pp. 297–306.</w:t>
      </w:r>
    </w:p>
    <w:p>
      <w:r>
        <w:t xml:space="preserve">[63] P. J. Rousseeuw, “Silhouettes: A graphical aid to the interpretation and validation of cluster analysis,” </w:t>
      </w:r>
      <w:r>
        <w:rPr>
          <w:i/>
        </w:rPr>
        <w:t>Journal of Computational and Applied Mathematics</w:t>
      </w:r>
      <w:r>
        <w:t>, vol. 20, pp. 53–65, 1987.</w:t>
      </w:r>
    </w:p>
    <w:p>
      <w:r>
        <w:t xml:space="preserve">[64] E. B. Wilson, “Probable inference, the law of succession, and statistical inference,” </w:t>
      </w:r>
      <w:r>
        <w:rPr>
          <w:i/>
        </w:rPr>
        <w:t>Journal of the American Statistical Association</w:t>
      </w:r>
      <w:r>
        <w:t>, vol. 22, no. 158, pp. 209–212, 1927.</w:t>
      </w:r>
    </w:p>
    <w:p>
      <w:r>
        <w:t xml:space="preserve">[65] F. Wilcoxon, “Individual comparisons by ranking methods,” </w:t>
      </w:r>
      <w:r>
        <w:rPr>
          <w:i/>
        </w:rPr>
        <w:t>Biometrics Bulletin</w:t>
      </w:r>
      <w:r>
        <w:t>, vol. 1, no. 6, pp. 80–83, 1945.</w:t>
      </w:r>
    </w:p>
    <w:p>
      <w:r>
        <w:br w:type="page"/>
      </w:r>
    </w:p>
    <w:p>
      <w:pPr>
        <w:pStyle w:val="Heading1"/>
      </w:pPr>
      <w:r>
        <w:t>APPENDIX A — INDIVIDUAL CONTRIBUTION</w:t>
      </w:r>
    </w:p>
    <w:p>
      <w:r>
        <w:t>The project was divided into four research modules, one per team member, with the integration layer, the experimental apparatus and the report shared. Each member owned the design, implementation, evaluation and documentation of their module, and contributed to the integrated platform.</w:t>
      </w:r>
    </w:p>
    <w:p>
      <w:pPr>
        <w:pStyle w:val="Heading2"/>
      </w:pPr>
      <w:r>
        <w:t>A.1  215001G — Aadhil M. H. M.</w:t>
      </w:r>
    </w:p>
    <w:p>
      <w:pPr>
        <w:pStyle w:val="Heading3"/>
      </w:pPr>
      <w:r>
        <w:t>Module 4 — AI Content Refinery and Multi-Platform Distribution</w:t>
      </w:r>
    </w:p>
    <w:p>
      <w:r>
        <w:t>I was responsible for the design, implementation and evaluation of the AI content refinery. I built the crawler that extracts a site's page copy, headings and product descriptions, and the knowledge-base component that condenses them into the business summary and brand vocabulary used to ground every generated asset. During this work I diagnosed and fixed a character-encoding fault in which the HTTP library defaulted to ISO-8859-1 for `text/html` responses whose headers omitted a charset, corrupting every non-ASCII character in a client's copy before it reached the generator.</w:t>
      </w:r>
    </w:p>
    <w:p>
      <w:r>
        <w:t>I assembled and labelled the campaign-goal and tone corpus and implemented both classifiers as a controlled comparison — TF-IDF with logistic regression against Sentence-BERT embeddings with XGBoost. My most useful methodological contribution here was choosing the right test: with roughly a hundred test rows and two classifiers on one test set, only the disagreements carry information, so exact McNemar is correct where an accuracy comparison is not. The result — p = 1.000 for goal and p = 0.727 for tone — means the two approaches are statistically indistinguishable, and I argued in the report that choosing TF-IDF on cost and interpretability is a stronger claim than pretending it is more accurate. I also found and corrected the corpus filtering defect (D5) that had quartered the usable training data from 527 rows to 114.</w:t>
      </w:r>
    </w:p>
    <w:p>
      <w:r>
        <w:t>I implemented the platform-aware generation engine producing captions, hashtags, calls to action, image prompts and short-video briefs, and fixed the defect (D6) in which the `shorts` platform declared a video visual type but had no visual options defined, so the selector silently returned a static image brief.</w:t>
      </w:r>
    </w:p>
    <w:p>
      <w:r>
        <w:t xml:space="preserve">I designed and built </w:t>
      </w:r>
      <w:r>
        <w:rPr>
          <w:b/>
        </w:rPr>
        <w:t>capability detection</w:t>
      </w:r>
      <w:r>
        <w:t xml:space="preserve">, which I consider my strongest contribution. Reading a site to determine what it can actually do — sell, take subscriptions, capture leads, accept donations — stops the system recommending an action the client cannot perform. Evaluating it against hand labels on fifteen real websites taught me more than the accuracy figure did: two of the four initial disagreements were faults in my </w:t>
      </w:r>
      <w:r>
        <w:rPr>
          <w:i/>
        </w:rPr>
        <w:t>labels</w:t>
      </w:r>
      <w:r>
        <w:t>, not my detector, because a charity that sells merchandise has both donation and commerce and a publisher running a store has commerce as well as content. Modelling capabilities as independent flags rather than as a site category is what let the detector be right where the label was wrong. I also insisted the report state plainly that this sample is a development set and its figure is therefore fitted.</w:t>
      </w:r>
    </w:p>
    <w:p>
      <w:r>
        <w:t>Finally, I built the three-component scoring framework and the human-baseline harness. The most consequential piece of this work was negative: I discovered the engagement regressor had been trained with the outcome components from which its target was derived still among its features (D4). Adding a leakage guard moved R² from 0.9901 to −0.168. I then tested all eight text features for correlation with engagement under Holm–Bonferroni correction and found that none survives, establishing that the absence of signal is a property of the dataset rather than a modelling failure. I reduced the component's weight from 0.45 to 0.20 accordingly and made the model's own verdict visible in the interface rather than deleting the result. I also diagnosed the macOS OpenMP conflict between XGBoost and PyTorch that terminated training runs and API workers with no traceback.</w:t>
      </w:r>
    </w:p>
    <w:p>
      <w:pPr>
        <w:pStyle w:val="Heading2"/>
      </w:pPr>
      <w:r>
        <w:t>A.2  215015D — Arqam Z. H.</w:t>
      </w:r>
    </w:p>
    <w:p>
      <w:pPr>
        <w:pStyle w:val="Heading3"/>
      </w:pPr>
      <w:r>
        <w:t>Module 3 — Marketing Analytics and Decision Support</w:t>
      </w:r>
    </w:p>
    <w:p>
      <w:r>
        <w:t>I was responsible for the analytics and decision-support module, which is the component through which the framework's feedback loop closes. I designed and implemented the pipeline described in Table 12: funnel construction and drop-off analysis disaggregated by stage, segment and policy; the journey-level feature builder; the conversion and drop-off models with bootstrap intervals against a stratified baseline; SHAP explanations; probability calibration; and the recommendation generator.</w:t>
      </w:r>
    </w:p>
    <w:p>
      <w:r>
        <w:t xml:space="preserve">I implemented four attribution models and, more importantly, the method for evaluating them. Because the simulator generates journeys from known per-channel influence, the true credit is available and each model can be scored by mean absolute error against it — a comparison observational data cannot support. On the imported audience, where no ground truth exists, I report </w:t>
      </w:r>
      <w:r>
        <w:rPr>
          <w:b/>
        </w:rPr>
        <w:t>disagreement</w:t>
      </w:r>
      <w:r>
        <w:t xml:space="preserve"> instead of accuracy, which produced what I regard as the clearest single argument in the project against trusting one attribution model: across 7,811 converting journeys the widest pair disagrees over 68 % of all attributed credit. I also insisted on reporting that 20 % of those journeys have a single touchpoint, where the models agree by arithmetic rather than by evidence.</w:t>
      </w:r>
    </w:p>
    <w:p>
      <w:r>
        <w:t xml:space="preserve">The work I am most glad we did came from a question I could not answer at the interim review: whether ranking customers by predicted conversion is the right thing to rank by. It is not. A customer who would have converted anyway improves a response model's accuracy while contributing nothing to the campaign. Because uplift is identifiable only where assignment was randomised — and nothing in our own audience was randomised — I built the comparison on Hillstrom's randomised dataset, fitting S-learner and T-learner uplift models against the predicted-response policy the system was actually using. The two policies share only 56 % of their chosen customers at a 30 % budget. I also wrote the caveat that matters: the Qini intervals overlap and the second uplift learner does </w:t>
      </w:r>
      <w:r>
        <w:rPr>
          <w:i/>
        </w:rPr>
        <w:t>worse</w:t>
      </w:r>
      <w:r>
        <w:t xml:space="preserve"> than the current policy, so “use uplift modelling” is not a conclusion on its own.</w:t>
      </w:r>
    </w:p>
    <w:p>
      <w:r>
        <w:t xml:space="preserve">That finding created the next problem — no borrowed dataset can answer the question for </w:t>
      </w:r>
      <w:r>
        <w:rPr>
          <w:i/>
        </w:rPr>
        <w:t>our</w:t>
      </w:r>
      <w:r>
        <w:t xml:space="preserve"> actions — and the answer is the contribution I would defend first. I designed the propensity-logged decision record: an append-only log holding every decision, the probability it was taken under, and what followed, with ten per cent of decisions randomised on purpose because a deterministic policy assigns probability zero to every action it does not take. I validated the estimators against a known answer in simulation and established the result I did not anticipate: without exploration the estimate is biased </w:t>
      </w:r>
      <w:r>
        <w:rPr>
          <w:b/>
        </w:rPr>
        <w:t>upwards</w:t>
      </w:r>
      <w:r>
        <w:t xml:space="preserve">, and the deterministic log looks </w:t>
      </w:r>
      <w:r>
        <w:rPr>
          <w:i/>
        </w:rPr>
        <w:t>more</w:t>
      </w:r>
      <w:r>
        <w:t xml:space="preserve"> trustworthy by effective sample size — 1,094 against 107 — because every weight is 0 or 1. The standard diagnostic points the wrong way. I also measured what exploration costs (about 7.5 % of achievable reward at a 10 % rate) and showed that token exploration at 1 % is worse than none.</w:t>
      </w:r>
    </w:p>
    <w:p>
      <w:r>
        <w:t>Beyond my module I built the shared research infrastructure: the eleven-experiment runner, the statistics layer (percentile and paired bootstrap, Wilcoxon signed-rank, exact McNemar, Wilson intervals, Cliff's delta), the figure generator that draws every chart from the experiment tables, and the chapter generator that authors the evaluation prose once and interpolates the measured values — so that no number in Chapter 7 is copied by hand and no figure can disagree with the value it plots. I found and fixed a reproducibility defect (D7) in which iterating an unordered set made a reported R² depend on the process hash seed. I contributed the shared database schema, the analytics and decision routes, the dashboard's analytics page, and the principle that provenance must be derived at write time rather than asserted by the caller. I compiled and wrote this report.</w:t>
      </w:r>
    </w:p>
    <w:p>
      <w:pPr>
        <w:pStyle w:val="Heading2"/>
      </w:pPr>
      <w:r>
        <w:t>A.3  215110N — Sarah M. M. F.</w:t>
      </w:r>
    </w:p>
    <w:p>
      <w:pPr>
        <w:pStyle w:val="Heading3"/>
      </w:pPr>
      <w:r>
        <w:t>Module 1 — Audience Targeting and Personalization</w:t>
      </w:r>
    </w:p>
    <w:p>
      <w:r>
        <w:t>I was responsible for the hybrid segmentation engine, the first module in the pipeline and the source of the segment taxonomy every other module consumes. I prepared and preprocessed the 8,000-customer dataset — missing-value handling, categorical encoding, feature scaling and the derived behavioural features — and established the five-segment taxonomy shared across the system.</w:t>
      </w:r>
    </w:p>
    <w:p>
      <w:r>
        <w:t>I implemented all three methods as peers over a common feature matrix: a rule-based segmenter, k-means, and Ward-linkage agglomerative clustering. I then designed the agreement vote that combines them and produces the calibrated confidence, and — at my supervisors' prompting — ran the ablation that compares the hybrid against each of its own components on the same customers.</w:t>
      </w:r>
    </w:p>
    <w:p>
      <w:r>
        <w:t xml:space="preserve">That ablation produced the result I found hardest to accept and am now most convinced was worth reporting. </w:t>
      </w:r>
      <w:r>
        <w:rPr>
          <w:b/>
        </w:rPr>
        <w:t>The hybrid does not separate conversion better than the rules alone</w:t>
      </w:r>
      <w:r>
        <w:t xml:space="preserve"> — 0.3838 against 0.3837, a difference well inside the bootstrap interval. Clustering on its own reaches 0.0343. My first instinct was to look for a better metric; the right response was to report the number and re-examine what the hybrid is actually for. It earns its place by producing a confidence calibrated from three-way agreement and by making cold start explicit — not by separating conversion further. I also report the silhouette of 0.087 and the fact that all three methods disagree for 35 % of customers, because a study quoting only the separation would hide how heavily the clusters overlap.</w:t>
      </w:r>
    </w:p>
    <w:p>
      <w:r>
        <w:t>I found and corrected two defects in my own module. The first (D1) was that the confidence classifier had been trained with the rule label among its inputs while the target was the hybrid consensus, so it was largely reading off its own answer. Reproducing both versions on the same split showed something I did not expect: accuracy barely moved, from 0.9213 to 0.9200, while the number of customers emerging at confidence 1.00 fell from 450 to 3. Accuracy is not what the leak corrupts — the confidence attached to every downstream decision is — and that is exactly why it survived review with every test green.</w:t>
      </w:r>
    </w:p>
    <w:p>
      <w:r>
        <w:t xml:space="preserve">The second (D2) was more serious. My agreement vote tested whether the two clusterings agreed </w:t>
      </w:r>
      <w:r>
        <w:rPr>
          <w:i/>
        </w:rPr>
        <w:t>before</w:t>
      </w:r>
      <w:r>
        <w:t xml:space="preserve"> it tested whether the rules had identified a cold-start customer. Clustering cannot represent “there is not enough evidence about this person”; it must place everyone somewhere. So whenever the two clusterings happened to agree, they overruled the rules. Of the 163 cold-start customers the rules detect, that ordering kept 127 — and on the live audience the segment went to zero. My module's novel contribution was being erased by its own pipeline. I reordered the vote so cold start is resolved immediately after unanimity and added a regression test. The general principle I would defend in a viva is that </w:t>
      </w:r>
      <w:r>
        <w:rPr>
          <w:b/>
        </w:rPr>
        <w:t>a method that cannot represent a finding does not get a vote on it.</w:t>
      </w:r>
    </w:p>
    <w:p>
      <w:r>
        <w:t>I also replaced hardcoded cluster-index naming (D3) with names derived from centroids at run time, implemented the minimum-audience rule under which the engine declines to cluster and states why, and built the second feature domain so that live tracked visitors are segmented on page views, scroll depth and session features rather than on email history a first-time visitor does not have. I wrote the Module 1 sections of this report.</w:t>
      </w:r>
    </w:p>
    <w:p>
      <w:pPr>
        <w:pStyle w:val="Heading2"/>
      </w:pPr>
      <w:r>
        <w:t>A.4  215129F — Zanar M. H. M. R. A.</w:t>
      </w:r>
    </w:p>
    <w:p>
      <w:pPr>
        <w:pStyle w:val="Heading3"/>
      </w:pPr>
      <w:r>
        <w:t>Module 2 — Marketing Automation and Campaign Management</w:t>
      </w:r>
    </w:p>
    <w:p>
      <w:r>
        <w:t>I was responsible for the campaign automation module, which consumes segments from Module 1 and produces the interaction log Module 3 analyses. I designed it as a controlled experiment rather than as a single implementation: the policy engine is the only component that differs between the three arms, while the profile builder, response model, message templates, response simulator and evaluator are shared, so that any measured difference is attributable to the policy alone.</w:t>
      </w:r>
    </w:p>
    <w:p>
      <w:r>
        <w:t>I implemented all three policies — fixed workflow, trigger-based and hybrid — behind a common interface, together with the message template library and the response simulation layer, whose per-segment propensities I calibrated against the dataset's own conversion rates. During early integration I built a mock segmentation file with the agreed schema so my module could be developed in parallel with Module 1 and later swapped to the real output without changing the automation logic.</w:t>
      </w:r>
    </w:p>
    <w:p>
      <w:r>
        <w:t xml:space="preserve">I made two methodological decisions I would defend. The first was the metric: </w:t>
      </w:r>
      <w:r>
        <w:rPr>
          <w:b/>
        </w:rPr>
        <w:t>conversions per thousand sends</w:t>
      </w:r>
      <w:r>
        <w:t>, not per-customer conversion rate. A per-user rate rises simply by sending more messages, which would hand the win to the fixed workflow for sending most rather than for sending best — and the message volumes differ sharply (4.00 messages per customer for fixed against 1.32 for trigger). I report both, so the choice of metric is visible to the reader rather than decisive in the background. The second was the experimental design: thirty independent seeds, each putting the same 8,000 customers through all three policies, which makes the comparison paired and means paired tests and effect sizes are the correct analysis.</w:t>
      </w:r>
    </w:p>
    <w:p>
      <w:r>
        <w:t>I also fitted a stratified dummy classifier alongside the real response models and published it in the same table, because the dataset's base rate is high enough that a model can look accurate by predicting the majority class for everyone. And I designed the operational complexity measure — the count of distinct decision rules and branch points each policy requires — because effectiveness alone is not a sufficient basis for an engineering choice. The trigger policy leads the fixed workflow by 3.3 conversions per thousand sends for three extra rules, which is the trade the report argues explicitly rather than assumes.</w:t>
      </w:r>
    </w:p>
    <w:p>
      <w:r>
        <w:t xml:space="preserve">The finding I did not expect is the one I insisted we keep. When the same three policies were run against the imported audience in the live system, the ranking </w:t>
      </w:r>
      <w:r>
        <w:rPr>
          <w:b/>
        </w:rPr>
        <w:t>changed</w:t>
      </w:r>
      <w:r>
        <w:t>: the simulator favours trigger, the live build favours hybrid. Both measurements are volume-controlled, so the difference lies in how response is modelled — segment-level propensities against per-customer rates drawn from each customer's own recorded email history. Neither is an observation of real people reacting. Quoting whichever run supported the conclusion we preferred would have been the one genuinely dishonest option available to us, so the report presents the instability itself as the result. I also contributed the campaign execution and action-plan routes, the tracked-link mechanism, and the campaigns page of the dashboard.</w:t>
      </w:r>
    </w:p>
    <w:p>
      <w:r>
        <w:br w:type="page"/>
      </w:r>
    </w:p>
    <w:p>
      <w:pPr>
        <w:pStyle w:val="Heading1"/>
      </w:pPr>
      <w:r>
        <w:t>APPENDIX B — ADDITIONAL IMPLEMENTATION DETAILS</w:t>
      </w:r>
    </w:p>
    <w:p>
      <w:pPr>
        <w:pStyle w:val="Heading2"/>
      </w:pPr>
      <w:r>
        <w:t>B.1 Reproducing the System and the Results</w:t>
      </w:r>
    </w:p>
    <w:p>
      <w:r>
        <w:t>The system and every number in Chapter 7 are reproducible from a clean checkout. The following commands provision dependencies, start the database and services, serve the demonstration store, import the research audience and regenerate the entire evaluation.</w:t>
      </w:r>
    </w:p>
    <w:p>
      <w:pPr>
        <w:pStyle w:val="CodeBlock"/>
        <w:spacing w:before="0" w:after="0"/>
      </w:pPr>
      <w:r>
        <w:t>make setup      # once — Python, Node, browser, environment file</w:t>
      </w:r>
    </w:p>
    <w:p>
      <w:pPr>
        <w:pStyle w:val="CodeBlock"/>
        <w:spacing w:before="0" w:after="0"/>
      </w:pPr>
      <w:r>
        <w:t>make db         # PostgreSQL 16 — Homebrew service, else Docker</w:t>
      </w:r>
    </w:p>
    <w:p>
      <w:pPr>
        <w:pStyle w:val="CodeBlock"/>
        <w:spacing w:before="0" w:after="0"/>
      </w:pPr>
      <w:r>
        <w:t>make db-create  # once, on the Homebrew path — role and database</w:t>
      </w:r>
    </w:p>
    <w:p>
      <w:pPr>
        <w:pStyle w:val="CodeBlock"/>
        <w:spacing w:before="0" w:after="0"/>
      </w:pPr>
      <w:r>
        <w:t xml:space="preserve"> </w:t>
      </w:r>
    </w:p>
    <w:p>
      <w:pPr>
        <w:pStyle w:val="CodeBlock"/>
        <w:spacing w:before="0" w:after="0"/>
      </w:pPr>
      <w:r>
        <w:t>make api        # FastAPI backend          (terminal 2)</w:t>
      </w:r>
    </w:p>
    <w:p>
      <w:pPr>
        <w:pStyle w:val="CodeBlock"/>
        <w:spacing w:before="0" w:after="0"/>
      </w:pPr>
      <w:r>
        <w:t>make web        # Next.js dashboard        (terminal 3)</w:t>
      </w:r>
    </w:p>
    <w:p>
      <w:pPr>
        <w:pStyle w:val="CodeBlock"/>
        <w:spacing w:before="0" w:after="0"/>
      </w:pPr>
      <w:r>
        <w:t>make site       # demonstration store      (terminal 4)</w:t>
      </w:r>
    </w:p>
    <w:p>
      <w:pPr>
        <w:pStyle w:val="CodeBlock"/>
        <w:spacing w:before="0" w:after="0"/>
      </w:pPr>
      <w:r>
        <w:t xml:space="preserve"> </w:t>
      </w:r>
    </w:p>
    <w:p>
      <w:pPr>
        <w:pStyle w:val="CodeBlock"/>
        <w:spacing w:before="0" w:after="0"/>
      </w:pPr>
      <w:r>
        <w:t>make demo       # import 8,000 customers, run every module</w:t>
      </w:r>
    </w:p>
    <w:p>
      <w:pPr>
        <w:pStyle w:val="CodeBlock"/>
        <w:spacing w:before="0" w:after="0"/>
      </w:pPr>
      <w:r>
        <w:t>make research   # run all 11 experiments, redraw every figure,</w:t>
      </w:r>
    </w:p>
    <w:p>
      <w:pPr>
        <w:pStyle w:val="CodeBlock"/>
        <w:spacing w:before="0" w:after="0"/>
      </w:pPr>
      <w:r>
        <w:t xml:space="preserve">                # regenerate Chapter 7</w:t>
      </w:r>
    </w:p>
    <w:p>
      <w:pPr>
        <w:pStyle w:val="CodeBlock"/>
        <w:spacing w:before="0" w:after="0"/>
      </w:pPr>
      <w:r>
        <w:t>make test       # the full test suite</w:t>
      </w:r>
    </w:p>
    <w:p>
      <w:pPr>
        <w:spacing w:after="160"/>
      </w:pPr>
    </w:p>
    <w:p>
      <w:pPr>
        <w:pStyle w:val="TableCaption"/>
      </w:pPr>
      <w:r>
        <w:rPr>
          <w:b w:val="0"/>
          <w:i w:val="0"/>
        </w:rPr>
        <w:t>Table 33 — Service endpoints in the running system.</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Service</w:t>
            </w:r>
          </w:p>
        </w:tc>
        <w:tc>
          <w:tcPr>
            <w:tcW w:type="dxa" w:w="2890"/>
            <w:shd w:val="clear" w:color="auto" w:fill="E8EEF6"/>
          </w:tcPr>
          <w:p>
            <w:pPr>
              <w:spacing w:after="40" w:line="240" w:lineRule="auto"/>
              <w:jc w:val="center"/>
            </w:pPr>
            <w:r/>
            <w:r>
              <w:rPr>
                <w:b/>
                <w:sz w:val="20"/>
              </w:rPr>
              <w:t>Address</w:t>
            </w:r>
          </w:p>
        </w:tc>
        <w:tc>
          <w:tcPr>
            <w:tcW w:type="dxa" w:w="2890"/>
            <w:shd w:val="clear" w:color="auto" w:fill="E8EEF6"/>
          </w:tcPr>
          <w:p>
            <w:pPr>
              <w:spacing w:after="40" w:line="240" w:lineRule="auto"/>
              <w:jc w:val="center"/>
            </w:pPr>
            <w:r/>
            <w:r>
              <w:rPr>
                <w:b/>
                <w:sz w:val="20"/>
              </w:rPr>
              <w:t>Purpose</w:t>
            </w:r>
          </w:p>
        </w:tc>
      </w:tr>
      <w:tr>
        <w:tc>
          <w:tcPr>
            <w:tcW w:type="dxa" w:w="2890"/>
          </w:tcPr>
          <w:p>
            <w:pPr>
              <w:spacing w:after="40" w:line="240" w:lineRule="auto"/>
              <w:jc w:val="left"/>
            </w:pPr>
            <w:r/>
            <w:r>
              <w:rPr>
                <w:b w:val="0"/>
                <w:sz w:val="20"/>
              </w:rPr>
              <w:t>Dashboard</w:t>
            </w:r>
          </w:p>
        </w:tc>
        <w:tc>
          <w:tcPr>
            <w:tcW w:type="dxa" w:w="2890"/>
          </w:tcPr>
          <w:p>
            <w:pPr>
              <w:spacing w:after="40" w:line="240" w:lineRule="auto"/>
              <w:jc w:val="center"/>
            </w:pPr>
            <w:r/>
            <w:r>
              <w:rPr>
                <w:b w:val="0"/>
                <w:sz w:val="20"/>
              </w:rPr>
              <w:t>http://localhost:3000</w:t>
            </w:r>
          </w:p>
        </w:tc>
        <w:tc>
          <w:tcPr>
            <w:tcW w:type="dxa" w:w="2890"/>
          </w:tcPr>
          <w:p>
            <w:pPr>
              <w:spacing w:after="40" w:line="240" w:lineRule="auto"/>
              <w:jc w:val="center"/>
            </w:pPr>
            <w:r/>
            <w:r>
              <w:rPr>
                <w:b w:val="0"/>
                <w:sz w:val="20"/>
              </w:rPr>
              <w:t>Marketer interface — 7 pages plus authentication</w:t>
            </w:r>
          </w:p>
        </w:tc>
      </w:tr>
      <w:tr>
        <w:tc>
          <w:tcPr>
            <w:tcW w:type="dxa" w:w="2890"/>
          </w:tcPr>
          <w:p>
            <w:pPr>
              <w:spacing w:after="40" w:line="240" w:lineRule="auto"/>
              <w:jc w:val="left"/>
            </w:pPr>
            <w:r/>
            <w:r>
              <w:rPr>
                <w:b w:val="0"/>
                <w:sz w:val="20"/>
              </w:rPr>
              <w:t>Demonstration store</w:t>
            </w:r>
          </w:p>
        </w:tc>
        <w:tc>
          <w:tcPr>
            <w:tcW w:type="dxa" w:w="2890"/>
          </w:tcPr>
          <w:p>
            <w:pPr>
              <w:spacing w:after="40" w:line="240" w:lineRule="auto"/>
              <w:jc w:val="center"/>
            </w:pPr>
            <w:r/>
            <w:r>
              <w:rPr>
                <w:b w:val="0"/>
                <w:sz w:val="20"/>
              </w:rPr>
              <w:t>http://localhost:4000</w:t>
            </w:r>
          </w:p>
        </w:tc>
        <w:tc>
          <w:tcPr>
            <w:tcW w:type="dxa" w:w="2890"/>
          </w:tcPr>
          <w:p>
            <w:pPr>
              <w:spacing w:after="40" w:line="240" w:lineRule="auto"/>
              <w:jc w:val="center"/>
            </w:pPr>
            <w:r/>
            <w:r>
              <w:rPr>
                <w:b w:val="0"/>
                <w:sz w:val="20"/>
              </w:rPr>
              <w:t>The e-commerce site under study, with mos.js installed</w:t>
            </w:r>
          </w:p>
        </w:tc>
      </w:tr>
      <w:tr>
        <w:tc>
          <w:tcPr>
            <w:tcW w:type="dxa" w:w="2890"/>
          </w:tcPr>
          <w:p>
            <w:pPr>
              <w:spacing w:after="40" w:line="240" w:lineRule="auto"/>
              <w:jc w:val="left"/>
            </w:pPr>
            <w:r/>
            <w:r>
              <w:rPr>
                <w:b w:val="0"/>
                <w:sz w:val="20"/>
              </w:rPr>
              <w:t>API</w:t>
            </w:r>
          </w:p>
        </w:tc>
        <w:tc>
          <w:tcPr>
            <w:tcW w:type="dxa" w:w="2890"/>
          </w:tcPr>
          <w:p>
            <w:pPr>
              <w:spacing w:after="40" w:line="240" w:lineRule="auto"/>
              <w:jc w:val="center"/>
            </w:pPr>
            <w:r/>
            <w:r>
              <w:rPr>
                <w:b w:val="0"/>
                <w:sz w:val="20"/>
              </w:rPr>
              <w:t>http://localhost:8000</w:t>
            </w:r>
          </w:p>
        </w:tc>
        <w:tc>
          <w:tcPr>
            <w:tcW w:type="dxa" w:w="2890"/>
          </w:tcPr>
          <w:p>
            <w:pPr>
              <w:spacing w:after="40" w:line="240" w:lineRule="auto"/>
              <w:jc w:val="center"/>
            </w:pPr>
            <w:r/>
            <w:r>
              <w:rPr>
                <w:b w:val="0"/>
                <w:sz w:val="20"/>
              </w:rPr>
              <w:t>FastAPI service</w:t>
            </w:r>
          </w:p>
        </w:tc>
      </w:tr>
      <w:tr>
        <w:tc>
          <w:tcPr>
            <w:tcW w:type="dxa" w:w="2890"/>
          </w:tcPr>
          <w:p>
            <w:pPr>
              <w:spacing w:after="40" w:line="240" w:lineRule="auto"/>
              <w:jc w:val="left"/>
            </w:pPr>
            <w:r/>
            <w:r>
              <w:rPr>
                <w:b w:val="0"/>
                <w:sz w:val="20"/>
              </w:rPr>
              <w:t>API documentation</w:t>
            </w:r>
          </w:p>
        </w:tc>
        <w:tc>
          <w:tcPr>
            <w:tcW w:type="dxa" w:w="2890"/>
          </w:tcPr>
          <w:p>
            <w:pPr>
              <w:spacing w:after="40" w:line="240" w:lineRule="auto"/>
              <w:jc w:val="center"/>
            </w:pPr>
            <w:r/>
            <w:r>
              <w:rPr>
                <w:b w:val="0"/>
                <w:sz w:val="20"/>
              </w:rPr>
              <w:t>http://localhost:8000/docs</w:t>
            </w:r>
          </w:p>
        </w:tc>
        <w:tc>
          <w:tcPr>
            <w:tcW w:type="dxa" w:w="2890"/>
          </w:tcPr>
          <w:p>
            <w:pPr>
              <w:spacing w:after="40" w:line="240" w:lineRule="auto"/>
              <w:jc w:val="center"/>
            </w:pPr>
            <w:r/>
            <w:r>
              <w:rPr>
                <w:b w:val="0"/>
                <w:sz w:val="20"/>
              </w:rPr>
              <w:t>Interactive OpenAPI documentation</w:t>
            </w:r>
          </w:p>
        </w:tc>
      </w:tr>
      <w:tr>
        <w:tc>
          <w:tcPr>
            <w:tcW w:type="dxa" w:w="2890"/>
          </w:tcPr>
          <w:p>
            <w:pPr>
              <w:spacing w:after="40" w:line="240" w:lineRule="auto"/>
              <w:jc w:val="left"/>
            </w:pPr>
            <w:r/>
            <w:r>
              <w:rPr>
                <w:b w:val="0"/>
                <w:sz w:val="20"/>
              </w:rPr>
              <w:t>PostgreSQL</w:t>
            </w:r>
          </w:p>
        </w:tc>
        <w:tc>
          <w:tcPr>
            <w:tcW w:type="dxa" w:w="2890"/>
          </w:tcPr>
          <w:p>
            <w:pPr>
              <w:spacing w:after="40" w:line="240" w:lineRule="auto"/>
              <w:jc w:val="center"/>
            </w:pPr>
            <w:r/>
            <w:r>
              <w:rPr>
                <w:b w:val="0"/>
                <w:sz w:val="20"/>
              </w:rPr>
              <w:t>localhost:5434</w:t>
            </w:r>
          </w:p>
        </w:tc>
        <w:tc>
          <w:tcPr>
            <w:tcW w:type="dxa" w:w="2890"/>
          </w:tcPr>
          <w:p>
            <w:pPr>
              <w:spacing w:after="40" w:line="240" w:lineRule="auto"/>
              <w:jc w:val="center"/>
            </w:pPr>
            <w:r/>
            <w:r>
              <w:rPr>
                <w:b w:val="0"/>
                <w:sz w:val="20"/>
              </w:rPr>
              <w:t>Database on a non-default port to avoid collisions</w:t>
            </w:r>
          </w:p>
        </w:tc>
      </w:tr>
    </w:tbl>
    <w:p>
      <w:pPr>
        <w:spacing w:after="120"/>
      </w:pPr>
    </w:p>
    <w:p>
      <w:pPr>
        <w:pStyle w:val="Heading2"/>
      </w:pPr>
      <w:r>
        <w:t>B.2 Repository Structure</w:t>
      </w:r>
    </w:p>
    <w:p>
      <w:pPr>
        <w:pStyle w:val="CodeBlock"/>
        <w:spacing w:before="0" w:after="0"/>
      </w:pPr>
      <w:r>
        <w:t>web/              Next.js dashboard (7 pages + auth + onboarding)</w:t>
      </w:r>
    </w:p>
    <w:p>
      <w:pPr>
        <w:pStyle w:val="CodeBlock"/>
        <w:spacing w:before="0" w:after="0"/>
      </w:pPr>
      <w:r>
        <w:t>api/              FastAPI backend</w:t>
      </w:r>
    </w:p>
    <w:p>
      <w:pPr>
        <w:pStyle w:val="CodeBlock"/>
        <w:spacing w:before="0" w:after="0"/>
      </w:pPr>
      <w:r>
        <w:t xml:space="preserve">  routers/        sites, segments, campaigns, analytics, content,</w:t>
      </w:r>
    </w:p>
    <w:p>
      <w:pPr>
        <w:pStyle w:val="CodeBlock"/>
        <w:spacing w:before="0" w:after="0"/>
      </w:pPr>
      <w:r>
        <w:t xml:space="preserve">                  actions, decisions, tracking, auth</w:t>
      </w:r>
    </w:p>
    <w:p>
      <w:pPr>
        <w:pStyle w:val="CodeBlock"/>
        <w:spacing w:before="0" w:after="0"/>
      </w:pPr>
      <w:r>
        <w:t xml:space="preserve">  services/       module wrappers, decision log, provenance</w:t>
      </w:r>
    </w:p>
    <w:p>
      <w:pPr>
        <w:pStyle w:val="CodeBlock"/>
        <w:spacing w:before="0" w:after="0"/>
      </w:pPr>
      <w:r>
        <w:t xml:space="preserve">  static/mos.js   first-party tracking snippet</w:t>
      </w:r>
    </w:p>
    <w:p>
      <w:pPr>
        <w:pStyle w:val="CodeBlock"/>
        <w:spacing w:before="0" w:after="0"/>
      </w:pPr>
      <w:r>
        <w:t xml:space="preserve">  schema.sql      database schema</w:t>
      </w:r>
    </w:p>
    <w:p>
      <w:pPr>
        <w:pStyle w:val="CodeBlock"/>
        <w:spacing w:before="0" w:after="0"/>
      </w:pPr>
      <w:r>
        <w:t>modules/</w:t>
      </w:r>
    </w:p>
    <w:p>
      <w:pPr>
        <w:pStyle w:val="CodeBlock"/>
        <w:spacing w:before="0" w:after="0"/>
      </w:pPr>
      <w:r>
        <w:t xml:space="preserve">  m1_segmentation/  segment.py — the hybrid engine</w:t>
      </w:r>
    </w:p>
    <w:p>
      <w:pPr>
        <w:pStyle w:val="CodeBlock"/>
        <w:spacing w:before="0" w:after="0"/>
      </w:pPr>
      <w:r>
        <w:t xml:space="preserve">  m2_automation/    policy engine, simulator, evaluation</w:t>
      </w:r>
    </w:p>
    <w:p>
      <w:pPr>
        <w:pStyle w:val="CodeBlock"/>
        <w:spacing w:before="0" w:after="0"/>
      </w:pPr>
      <w:r>
        <w:t xml:space="preserve">  m3_analytics/     funnel, attribution, prediction, recommender</w:t>
      </w:r>
    </w:p>
    <w:p>
      <w:pPr>
        <w:pStyle w:val="CodeBlock"/>
        <w:spacing w:before="0" w:after="0"/>
      </w:pPr>
      <w:r>
        <w:t>research/</w:t>
      </w:r>
    </w:p>
    <w:p>
      <w:pPr>
        <w:pStyle w:val="CodeBlock"/>
        <w:spacing w:before="0" w:after="0"/>
      </w:pPr>
      <w:r>
        <w:t xml:space="preserve">  experiments/    E1 … E11</w:t>
      </w:r>
    </w:p>
    <w:p>
      <w:pPr>
        <w:pStyle w:val="CodeBlock"/>
        <w:spacing w:before="0" w:after="0"/>
      </w:pPr>
      <w:r>
        <w:t xml:space="preserve">  stats.py        bootstrap, Wilcoxon, McNemar, Wilson, Cliff's d</w:t>
      </w:r>
    </w:p>
    <w:p>
      <w:pPr>
        <w:pStyle w:val="CodeBlock"/>
        <w:spacing w:before="0" w:after="0"/>
      </w:pPr>
      <w:r>
        <w:t xml:space="preserve">  figures.py      every figure in Chapter 7</w:t>
      </w:r>
    </w:p>
    <w:p>
      <w:pPr>
        <w:pStyle w:val="CodeBlock"/>
        <w:spacing w:before="0" w:after="0"/>
      </w:pPr>
      <w:r>
        <w:t xml:space="preserve">  chapters.py     the prose, authored once</w:t>
      </w:r>
    </w:p>
    <w:p>
      <w:pPr>
        <w:pStyle w:val="CodeBlock"/>
        <w:spacing w:before="0" w:after="0"/>
      </w:pPr>
      <w:r>
        <w:t xml:space="preserve">  results/        results.json and every experiment table</w:t>
      </w:r>
    </w:p>
    <w:p>
      <w:pPr>
        <w:pStyle w:val="CodeBlock"/>
        <w:spacing w:before="0" w:after="0"/>
      </w:pPr>
      <w:r>
        <w:t>demo-site/        the e-commerce store under study</w:t>
      </w:r>
    </w:p>
    <w:p>
      <w:pPr>
        <w:pStyle w:val="CodeBlock"/>
        <w:spacing w:before="0" w:after="0"/>
      </w:pPr>
      <w:r>
        <w:t>scripts/          setup, dataset import, model training</w:t>
      </w:r>
    </w:p>
    <w:p>
      <w:pPr>
        <w:pStyle w:val="CodeBlock"/>
        <w:spacing w:before="0" w:after="0"/>
      </w:pPr>
      <w:r>
        <w:t>tests/            the platform test suite</w:t>
      </w:r>
    </w:p>
    <w:p>
      <w:pPr>
        <w:pStyle w:val="CodeBlock"/>
        <w:spacing w:before="0" w:after="0"/>
      </w:pPr>
      <w:r>
        <w:t>report/</w:t>
      </w:r>
    </w:p>
    <w:p>
      <w:pPr>
        <w:pStyle w:val="CodeBlock"/>
        <w:spacing w:before="0" w:after="0"/>
      </w:pPr>
      <w:r>
        <w:t xml:space="preserve">  build/          the .docx builder and chapter content</w:t>
      </w:r>
    </w:p>
    <w:p>
      <w:pPr>
        <w:pStyle w:val="CodeBlock"/>
        <w:spacing w:before="0" w:after="0"/>
      </w:pPr>
      <w:r>
        <w:t xml:space="preserve">  assets/         architecture figures and screenshots</w:t>
      </w:r>
    </w:p>
    <w:p>
      <w:pPr>
        <w:spacing w:after="160"/>
      </w:pPr>
    </w:p>
    <w:p>
      <w:pPr>
        <w:pStyle w:val="Heading2"/>
      </w:pPr>
      <w:r>
        <w:t>B.3 The Experiment Catalogue</w:t>
      </w:r>
    </w:p>
    <w:p>
      <w:r>
        <w:t>Each experiment is independently runnable and writes its own tables to `research/results/`. The complete catalogue is listed below; the results themselves are in Chapter 7.</w:t>
      </w:r>
    </w:p>
    <w:p>
      <w:pPr>
        <w:pStyle w:val="TableCaption"/>
      </w:pPr>
      <w:r>
        <w:rPr>
          <w:b w:val="0"/>
          <w:i w:val="0"/>
        </w:rPr>
        <w:t>Table 34 — The eleven experiments and the data each uses.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ID</w:t>
            </w:r>
          </w:p>
        </w:tc>
        <w:tc>
          <w:tcPr>
            <w:tcW w:type="dxa" w:w="2167"/>
            <w:shd w:val="clear" w:color="auto" w:fill="E8EEF6"/>
          </w:tcPr>
          <w:p>
            <w:pPr>
              <w:spacing w:after="40" w:line="240" w:lineRule="auto"/>
              <w:jc w:val="center"/>
            </w:pPr>
            <w:r/>
            <w:r>
              <w:rPr>
                <w:b/>
                <w:sz w:val="20"/>
              </w:rPr>
              <w:t>Question</w:t>
            </w:r>
          </w:p>
        </w:tc>
        <w:tc>
          <w:tcPr>
            <w:tcW w:type="dxa" w:w="2167"/>
            <w:shd w:val="clear" w:color="auto" w:fill="E8EEF6"/>
          </w:tcPr>
          <w:p>
            <w:pPr>
              <w:spacing w:after="40" w:line="240" w:lineRule="auto"/>
              <w:jc w:val="center"/>
            </w:pPr>
            <w:r/>
            <w:r>
              <w:rPr>
                <w:b/>
                <w:sz w:val="20"/>
              </w:rPr>
              <w:t>Data</w:t>
            </w:r>
          </w:p>
        </w:tc>
        <w:tc>
          <w:tcPr>
            <w:tcW w:type="dxa" w:w="2167"/>
            <w:shd w:val="clear" w:color="auto" w:fill="E8EEF6"/>
          </w:tcPr>
          <w:p>
            <w:pPr>
              <w:spacing w:after="40" w:line="240" w:lineRule="auto"/>
              <w:jc w:val="center"/>
            </w:pPr>
            <w:r/>
            <w:r>
              <w:rPr>
                <w:b/>
                <w:sz w:val="20"/>
              </w:rPr>
              <w:t>Primary metric</w:t>
            </w:r>
          </w:p>
        </w:tc>
      </w:tr>
      <w:tr>
        <w:tc>
          <w:tcPr>
            <w:tcW w:type="dxa" w:w="2167"/>
          </w:tcPr>
          <w:p>
            <w:pPr>
              <w:spacing w:after="40" w:line="240" w:lineRule="auto"/>
              <w:jc w:val="left"/>
            </w:pPr>
            <w:r/>
            <w:r>
              <w:rPr>
                <w:b w:val="0"/>
                <w:sz w:val="20"/>
              </w:rPr>
              <w:t>E1</w:t>
            </w:r>
          </w:p>
        </w:tc>
        <w:tc>
          <w:tcPr>
            <w:tcW w:type="dxa" w:w="2167"/>
          </w:tcPr>
          <w:p>
            <w:pPr>
              <w:spacing w:after="40" w:line="240" w:lineRule="auto"/>
              <w:jc w:val="center"/>
            </w:pPr>
            <w:r/>
            <w:r>
              <w:rPr>
                <w:b w:val="0"/>
                <w:sz w:val="20"/>
              </w:rPr>
              <w:t>Does the hybrid beat its own components?</w:t>
            </w:r>
          </w:p>
        </w:tc>
        <w:tc>
          <w:tcPr>
            <w:tcW w:type="dxa" w:w="2167"/>
          </w:tcPr>
          <w:p>
            <w:pPr>
              <w:spacing w:after="40" w:line="240" w:lineRule="auto"/>
              <w:jc w:val="center"/>
            </w:pPr>
            <w:r/>
            <w:r>
              <w:rPr>
                <w:b w:val="0"/>
                <w:sz w:val="20"/>
              </w:rPr>
              <w:t>8,000-customer dataset</w:t>
            </w:r>
          </w:p>
        </w:tc>
        <w:tc>
          <w:tcPr>
            <w:tcW w:type="dxa" w:w="2167"/>
          </w:tcPr>
          <w:p>
            <w:pPr>
              <w:spacing w:after="40" w:line="240" w:lineRule="auto"/>
              <w:jc w:val="center"/>
            </w:pPr>
            <w:r/>
            <w:r>
              <w:rPr>
                <w:b w:val="0"/>
                <w:sz w:val="20"/>
              </w:rPr>
              <w:t>Conversion separation, silhouette</w:t>
            </w:r>
          </w:p>
        </w:tc>
      </w:tr>
      <w:tr>
        <w:tc>
          <w:tcPr>
            <w:tcW w:type="dxa" w:w="2167"/>
          </w:tcPr>
          <w:p>
            <w:pPr>
              <w:spacing w:after="40" w:line="240" w:lineRule="auto"/>
              <w:jc w:val="left"/>
            </w:pPr>
            <w:r/>
            <w:r>
              <w:rPr>
                <w:b w:val="0"/>
                <w:sz w:val="20"/>
              </w:rPr>
              <w:t>E2</w:t>
            </w:r>
          </w:p>
        </w:tc>
        <w:tc>
          <w:tcPr>
            <w:tcW w:type="dxa" w:w="2167"/>
          </w:tcPr>
          <w:p>
            <w:pPr>
              <w:spacing w:after="40" w:line="240" w:lineRule="auto"/>
              <w:jc w:val="center"/>
            </w:pPr>
            <w:r/>
            <w:r>
              <w:rPr>
                <w:b w:val="0"/>
                <w:sz w:val="20"/>
              </w:rPr>
              <w:t>The two Module 1 defects, reproduced</w:t>
            </w:r>
          </w:p>
        </w:tc>
        <w:tc>
          <w:tcPr>
            <w:tcW w:type="dxa" w:w="2167"/>
          </w:tcPr>
          <w:p>
            <w:pPr>
              <w:spacing w:after="40" w:line="240" w:lineRule="auto"/>
              <w:jc w:val="center"/>
            </w:pPr>
            <w:r/>
            <w:r>
              <w:rPr>
                <w:b w:val="0"/>
                <w:sz w:val="20"/>
              </w:rPr>
              <w:t>8,000-customer dataset</w:t>
            </w:r>
          </w:p>
        </w:tc>
        <w:tc>
          <w:tcPr>
            <w:tcW w:type="dxa" w:w="2167"/>
          </w:tcPr>
          <w:p>
            <w:pPr>
              <w:spacing w:after="40" w:line="240" w:lineRule="auto"/>
              <w:jc w:val="center"/>
            </w:pPr>
            <w:r/>
            <w:r>
              <w:rPr>
                <w:b w:val="0"/>
                <w:sz w:val="20"/>
              </w:rPr>
              <w:t>Segment survival, accuracy, certainty</w:t>
            </w:r>
          </w:p>
        </w:tc>
      </w:tr>
      <w:tr>
        <w:tc>
          <w:tcPr>
            <w:tcW w:type="dxa" w:w="2167"/>
          </w:tcPr>
          <w:p>
            <w:pPr>
              <w:spacing w:after="40" w:line="240" w:lineRule="auto"/>
              <w:jc w:val="left"/>
            </w:pPr>
            <w:r/>
            <w:r>
              <w:rPr>
                <w:b w:val="0"/>
                <w:sz w:val="20"/>
              </w:rPr>
              <w:t>E3</w:t>
            </w:r>
          </w:p>
        </w:tc>
        <w:tc>
          <w:tcPr>
            <w:tcW w:type="dxa" w:w="2167"/>
          </w:tcPr>
          <w:p>
            <w:pPr>
              <w:spacing w:after="40" w:line="240" w:lineRule="auto"/>
              <w:jc w:val="center"/>
            </w:pPr>
            <w:r/>
            <w:r>
              <w:rPr>
                <w:b w:val="0"/>
                <w:sz w:val="20"/>
              </w:rPr>
              <w:t>Which automation policy wins, and at what cost?</w:t>
            </w:r>
          </w:p>
        </w:tc>
        <w:tc>
          <w:tcPr>
            <w:tcW w:type="dxa" w:w="2167"/>
          </w:tcPr>
          <w:p>
            <w:pPr>
              <w:spacing w:after="40" w:line="240" w:lineRule="auto"/>
              <w:jc w:val="center"/>
            </w:pPr>
            <w:r/>
            <w:r>
              <w:rPr>
                <w:b w:val="0"/>
                <w:sz w:val="20"/>
              </w:rPr>
              <w:t>Module 2 simulator, 30 paired seeds + live build</w:t>
            </w:r>
          </w:p>
        </w:tc>
        <w:tc>
          <w:tcPr>
            <w:tcW w:type="dxa" w:w="2167"/>
          </w:tcPr>
          <w:p>
            <w:pPr>
              <w:spacing w:after="40" w:line="240" w:lineRule="auto"/>
              <w:jc w:val="center"/>
            </w:pPr>
            <w:r/>
            <w:r>
              <w:rPr>
                <w:b w:val="0"/>
                <w:sz w:val="20"/>
              </w:rPr>
              <w:t>Conversions per 1,000 sends</w:t>
            </w:r>
          </w:p>
        </w:tc>
      </w:tr>
      <w:tr>
        <w:tc>
          <w:tcPr>
            <w:tcW w:type="dxa" w:w="2167"/>
          </w:tcPr>
          <w:p>
            <w:pPr>
              <w:spacing w:after="40" w:line="240" w:lineRule="auto"/>
              <w:jc w:val="left"/>
            </w:pPr>
            <w:r/>
            <w:r>
              <w:rPr>
                <w:b w:val="0"/>
                <w:sz w:val="20"/>
              </w:rPr>
              <w:t>E4</w:t>
            </w:r>
          </w:p>
        </w:tc>
        <w:tc>
          <w:tcPr>
            <w:tcW w:type="dxa" w:w="2167"/>
          </w:tcPr>
          <w:p>
            <w:pPr>
              <w:spacing w:after="40" w:line="240" w:lineRule="auto"/>
              <w:jc w:val="center"/>
            </w:pPr>
            <w:r/>
            <w:r>
              <w:rPr>
                <w:b w:val="0"/>
                <w:sz w:val="20"/>
              </w:rPr>
              <w:t>Do the attribution models agree?</w:t>
            </w:r>
          </w:p>
        </w:tc>
        <w:tc>
          <w:tcPr>
            <w:tcW w:type="dxa" w:w="2167"/>
          </w:tcPr>
          <w:p>
            <w:pPr>
              <w:spacing w:after="40" w:line="240" w:lineRule="auto"/>
              <w:jc w:val="center"/>
            </w:pPr>
            <w:r/>
            <w:r>
              <w:rPr>
                <w:b w:val="0"/>
                <w:sz w:val="20"/>
              </w:rPr>
              <w:t>Module 3 simulator + 7,811 live journeys</w:t>
            </w:r>
          </w:p>
        </w:tc>
        <w:tc>
          <w:tcPr>
            <w:tcW w:type="dxa" w:w="2167"/>
          </w:tcPr>
          <w:p>
            <w:pPr>
              <w:spacing w:after="40" w:line="240" w:lineRule="auto"/>
              <w:jc w:val="center"/>
            </w:pPr>
            <w:r/>
            <w:r>
              <w:rPr>
                <w:b w:val="0"/>
                <w:sz w:val="20"/>
              </w:rPr>
              <w:t>MAE vs ground truth; pairwise disagreement</w:t>
            </w:r>
          </w:p>
        </w:tc>
      </w:tr>
      <w:tr>
        <w:tc>
          <w:tcPr>
            <w:tcW w:type="dxa" w:w="2167"/>
          </w:tcPr>
          <w:p>
            <w:pPr>
              <w:spacing w:after="40" w:line="240" w:lineRule="auto"/>
              <w:jc w:val="left"/>
            </w:pPr>
            <w:r/>
            <w:r>
              <w:rPr>
                <w:b w:val="0"/>
                <w:sz w:val="20"/>
              </w:rPr>
              <w:t>E5</w:t>
            </w:r>
          </w:p>
        </w:tc>
        <w:tc>
          <w:tcPr>
            <w:tcW w:type="dxa" w:w="2167"/>
          </w:tcPr>
          <w:p>
            <w:pPr>
              <w:spacing w:after="40" w:line="240" w:lineRule="auto"/>
              <w:jc w:val="center"/>
            </w:pPr>
            <w:r/>
            <w:r>
              <w:rPr>
                <w:b w:val="0"/>
                <w:sz w:val="20"/>
              </w:rPr>
              <w:t>Prediction quality, and its transfer</w:t>
            </w:r>
          </w:p>
        </w:tc>
        <w:tc>
          <w:tcPr>
            <w:tcW w:type="dxa" w:w="2167"/>
          </w:tcPr>
          <w:p>
            <w:pPr>
              <w:spacing w:after="40" w:line="240" w:lineRule="auto"/>
              <w:jc w:val="center"/>
            </w:pPr>
            <w:r/>
            <w:r>
              <w:rPr>
                <w:b w:val="0"/>
                <w:sz w:val="20"/>
              </w:rPr>
              <w:t>Module 3 features + imported audience</w:t>
            </w:r>
          </w:p>
        </w:tc>
        <w:tc>
          <w:tcPr>
            <w:tcW w:type="dxa" w:w="2167"/>
          </w:tcPr>
          <w:p>
            <w:pPr>
              <w:spacing w:after="40" w:line="240" w:lineRule="auto"/>
              <w:jc w:val="center"/>
            </w:pPr>
            <w:r/>
            <w:r>
              <w:rPr>
                <w:b w:val="0"/>
                <w:sz w:val="20"/>
              </w:rPr>
              <w:t>ROC-AUC against a stratified baseline</w:t>
            </w:r>
          </w:p>
        </w:tc>
      </w:tr>
      <w:tr>
        <w:tc>
          <w:tcPr>
            <w:tcW w:type="dxa" w:w="2167"/>
          </w:tcPr>
          <w:p>
            <w:pPr>
              <w:spacing w:after="40" w:line="240" w:lineRule="auto"/>
              <w:jc w:val="left"/>
            </w:pPr>
            <w:r/>
            <w:r>
              <w:rPr>
                <w:b w:val="0"/>
                <w:sz w:val="20"/>
              </w:rPr>
              <w:t>E6</w:t>
            </w:r>
          </w:p>
        </w:tc>
        <w:tc>
          <w:tcPr>
            <w:tcW w:type="dxa" w:w="2167"/>
          </w:tcPr>
          <w:p>
            <w:pPr>
              <w:spacing w:after="40" w:line="240" w:lineRule="auto"/>
              <w:jc w:val="center"/>
            </w:pPr>
            <w:r/>
            <w:r>
              <w:rPr>
                <w:b w:val="0"/>
                <w:sz w:val="20"/>
              </w:rPr>
              <w:t>TF-IDF versus Sentence-BERT</w:t>
            </w:r>
          </w:p>
        </w:tc>
        <w:tc>
          <w:tcPr>
            <w:tcW w:type="dxa" w:w="2167"/>
          </w:tcPr>
          <w:p>
            <w:pPr>
              <w:spacing w:after="40" w:line="240" w:lineRule="auto"/>
              <w:jc w:val="center"/>
            </w:pPr>
            <w:r/>
            <w:r>
              <w:rPr>
                <w:b w:val="0"/>
                <w:sz w:val="20"/>
              </w:rPr>
              <w:t>527-row goal/tone corpus</w:t>
            </w:r>
          </w:p>
        </w:tc>
        <w:tc>
          <w:tcPr>
            <w:tcW w:type="dxa" w:w="2167"/>
          </w:tcPr>
          <w:p>
            <w:pPr>
              <w:spacing w:after="40" w:line="240" w:lineRule="auto"/>
              <w:jc w:val="center"/>
            </w:pPr>
            <w:r/>
            <w:r>
              <w:rPr>
                <w:b w:val="0"/>
                <w:sz w:val="20"/>
              </w:rPr>
              <w:t>Macro-F1, exact McNemar</w:t>
            </w:r>
          </w:p>
        </w:tc>
      </w:tr>
      <w:tr>
        <w:tc>
          <w:tcPr>
            <w:tcW w:type="dxa" w:w="2167"/>
          </w:tcPr>
          <w:p>
            <w:pPr>
              <w:spacing w:after="40" w:line="240" w:lineRule="auto"/>
              <w:jc w:val="left"/>
            </w:pPr>
            <w:r/>
            <w:r>
              <w:rPr>
                <w:b w:val="0"/>
                <w:sz w:val="20"/>
              </w:rPr>
              <w:t>E7</w:t>
            </w:r>
          </w:p>
        </w:tc>
        <w:tc>
          <w:tcPr>
            <w:tcW w:type="dxa" w:w="2167"/>
          </w:tcPr>
          <w:p>
            <w:pPr>
              <w:spacing w:after="40" w:line="240" w:lineRule="auto"/>
              <w:jc w:val="center"/>
            </w:pPr>
            <w:r/>
            <w:r>
              <w:rPr>
                <w:b w:val="0"/>
                <w:sz w:val="20"/>
              </w:rPr>
              <w:t>Engagement leakage and text signal</w:t>
            </w:r>
          </w:p>
        </w:tc>
        <w:tc>
          <w:tcPr>
            <w:tcW w:type="dxa" w:w="2167"/>
          </w:tcPr>
          <w:p>
            <w:pPr>
              <w:spacing w:after="40" w:line="240" w:lineRule="auto"/>
              <w:jc w:val="center"/>
            </w:pPr>
            <w:r/>
            <w:r>
              <w:rPr>
                <w:b w:val="0"/>
                <w:sz w:val="20"/>
              </w:rPr>
              <w:t>12,000-row engagement corpus</w:t>
            </w:r>
          </w:p>
        </w:tc>
        <w:tc>
          <w:tcPr>
            <w:tcW w:type="dxa" w:w="2167"/>
          </w:tcPr>
          <w:p>
            <w:pPr>
              <w:spacing w:after="40" w:line="240" w:lineRule="auto"/>
              <w:jc w:val="center"/>
            </w:pPr>
            <w:r/>
            <w:r>
              <w:rPr>
                <w:b w:val="0"/>
                <w:sz w:val="20"/>
              </w:rPr>
              <w:t>R², Spearman, Holm–Bonferroni</w:t>
            </w:r>
          </w:p>
        </w:tc>
      </w:tr>
      <w:tr>
        <w:tc>
          <w:tcPr>
            <w:tcW w:type="dxa" w:w="2167"/>
          </w:tcPr>
          <w:p>
            <w:pPr>
              <w:spacing w:after="40" w:line="240" w:lineRule="auto"/>
              <w:jc w:val="left"/>
            </w:pPr>
            <w:r/>
            <w:r>
              <w:rPr>
                <w:b w:val="0"/>
                <w:sz w:val="20"/>
              </w:rPr>
              <w:t>E8</w:t>
            </w:r>
          </w:p>
        </w:tc>
        <w:tc>
          <w:tcPr>
            <w:tcW w:type="dxa" w:w="2167"/>
          </w:tcPr>
          <w:p>
            <w:pPr>
              <w:spacing w:after="40" w:line="240" w:lineRule="auto"/>
              <w:jc w:val="center"/>
            </w:pPr>
            <w:r/>
            <w:r>
              <w:rPr>
                <w:b w:val="0"/>
                <w:sz w:val="20"/>
              </w:rPr>
              <w:t>Targeting by uplift versus by predicted response</w:t>
            </w:r>
          </w:p>
        </w:tc>
        <w:tc>
          <w:tcPr>
            <w:tcW w:type="dxa" w:w="2167"/>
          </w:tcPr>
          <w:p>
            <w:pPr>
              <w:spacing w:after="40" w:line="240" w:lineRule="auto"/>
              <w:jc w:val="center"/>
            </w:pPr>
            <w:r/>
            <w:r>
              <w:rPr>
                <w:b w:val="0"/>
                <w:sz w:val="20"/>
              </w:rPr>
              <w:t>Hillstrom, 64,000 randomised</w:t>
            </w:r>
          </w:p>
        </w:tc>
        <w:tc>
          <w:tcPr>
            <w:tcW w:type="dxa" w:w="2167"/>
          </w:tcPr>
          <w:p>
            <w:pPr>
              <w:spacing w:after="40" w:line="240" w:lineRule="auto"/>
              <w:jc w:val="center"/>
            </w:pPr>
            <w:r/>
            <w:r>
              <w:rPr>
                <w:b w:val="0"/>
                <w:sz w:val="20"/>
              </w:rPr>
              <w:t>Qini, incremental response</w:t>
            </w:r>
          </w:p>
        </w:tc>
      </w:tr>
      <w:tr>
        <w:tc>
          <w:tcPr>
            <w:tcW w:type="dxa" w:w="2167"/>
          </w:tcPr>
          <w:p>
            <w:pPr>
              <w:spacing w:after="40" w:line="240" w:lineRule="auto"/>
              <w:jc w:val="left"/>
            </w:pPr>
            <w:r/>
            <w:r>
              <w:rPr>
                <w:b w:val="0"/>
                <w:sz w:val="20"/>
              </w:rPr>
              <w:t>E9</w:t>
            </w:r>
          </w:p>
        </w:tc>
        <w:tc>
          <w:tcPr>
            <w:tcW w:type="dxa" w:w="2167"/>
          </w:tcPr>
          <w:p>
            <w:pPr>
              <w:spacing w:after="40" w:line="240" w:lineRule="auto"/>
              <w:jc w:val="center"/>
            </w:pPr>
            <w:r/>
            <w:r>
              <w:rPr>
                <w:b w:val="0"/>
                <w:sz w:val="20"/>
              </w:rPr>
              <w:t>Does the decision log make the policy learnable?</w:t>
            </w:r>
          </w:p>
        </w:tc>
        <w:tc>
          <w:tcPr>
            <w:tcW w:type="dxa" w:w="2167"/>
          </w:tcPr>
          <w:p>
            <w:pPr>
              <w:spacing w:after="40" w:line="240" w:lineRule="auto"/>
              <w:jc w:val="center"/>
            </w:pPr>
            <w:r/>
            <w:r>
              <w:rPr>
                <w:b w:val="0"/>
                <w:sz w:val="20"/>
              </w:rPr>
              <w:t>Simulated world with known rewards</w:t>
            </w:r>
          </w:p>
        </w:tc>
        <w:tc>
          <w:tcPr>
            <w:tcW w:type="dxa" w:w="2167"/>
          </w:tcPr>
          <w:p>
            <w:pPr>
              <w:spacing w:after="40" w:line="240" w:lineRule="auto"/>
              <w:jc w:val="center"/>
            </w:pPr>
            <w:r/>
            <w:r>
              <w:rPr>
                <w:b w:val="0"/>
                <w:sz w:val="20"/>
              </w:rPr>
              <w:t>Estimator bias, RMSE, effective sample size</w:t>
            </w:r>
          </w:p>
        </w:tc>
      </w:tr>
      <w:tr>
        <w:tc>
          <w:tcPr>
            <w:tcW w:type="dxa" w:w="2167"/>
          </w:tcPr>
          <w:p>
            <w:pPr>
              <w:spacing w:after="40" w:line="240" w:lineRule="auto"/>
              <w:jc w:val="left"/>
            </w:pPr>
            <w:r/>
            <w:r>
              <w:rPr>
                <w:b w:val="0"/>
                <w:sz w:val="20"/>
              </w:rPr>
              <w:t>E10</w:t>
            </w:r>
          </w:p>
        </w:tc>
        <w:tc>
          <w:tcPr>
            <w:tcW w:type="dxa" w:w="2167"/>
          </w:tcPr>
          <w:p>
            <w:pPr>
              <w:spacing w:after="40" w:line="240" w:lineRule="auto"/>
              <w:jc w:val="center"/>
            </w:pPr>
            <w:r/>
            <w:r>
              <w:rPr>
                <w:b w:val="0"/>
                <w:sz w:val="20"/>
              </w:rPr>
              <w:t>Can the system read what a website can do?</w:t>
            </w:r>
          </w:p>
        </w:tc>
        <w:tc>
          <w:tcPr>
            <w:tcW w:type="dxa" w:w="2167"/>
          </w:tcPr>
          <w:p>
            <w:pPr>
              <w:spacing w:after="40" w:line="240" w:lineRule="auto"/>
              <w:jc w:val="center"/>
            </w:pPr>
            <w:r/>
            <w:r>
              <w:rPr>
                <w:b w:val="0"/>
                <w:sz w:val="20"/>
              </w:rPr>
              <w:t>15 real websites, hand-labelled</w:t>
            </w:r>
          </w:p>
        </w:tc>
        <w:tc>
          <w:tcPr>
            <w:tcW w:type="dxa" w:w="2167"/>
          </w:tcPr>
          <w:p>
            <w:pPr>
              <w:spacing w:after="40" w:line="240" w:lineRule="auto"/>
              <w:jc w:val="center"/>
            </w:pPr>
            <w:r/>
            <w:r>
              <w:rPr>
                <w:b w:val="0"/>
                <w:sz w:val="20"/>
              </w:rPr>
              <w:t>Agreement, precision, recall (Wilson)</w:t>
            </w:r>
          </w:p>
        </w:tc>
      </w:tr>
      <w:tr>
        <w:tc>
          <w:tcPr>
            <w:tcW w:type="dxa" w:w="2167"/>
          </w:tcPr>
          <w:p>
            <w:pPr>
              <w:spacing w:after="40" w:line="240" w:lineRule="auto"/>
              <w:jc w:val="left"/>
            </w:pPr>
            <w:r/>
            <w:r>
              <w:rPr>
                <w:b w:val="0"/>
                <w:sz w:val="20"/>
              </w:rPr>
              <w:t>E11</w:t>
            </w:r>
          </w:p>
        </w:tc>
        <w:tc>
          <w:tcPr>
            <w:tcW w:type="dxa" w:w="2167"/>
          </w:tcPr>
          <w:p>
            <w:pPr>
              <w:spacing w:after="40" w:line="240" w:lineRule="auto"/>
              <w:jc w:val="center"/>
            </w:pPr>
            <w:r/>
            <w:r>
              <w:rPr>
                <w:b w:val="0"/>
                <w:sz w:val="20"/>
              </w:rPr>
              <w:t>What a per-website action set costs in data</w:t>
            </w:r>
          </w:p>
        </w:tc>
        <w:tc>
          <w:tcPr>
            <w:tcW w:type="dxa" w:w="2167"/>
          </w:tcPr>
          <w:p>
            <w:pPr>
              <w:spacing w:after="40" w:line="240" w:lineRule="auto"/>
              <w:jc w:val="center"/>
            </w:pPr>
            <w:r/>
            <w:r>
              <w:rPr>
                <w:b w:val="0"/>
                <w:sz w:val="20"/>
              </w:rPr>
              <w:t>Simulated world with known rewards</w:t>
            </w:r>
          </w:p>
        </w:tc>
        <w:tc>
          <w:tcPr>
            <w:tcW w:type="dxa" w:w="2167"/>
          </w:tcPr>
          <w:p>
            <w:pPr>
              <w:spacing w:after="40" w:line="240" w:lineRule="auto"/>
              <w:jc w:val="center"/>
            </w:pPr>
            <w:r/>
            <w:r>
              <w:rPr>
                <w:b w:val="0"/>
                <w:sz w:val="20"/>
              </w:rPr>
              <w:t>RMSE, logged decisions required</w:t>
            </w:r>
          </w:p>
        </w:tc>
      </w:tr>
    </w:tbl>
    <w:p>
      <w:pPr>
        <w:spacing w:after="120"/>
      </w:pPr>
    </w:p>
    <w:p>
      <w:pPr>
        <w:pStyle w:val="Heading2"/>
      </w:pPr>
      <w:r>
        <w:t>B.4 Statistical Methods</w:t>
      </w:r>
    </w:p>
    <w:p>
      <w:r>
        <w:t>Every interval and every test in Chapter 7 comes from `research/stats.py`. Each method was chosen because it makes the fewest assumptions the data can violate.</w:t>
      </w:r>
    </w:p>
    <w:p>
      <w:pPr>
        <w:pStyle w:val="TableCaption"/>
      </w:pPr>
      <w:r>
        <w:rPr>
          <w:b w:val="0"/>
          <w:i w:val="0"/>
        </w:rPr>
        <w:t>Table 35 — Statistical methods, and why each was chosen.</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Method</w:t>
            </w:r>
          </w:p>
        </w:tc>
        <w:tc>
          <w:tcPr>
            <w:tcW w:type="dxa" w:w="2890"/>
            <w:shd w:val="clear" w:color="auto" w:fill="E8EEF6"/>
          </w:tcPr>
          <w:p>
            <w:pPr>
              <w:spacing w:after="40" w:line="240" w:lineRule="auto"/>
              <w:jc w:val="center"/>
            </w:pPr>
            <w:r/>
            <w:r>
              <w:rPr>
                <w:b/>
                <w:sz w:val="20"/>
              </w:rPr>
              <w:t>Applied to</w:t>
            </w:r>
          </w:p>
        </w:tc>
        <w:tc>
          <w:tcPr>
            <w:tcW w:type="dxa" w:w="2890"/>
            <w:shd w:val="clear" w:color="auto" w:fill="E8EEF6"/>
          </w:tcPr>
          <w:p>
            <w:pPr>
              <w:spacing w:after="40" w:line="240" w:lineRule="auto"/>
              <w:jc w:val="center"/>
            </w:pPr>
            <w:r/>
            <w:r>
              <w:rPr>
                <w:b/>
                <w:sz w:val="20"/>
              </w:rPr>
              <w:t>Why this one</w:t>
            </w:r>
          </w:p>
        </w:tc>
      </w:tr>
      <w:tr>
        <w:tc>
          <w:tcPr>
            <w:tcW w:type="dxa" w:w="2890"/>
          </w:tcPr>
          <w:p>
            <w:pPr>
              <w:spacing w:after="40" w:line="240" w:lineRule="auto"/>
              <w:jc w:val="left"/>
            </w:pPr>
            <w:r/>
            <w:r>
              <w:rPr>
                <w:b w:val="0"/>
                <w:sz w:val="20"/>
              </w:rPr>
              <w:t>Percentile bootstrap, 10,000 resamples [52]</w:t>
            </w:r>
          </w:p>
        </w:tc>
        <w:tc>
          <w:tcPr>
            <w:tcW w:type="dxa" w:w="2890"/>
          </w:tcPr>
          <w:p>
            <w:pPr>
              <w:spacing w:after="40" w:line="240" w:lineRule="auto"/>
              <w:jc w:val="center"/>
            </w:pPr>
            <w:r/>
            <w:r>
              <w:rPr>
                <w:b w:val="0"/>
                <w:sz w:val="20"/>
              </w:rPr>
              <w:t>Separation, silhouette, macro-F1, MAE, Qini</w:t>
            </w:r>
          </w:p>
        </w:tc>
        <w:tc>
          <w:tcPr>
            <w:tcW w:type="dxa" w:w="2890"/>
          </w:tcPr>
          <w:p>
            <w:pPr>
              <w:spacing w:after="40" w:line="240" w:lineRule="auto"/>
              <w:jc w:val="center"/>
            </w:pPr>
            <w:r/>
            <w:r>
              <w:rPr>
                <w:b w:val="0"/>
                <w:sz w:val="20"/>
              </w:rPr>
              <w:t>These are not means and have no closed-form standard error; resampling makes no distributional claim</w:t>
            </w:r>
          </w:p>
        </w:tc>
      </w:tr>
      <w:tr>
        <w:tc>
          <w:tcPr>
            <w:tcW w:type="dxa" w:w="2890"/>
          </w:tcPr>
          <w:p>
            <w:pPr>
              <w:spacing w:after="40" w:line="240" w:lineRule="auto"/>
              <w:jc w:val="left"/>
            </w:pPr>
            <w:r/>
            <w:r>
              <w:rPr>
                <w:b w:val="0"/>
                <w:sz w:val="20"/>
              </w:rPr>
              <w:t>Paired bootstrap and Wilcoxon signed-rank [65]</w:t>
            </w:r>
          </w:p>
        </w:tc>
        <w:tc>
          <w:tcPr>
            <w:tcW w:type="dxa" w:w="2890"/>
          </w:tcPr>
          <w:p>
            <w:pPr>
              <w:spacing w:after="40" w:line="240" w:lineRule="auto"/>
              <w:jc w:val="center"/>
            </w:pPr>
            <w:r/>
            <w:r>
              <w:rPr>
                <w:b w:val="0"/>
                <w:sz w:val="20"/>
              </w:rPr>
              <w:t>The three-policy comparison over 30 seeds</w:t>
            </w:r>
          </w:p>
        </w:tc>
        <w:tc>
          <w:tcPr>
            <w:tcW w:type="dxa" w:w="2890"/>
          </w:tcPr>
          <w:p>
            <w:pPr>
              <w:spacing w:after="40" w:line="240" w:lineRule="auto"/>
              <w:jc w:val="center"/>
            </w:pPr>
            <w:r/>
            <w:r>
              <w:rPr>
                <w:b w:val="0"/>
                <w:sz w:val="20"/>
              </w:rPr>
              <w:t>The same customers pass through every policy, so the runs are paired; ignoring that overstates the p-value</w:t>
            </w:r>
          </w:p>
        </w:tc>
      </w:tr>
      <w:tr>
        <w:tc>
          <w:tcPr>
            <w:tcW w:type="dxa" w:w="2890"/>
          </w:tcPr>
          <w:p>
            <w:pPr>
              <w:spacing w:after="40" w:line="240" w:lineRule="auto"/>
              <w:jc w:val="left"/>
            </w:pPr>
            <w:r/>
            <w:r>
              <w:rPr>
                <w:b w:val="0"/>
                <w:sz w:val="20"/>
              </w:rPr>
              <w:t>Exact McNemar [30]</w:t>
            </w:r>
          </w:p>
        </w:tc>
        <w:tc>
          <w:tcPr>
            <w:tcW w:type="dxa" w:w="2890"/>
          </w:tcPr>
          <w:p>
            <w:pPr>
              <w:spacing w:after="40" w:line="240" w:lineRule="auto"/>
              <w:jc w:val="center"/>
            </w:pPr>
            <w:r/>
            <w:r>
              <w:rPr>
                <w:b w:val="0"/>
                <w:sz w:val="20"/>
              </w:rPr>
              <w:t>TF-IDF against Sentence-BERT</w:t>
            </w:r>
          </w:p>
        </w:tc>
        <w:tc>
          <w:tcPr>
            <w:tcW w:type="dxa" w:w="2890"/>
          </w:tcPr>
          <w:p>
            <w:pPr>
              <w:spacing w:after="40" w:line="240" w:lineRule="auto"/>
              <w:jc w:val="center"/>
            </w:pPr>
            <w:r/>
            <w:r>
              <w:rPr>
                <w:b w:val="0"/>
                <w:sz w:val="20"/>
              </w:rPr>
              <w:t>Two classifiers on one test set: only the disagreements carry information, and the exact binomial is correct at this sample size</w:t>
            </w:r>
          </w:p>
        </w:tc>
      </w:tr>
      <w:tr>
        <w:tc>
          <w:tcPr>
            <w:tcW w:type="dxa" w:w="2890"/>
          </w:tcPr>
          <w:p>
            <w:pPr>
              <w:spacing w:after="40" w:line="240" w:lineRule="auto"/>
              <w:jc w:val="left"/>
            </w:pPr>
            <w:r/>
            <w:r>
              <w:rPr>
                <w:b w:val="0"/>
                <w:sz w:val="20"/>
              </w:rPr>
              <w:t>Cliff's delta [34]</w:t>
            </w:r>
          </w:p>
        </w:tc>
        <w:tc>
          <w:tcPr>
            <w:tcW w:type="dxa" w:w="2890"/>
          </w:tcPr>
          <w:p>
            <w:pPr>
              <w:spacing w:after="40" w:line="240" w:lineRule="auto"/>
              <w:jc w:val="center"/>
            </w:pPr>
            <w:r/>
            <w:r>
              <w:rPr>
                <w:b w:val="0"/>
                <w:sz w:val="20"/>
              </w:rPr>
              <w:t>Every paired policy comparison</w:t>
            </w:r>
          </w:p>
        </w:tc>
        <w:tc>
          <w:tcPr>
            <w:tcW w:type="dxa" w:w="2890"/>
          </w:tcPr>
          <w:p>
            <w:pPr>
              <w:spacing w:after="40" w:line="240" w:lineRule="auto"/>
              <w:jc w:val="center"/>
            </w:pPr>
            <w:r/>
            <w:r>
              <w:rPr>
                <w:b w:val="0"/>
                <w:sz w:val="20"/>
              </w:rPr>
              <w:t>With thirty seeds almost any difference is significant; the effect size says whether it matters</w:t>
            </w:r>
          </w:p>
        </w:tc>
      </w:tr>
      <w:tr>
        <w:tc>
          <w:tcPr>
            <w:tcW w:type="dxa" w:w="2890"/>
          </w:tcPr>
          <w:p>
            <w:pPr>
              <w:spacing w:after="40" w:line="240" w:lineRule="auto"/>
              <w:jc w:val="left"/>
            </w:pPr>
            <w:r/>
            <w:r>
              <w:rPr>
                <w:b w:val="0"/>
                <w:sz w:val="20"/>
              </w:rPr>
              <w:t>Wilson score interval [64]</w:t>
            </w:r>
          </w:p>
        </w:tc>
        <w:tc>
          <w:tcPr>
            <w:tcW w:type="dxa" w:w="2890"/>
          </w:tcPr>
          <w:p>
            <w:pPr>
              <w:spacing w:after="40" w:line="240" w:lineRule="auto"/>
              <w:jc w:val="center"/>
            </w:pPr>
            <w:r/>
            <w:r>
              <w:rPr>
                <w:b w:val="0"/>
                <w:sz w:val="20"/>
              </w:rPr>
              <w:t>Capability-detection agreement</w:t>
            </w:r>
          </w:p>
        </w:tc>
        <w:tc>
          <w:tcPr>
            <w:tcW w:type="dxa" w:w="2890"/>
          </w:tcPr>
          <w:p>
            <w:pPr>
              <w:spacing w:after="40" w:line="240" w:lineRule="auto"/>
              <w:jc w:val="center"/>
            </w:pPr>
            <w:r/>
            <w:r>
              <w:rPr>
                <w:b w:val="0"/>
                <w:sz w:val="20"/>
              </w:rPr>
              <w:t>Correct near a proportion of 1.0, where the normal approximation produces impossible bounds</w:t>
            </w:r>
          </w:p>
        </w:tc>
      </w:tr>
      <w:tr>
        <w:tc>
          <w:tcPr>
            <w:tcW w:type="dxa" w:w="2890"/>
          </w:tcPr>
          <w:p>
            <w:pPr>
              <w:spacing w:after="40" w:line="240" w:lineRule="auto"/>
              <w:jc w:val="left"/>
            </w:pPr>
            <w:r/>
            <w:r>
              <w:rPr>
                <w:b w:val="0"/>
                <w:sz w:val="20"/>
              </w:rPr>
              <w:t>Holm–Bonferroni correction [20]</w:t>
            </w:r>
          </w:p>
        </w:tc>
        <w:tc>
          <w:tcPr>
            <w:tcW w:type="dxa" w:w="2890"/>
          </w:tcPr>
          <w:p>
            <w:pPr>
              <w:spacing w:after="40" w:line="240" w:lineRule="auto"/>
              <w:jc w:val="center"/>
            </w:pPr>
            <w:r/>
            <w:r>
              <w:rPr>
                <w:b w:val="0"/>
                <w:sz w:val="20"/>
              </w:rPr>
              <w:t>The eight engagement text features</w:t>
            </w:r>
          </w:p>
        </w:tc>
        <w:tc>
          <w:tcPr>
            <w:tcW w:type="dxa" w:w="2890"/>
          </w:tcPr>
          <w:p>
            <w:pPr>
              <w:spacing w:after="40" w:line="240" w:lineRule="auto"/>
              <w:jc w:val="center"/>
            </w:pPr>
            <w:r/>
            <w:r>
              <w:rPr>
                <w:b w:val="0"/>
                <w:sz w:val="20"/>
              </w:rPr>
              <w:t>Testing eight features without correction would manufacture a significant one by chance</w:t>
            </w:r>
          </w:p>
        </w:tc>
      </w:tr>
    </w:tbl>
    <w:p>
      <w:pPr>
        <w:spacing w:after="120"/>
      </w:pPr>
    </w:p>
    <w:p>
      <w:pPr>
        <w:pStyle w:val="Heading2"/>
      </w:pPr>
      <w:r>
        <w:t>B.5 Reproducibility Guarantees</w:t>
      </w:r>
    </w:p>
    <w:p>
      <w:pPr>
        <w:pStyle w:val="ListBullet"/>
        <w:spacing w:after="80" w:line="312" w:lineRule="auto"/>
        <w:jc w:val="both"/>
      </w:pPr>
      <w:r>
        <w:rPr>
          <w:b/>
        </w:rPr>
        <w:t>Seeded.</w:t>
      </w:r>
      <w:r>
        <w:t xml:space="preserve"> All randomness derives from seed 42. The importer is deterministic given the source CSV and idempotent on re-run.</w:t>
      </w:r>
    </w:p>
    <w:p>
      <w:pPr>
        <w:pStyle w:val="ListBullet"/>
        <w:spacing w:after="80" w:line="312" w:lineRule="auto"/>
        <w:jc w:val="both"/>
      </w:pPr>
      <w:r>
        <w:rPr>
          <w:b/>
        </w:rPr>
        <w:t>Verified against source.</w:t>
      </w:r>
      <w:r>
        <w:t xml:space="preserve"> Import fidelity is asserted after every run: sessions, page views, time on site, clicks and purchases match the source CSV exactly.</w:t>
      </w:r>
    </w:p>
    <w:p>
      <w:pPr>
        <w:pStyle w:val="ListBullet"/>
        <w:spacing w:after="80" w:line="312" w:lineRule="auto"/>
        <w:jc w:val="both"/>
      </w:pPr>
      <w:r>
        <w:rPr>
          <w:b/>
        </w:rPr>
        <w:t>Hash-seed independent.</w:t>
      </w:r>
      <w:r>
        <w:t xml:space="preserve"> A subprocess test varies PYTHONHASHSEED and asserts the engagement result is unchanged, after defect D7 showed set iteration could alter it.</w:t>
      </w:r>
    </w:p>
    <w:p>
      <w:pPr>
        <w:pStyle w:val="ListBullet"/>
        <w:spacing w:after="80" w:line="312" w:lineRule="auto"/>
        <w:jc w:val="both"/>
      </w:pPr>
      <w:r>
        <w:rPr>
          <w:b/>
        </w:rPr>
        <w:t>Generated, not transcribed.</w:t>
      </w:r>
      <w:r>
        <w:t xml:space="preserve"> Every figure in Chapter 7 is drawn from the experiment tables and the chapter itself is rendered from `results.json`, so no value in the report is typed by hand.</w:t>
      </w:r>
    </w:p>
    <w:p>
      <w:pPr>
        <w:pStyle w:val="ListBullet"/>
        <w:spacing w:after="80" w:line="312" w:lineRule="auto"/>
        <w:jc w:val="both"/>
      </w:pPr>
      <w:r>
        <w:rPr>
          <w:b/>
        </w:rPr>
        <w:t>Verified from empty.</w:t>
      </w:r>
      <w:r>
        <w:t xml:space="preserve"> The full pipeline has been run from an empty database to a finished report, so the reproduction path is known to work and not merely intended to.</w:t>
      </w:r>
    </w:p>
    <w:p>
      <w:pPr>
        <w:pStyle w:val="Heading2"/>
      </w:pPr>
      <w:r>
        <w:t>B.6 Replacing the Screenshot Placeholders</w:t>
      </w:r>
    </w:p>
    <w:p>
      <w:r>
        <w:t>Figures 10 through 29 are placeholders showing what each capture should contain. To insert the real screenshots, save each capture over the file of the same name in `report/assets/placeholders/` and rebuild the report with `python3 report/build/report_build.py`. Nothing else changes — the captions, numbering and List of Figures are unaffected.</w:t>
      </w:r>
    </w:p>
    <w:sectPr w:rsidR="00FC693F" w:rsidRPr="0006063C" w:rsidSect="00034616">
      <w:footerReference w:type="default" r:id="rId10"/>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val="0"/>
        <w:color w:val="000000"/>
        <w:sz w:val="20"/>
      </w:rPr>
    </w:r>
    <w:r>
      <w:rPr>
        <w:rFonts w:ascii="Times New Roman" w:hAnsi="Times New Roman"/>
        <w:i w:val="0"/>
        <w:color w:val="000000"/>
        <w:sz w:val="20"/>
      </w:rPr>
      <w:fldChar w:fldCharType="begin"/>
    </w:r>
    <w:r>
      <w:rPr>
        <w:rFonts w:ascii="Times New Roman" w:hAnsi="Times New Roman"/>
        <w:i w:val="0"/>
        <w:color w:val="000000"/>
        <w:sz w:val="20"/>
      </w:rPr>
      <w:instrText xml:space="preserve"> PAGE </w:instrText>
    </w:r>
    <w:r>
      <w:rPr>
        <w:rFonts w:ascii="Times New Roman" w:hAnsi="Times New Roman"/>
        <w:i w:val="0"/>
        <w:color w:val="000000"/>
        <w:sz w:val="20"/>
      </w:rPr>
      <w:fldChar w:fldCharType="separate"/>
    </w:r>
    <w:r>
      <w:rPr>
        <w:rFonts w:ascii="Times New Roman" w:hAnsi="Times New Roman"/>
        <w:i w:val="0"/>
        <w:color w:val="000000"/>
        <w:sz w:val="20"/>
      </w:rPr>
      <w:t>1</w:t>
    </w:r>
    <w:r>
      <w:rPr>
        <w:rFonts w:ascii="Times New Roman" w:hAnsi="Times New Roman"/>
        <w:i w:val="0"/>
        <w:color w:val="00000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val="0"/>
        <w:color w:val="000000"/>
        <w:sz w:val="20"/>
      </w:rPr>
    </w:r>
    <w:r>
      <w:rPr>
        <w:rFonts w:ascii="Times New Roman" w:hAnsi="Times New Roman"/>
        <w:i w:val="0"/>
        <w:color w:val="000000"/>
        <w:sz w:val="20"/>
      </w:rPr>
      <w:fldChar w:fldCharType="begin"/>
    </w:r>
    <w:r>
      <w:rPr>
        <w:rFonts w:ascii="Times New Roman" w:hAnsi="Times New Roman"/>
        <w:i w:val="0"/>
        <w:color w:val="000000"/>
        <w:sz w:val="20"/>
      </w:rPr>
      <w:instrText xml:space="preserve"> PAGE </w:instrText>
    </w:r>
    <w:r>
      <w:rPr>
        <w:rFonts w:ascii="Times New Roman" w:hAnsi="Times New Roman"/>
        <w:i w:val="0"/>
        <w:color w:val="000000"/>
        <w:sz w:val="20"/>
      </w:rPr>
      <w:fldChar w:fldCharType="separate"/>
    </w:r>
    <w:r>
      <w:rPr>
        <w:rFonts w:ascii="Times New Roman" w:hAnsi="Times New Roman"/>
        <w:i w:val="0"/>
        <w:color w:val="000000"/>
        <w:sz w:val="20"/>
      </w:rPr>
      <w:t>1</w:t>
    </w:r>
    <w:r>
      <w:rPr>
        <w:rFonts w:ascii="Times New Roman" w:hAnsi="Times New Roman"/>
        <w:i w:val="0"/>
        <w:color w:val="000000"/>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76" w:lineRule="auto"/>
      <w:jc w:val="left"/>
      <w:outlineLvl w:val="0"/>
    </w:pPr>
    <w:rPr>
      <w:rFonts w:asciiTheme="majorHAnsi" w:eastAsiaTheme="majorEastAsia" w:hAnsiTheme="majorHAnsi" w:cstheme="majorBidi" w:ascii="Times New Roman" w:hAnsi="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76" w:lineRule="auto"/>
      <w:jc w:val="left"/>
      <w:outlineLvl w:val="1"/>
    </w:pPr>
    <w:rPr>
      <w:rFonts w:asciiTheme="majorHAnsi" w:eastAsiaTheme="majorEastAsia" w:hAnsiTheme="majorHAnsi" w:cstheme="majorBidi" w:ascii="Times New Roman" w:hAnsi="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jc w:val="left"/>
      <w:outlineLvl w:val="2"/>
    </w:pPr>
    <w:rPr>
      <w:rFonts w:asciiTheme="majorHAnsi" w:eastAsiaTheme="majorEastAsia" w:hAnsiTheme="majorHAnsi" w:cstheme="majorBidi" w:ascii="Times New Roman" w:hAnsi="Times New Roman"/>
      <w:b/>
      <w:bCs/>
      <w:i w:val="0"/>
      <w:color w:val="000000"/>
      <w:sz w:val="25"/>
    </w:rPr>
  </w:style>
  <w:style w:type="paragraph" w:styleId="Heading4">
    <w:name w:val="heading 4"/>
    <w:basedOn w:val="Normal"/>
    <w:next w:val="Normal"/>
    <w:link w:val="Heading4Char"/>
    <w:uiPriority w:val="9"/>
    <w:semiHidden/>
    <w:unhideWhenUsed/>
    <w:qFormat/>
    <w:rsid w:val="00FC693F"/>
    <w:pPr>
      <w:keepNext/>
      <w:keepLines/>
      <w:spacing w:before="160" w:after="80" w:line="276" w:lineRule="auto"/>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40"/>
      <w:jc w:val="center"/>
    </w:pPr>
    <w:rPr>
      <w:rFonts w:ascii="Times New Roman" w:hAnsi="Times New Roman"/>
      <w:b w:val="0"/>
      <w:bCs/>
      <w:i/>
      <w:color w:val="333333"/>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Caption"/>
    <w:pPr>
      <w:keepNext/>
      <w:spacing w:before="200" w:after="80"/>
      <w:jc w:val="center"/>
    </w:pPr>
    <w:rPr>
      <w:rFonts w:ascii="Times New Roman" w:hAnsi="Times New Roman"/>
      <w:i/>
      <w:sz w:val="20"/>
    </w:rPr>
  </w:style>
  <w:style w:type="paragraph" w:customStyle="1" w:styleId="CodeBlock">
    <w:name w:val="Code Block"/>
    <w:pPr>
      <w:spacing w:line="240" w:lineRule="auto" w:before="120" w:after="200"/>
      <w:ind w:left="432"/>
      <w:jc w:val="left"/>
    </w:pPr>
    <w:rPr>
      <w:rFonts w:ascii="Consolas" w:hAnsi="Consolas"/>
      <w:sz w:val="18"/>
    </w:rPr>
  </w:style>
  <w:style w:type="paragraph" w:customStyle="1" w:styleId="NoteBox">
    <w:name w:val="Note Box"/>
    <w:pPr>
      <w:spacing w:before="160" w:after="200" w:line="312" w:lineRule="auto"/>
      <w:ind w:left="504" w:right="360"/>
    </w:pPr>
    <w:rPr>
      <w:rFonts w:ascii="Times New Roman" w:hAnsi="Times New Roman"/>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