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248" w14:textId="24C8354D" w:rsidR="00965826" w:rsidRDefault="00965826">
      <w:r>
        <w:t xml:space="preserve">La comptabilité de couverture est un choix donc n’est pas obligatoire </w:t>
      </w:r>
    </w:p>
    <w:p w14:paraId="1B5A2565" w14:textId="4BF26C6E" w:rsidR="00FD159E" w:rsidRDefault="00252647">
      <w:r>
        <w:t>Les dérivés</w:t>
      </w:r>
      <w:r w:rsidR="00B04575">
        <w:t xml:space="preserve"> : sont</w:t>
      </w:r>
      <w:r w:rsidR="00965826">
        <w:t xml:space="preserve"> classés a la JVBRN sauf dans le cas JVBARG choix irrévocable et les écarts de JV au RN sauf pour le classement JVBARG </w:t>
      </w:r>
    </w:p>
    <w:p w14:paraId="1ACFDBCD" w14:textId="7F4D6E17" w:rsidR="00252647" w:rsidRDefault="00252647">
      <w:r>
        <w:t xml:space="preserve">Comptabilité de couverture de la JV :CAT (Contrat </w:t>
      </w:r>
      <w:r w:rsidR="00B04575">
        <w:t>à</w:t>
      </w:r>
      <w:r>
        <w:t xml:space="preserve"> terme et option)</w:t>
      </w:r>
      <w:r w:rsidR="00965826">
        <w:t xml:space="preserve">   </w:t>
      </w:r>
    </w:p>
    <w:p w14:paraId="13781DBD" w14:textId="16A9AD26" w:rsidR="00252647" w:rsidRDefault="00252647">
      <w:r>
        <w:t xml:space="preserve">Avec la comptabilité de couverture : Effet nul sur le RN car on comptabilise au même moment la variation de JV de sous-jacent (élément couvert) et le dérivé (élément de couverture) </w:t>
      </w:r>
    </w:p>
    <w:p w14:paraId="52D5125D" w14:textId="77777777" w:rsidR="00252647" w:rsidRDefault="00252647"/>
    <w:p w14:paraId="409EF3F4" w14:textId="563034BC" w:rsidR="00252647" w:rsidRDefault="00252647">
      <w:r>
        <w:t xml:space="preserve">Sans la comptabilité de couverture : Effet sur le RN a la date de règlement donc on comptabilise seulement la variation de JV de dérivé pour les autres périodes </w:t>
      </w:r>
    </w:p>
    <w:p w14:paraId="5328E4B7" w14:textId="677607CD" w:rsidR="00252647" w:rsidRDefault="00252647">
      <w:r w:rsidRPr="00252647">
        <w:rPr>
          <w:highlight w:val="yellow"/>
        </w:rPr>
        <w:t>La règle d’or</w:t>
      </w:r>
      <w:r>
        <w:t xml:space="preserve"> </w:t>
      </w:r>
    </w:p>
    <w:p w14:paraId="0CFBAEDF" w14:textId="29FAFB3F" w:rsidR="00252647" w:rsidRDefault="00252647">
      <w:r>
        <w:t xml:space="preserve">Position vendeur : Prix exercice de sous-jacent-JV sous-jacent </w:t>
      </w:r>
    </w:p>
    <w:p w14:paraId="5D6746BB" w14:textId="45400167" w:rsidR="00252647" w:rsidRDefault="00252647">
      <w:r>
        <w:t>Si positif=AF</w:t>
      </w:r>
    </w:p>
    <w:p w14:paraId="5487461C" w14:textId="329B6684" w:rsidR="00252647" w:rsidRDefault="00252647">
      <w:r>
        <w:t>Si négatif=PF sauf pour les options sera 0</w:t>
      </w:r>
    </w:p>
    <w:p w14:paraId="3B5EB6BB" w14:textId="63231BA1" w:rsidR="00252647" w:rsidRDefault="00252647">
      <w:r w:rsidRPr="00965826">
        <w:rPr>
          <w:highlight w:val="yellow"/>
        </w:rPr>
        <w:t>Position acheteur</w:t>
      </w:r>
      <w:r>
        <w:t xml:space="preserve"> : JV sous-jacent-Prix exercice de sous-jacent </w:t>
      </w:r>
    </w:p>
    <w:p w14:paraId="502CDF17" w14:textId="64A549F2" w:rsidR="00252647" w:rsidRDefault="00252647">
      <w:r>
        <w:t>Si positif=AF</w:t>
      </w:r>
    </w:p>
    <w:p w14:paraId="4F025DD9" w14:textId="4E0F547E" w:rsidR="00252647" w:rsidRDefault="00252647">
      <w:r>
        <w:t xml:space="preserve">Si négatif=PF sauf pour les options sera 0 </w:t>
      </w:r>
    </w:p>
    <w:p w14:paraId="2212115D" w14:textId="19A52B57" w:rsidR="00965826" w:rsidRDefault="00965826">
      <w:r>
        <w:t xml:space="preserve">Lorsque on rembouse un dette par anticipation le remboursement sera a la JV même si on a comtabiliser notre dette au CA </w:t>
      </w:r>
    </w:p>
    <w:p w14:paraId="55B929E3" w14:textId="44E8602E" w:rsidR="00D25360" w:rsidRDefault="00D25360">
      <w:r>
        <w:t xml:space="preserve">Ne mélange pas les caractéristiques de sous jacent avec le caréctiristique de l’élément de couverture les caratéristique de sous jacent on les gardes qu’il que soit les conditions c’est l’objectif de la comptabilité de couverture </w:t>
      </w:r>
    </w:p>
    <w:p w14:paraId="039621A8" w14:textId="77777777" w:rsidR="00252647" w:rsidRDefault="00252647"/>
    <w:p w14:paraId="14E33EF6" w14:textId="180DC5F8" w:rsidR="00252647" w:rsidRDefault="00D25360">
      <w:r>
        <w:rPr>
          <w:noProof/>
        </w:rPr>
        <w:drawing>
          <wp:inline distT="0" distB="0" distL="0" distR="0" wp14:anchorId="63706D98" wp14:editId="6B294A64">
            <wp:extent cx="4935189" cy="2075310"/>
            <wp:effectExtent l="0" t="0" r="0" b="1270"/>
            <wp:docPr id="21" name="Picture 20" descr="A table with text on it&#10;&#10;Description automatically generated">
              <a:extLst xmlns:a="http://schemas.openxmlformats.org/drawingml/2006/main">
                <a:ext uri="{FF2B5EF4-FFF2-40B4-BE49-F238E27FC236}">
                  <a16:creationId xmlns:a16="http://schemas.microsoft.com/office/drawing/2014/main" id="{21AF5446-B78D-38B5-F18D-AC0AF74EB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table with text on it&#10;&#10;Description automatically generated">
                      <a:extLst>
                        <a:ext uri="{FF2B5EF4-FFF2-40B4-BE49-F238E27FC236}">
                          <a16:creationId xmlns:a16="http://schemas.microsoft.com/office/drawing/2014/main" id="{21AF5446-B78D-38B5-F18D-AC0AF74EBC20}"/>
                        </a:ext>
                      </a:extLst>
                    </pic:cNvPr>
                    <pic:cNvPicPr>
                      <a:picLocks noChangeAspect="1"/>
                    </pic:cNvPicPr>
                  </pic:nvPicPr>
                  <pic:blipFill>
                    <a:blip r:embed="rId4"/>
                    <a:stretch>
                      <a:fillRect/>
                    </a:stretch>
                  </pic:blipFill>
                  <pic:spPr>
                    <a:xfrm>
                      <a:off x="0" y="0"/>
                      <a:ext cx="4935189" cy="2075310"/>
                    </a:xfrm>
                    <a:prstGeom prst="rect">
                      <a:avLst/>
                    </a:prstGeom>
                  </pic:spPr>
                </pic:pic>
              </a:graphicData>
            </a:graphic>
          </wp:inline>
        </w:drawing>
      </w:r>
    </w:p>
    <w:p w14:paraId="2D664E91" w14:textId="77777777" w:rsidR="00252647" w:rsidRDefault="00252647"/>
    <w:p w14:paraId="6596B166" w14:textId="77777777" w:rsidR="00252647" w:rsidRDefault="00252647"/>
    <w:p w14:paraId="360F633E" w14:textId="77777777" w:rsidR="00252647" w:rsidRDefault="00252647"/>
    <w:p w14:paraId="5D841946" w14:textId="77777777" w:rsidR="00252647" w:rsidRDefault="00252647"/>
    <w:sectPr w:rsidR="0025264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47"/>
    <w:rsid w:val="000842E2"/>
    <w:rsid w:val="00252647"/>
    <w:rsid w:val="005D71B5"/>
    <w:rsid w:val="00965826"/>
    <w:rsid w:val="00B04575"/>
    <w:rsid w:val="00C3506B"/>
    <w:rsid w:val="00C913F1"/>
    <w:rsid w:val="00D25360"/>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BBDA"/>
  <w15:chartTrackingRefBased/>
  <w15:docId w15:val="{67F6BD35-1623-47D6-8099-C986F7D4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2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52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26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26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26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26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26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26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26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26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526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26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26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26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26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26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26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2647"/>
    <w:rPr>
      <w:rFonts w:eastAsiaTheme="majorEastAsia" w:cstheme="majorBidi"/>
      <w:color w:val="272727" w:themeColor="text1" w:themeTint="D8"/>
    </w:rPr>
  </w:style>
  <w:style w:type="paragraph" w:styleId="Titre">
    <w:name w:val="Title"/>
    <w:basedOn w:val="Normal"/>
    <w:next w:val="Normal"/>
    <w:link w:val="TitreCar"/>
    <w:uiPriority w:val="10"/>
    <w:qFormat/>
    <w:rsid w:val="0025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26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26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26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2647"/>
    <w:pPr>
      <w:spacing w:before="160"/>
      <w:jc w:val="center"/>
    </w:pPr>
    <w:rPr>
      <w:i/>
      <w:iCs/>
      <w:color w:val="404040" w:themeColor="text1" w:themeTint="BF"/>
    </w:rPr>
  </w:style>
  <w:style w:type="character" w:customStyle="1" w:styleId="CitationCar">
    <w:name w:val="Citation Car"/>
    <w:basedOn w:val="Policepardfaut"/>
    <w:link w:val="Citation"/>
    <w:uiPriority w:val="29"/>
    <w:rsid w:val="00252647"/>
    <w:rPr>
      <w:i/>
      <w:iCs/>
      <w:color w:val="404040" w:themeColor="text1" w:themeTint="BF"/>
    </w:rPr>
  </w:style>
  <w:style w:type="paragraph" w:styleId="Paragraphedeliste">
    <w:name w:val="List Paragraph"/>
    <w:basedOn w:val="Normal"/>
    <w:uiPriority w:val="34"/>
    <w:qFormat/>
    <w:rsid w:val="00252647"/>
    <w:pPr>
      <w:ind w:left="720"/>
      <w:contextualSpacing/>
    </w:pPr>
  </w:style>
  <w:style w:type="character" w:styleId="Accentuationintense">
    <w:name w:val="Intense Emphasis"/>
    <w:basedOn w:val="Policepardfaut"/>
    <w:uiPriority w:val="21"/>
    <w:qFormat/>
    <w:rsid w:val="00252647"/>
    <w:rPr>
      <w:i/>
      <w:iCs/>
      <w:color w:val="0F4761" w:themeColor="accent1" w:themeShade="BF"/>
    </w:rPr>
  </w:style>
  <w:style w:type="paragraph" w:styleId="Citationintense">
    <w:name w:val="Intense Quote"/>
    <w:basedOn w:val="Normal"/>
    <w:next w:val="Normal"/>
    <w:link w:val="CitationintenseCar"/>
    <w:uiPriority w:val="30"/>
    <w:qFormat/>
    <w:rsid w:val="0025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2647"/>
    <w:rPr>
      <w:i/>
      <w:iCs/>
      <w:color w:val="0F4761" w:themeColor="accent1" w:themeShade="BF"/>
    </w:rPr>
  </w:style>
  <w:style w:type="character" w:styleId="Rfrenceintense">
    <w:name w:val="Intense Reference"/>
    <w:basedOn w:val="Policepardfaut"/>
    <w:uiPriority w:val="32"/>
    <w:qFormat/>
    <w:rsid w:val="00252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2</Pages>
  <Words>191</Words>
  <Characters>1053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2025-04-07T13:09:00Z</dcterms:created>
  <dcterms:modified xsi:type="dcterms:W3CDTF">2025-04-09T13:22:00Z</dcterms:modified>
</cp:coreProperties>
</file>