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EAD4" w14:textId="1D4FAAFA" w:rsidR="00FD159E" w:rsidRDefault="00083F67">
      <w:r>
        <w:t>Contrat de location preneur :</w:t>
      </w:r>
    </w:p>
    <w:p w14:paraId="190C17BE" w14:textId="36C19ADE" w:rsidR="00083F67" w:rsidRDefault="00083F67">
      <w:r>
        <w:t>Identification contrat de location :3 éléments Annexe B IFRS 16/</w:t>
      </w:r>
    </w:p>
    <w:p w14:paraId="6C256313" w14:textId="5B71F812" w:rsidR="00083F67" w:rsidRDefault="00083F67">
      <w:r>
        <w:t>-Bien identifiable</w:t>
      </w:r>
    </w:p>
    <w:p w14:paraId="4F2E09BF" w14:textId="421E4F80" w:rsidR="00083F67" w:rsidRDefault="00083F67">
      <w:r>
        <w:t>-Droit acquérir la quasi-totalité des avantage économiques liés au bien</w:t>
      </w:r>
    </w:p>
    <w:p w14:paraId="57C64E2E" w14:textId="139EBC35" w:rsidR="00083F67" w:rsidRDefault="00083F67">
      <w:r>
        <w:t xml:space="preserve">-Droit de décision de l’utilisation de bien (utilisation exclusive) </w:t>
      </w:r>
    </w:p>
    <w:p w14:paraId="7A578669" w14:textId="219A61E7" w:rsidR="00083F67" w:rsidRDefault="00083F67">
      <w:r>
        <w:t xml:space="preserve">Comptabilisation initiale </w:t>
      </w:r>
    </w:p>
    <w:p w14:paraId="48266658" w14:textId="43DD89CA" w:rsidR="00A703DC" w:rsidRDefault="00B10D60">
      <w:pPr>
        <w:rPr>
          <w:color w:val="FF0000"/>
        </w:rPr>
      </w:pPr>
      <w:r w:rsidRPr="00A703DC">
        <w:rPr>
          <w:color w:val="FF0000"/>
          <w:highlight w:val="yellow"/>
        </w:rPr>
        <w:t>Le taux intérêt implicite</w:t>
      </w:r>
      <w:r w:rsidR="00A703DC" w:rsidRPr="00A703DC">
        <w:rPr>
          <w:color w:val="FF0000"/>
          <w:highlight w:val="yellow"/>
        </w:rPr>
        <w:t xml:space="preserve"> : c’est</w:t>
      </w:r>
      <w:r w:rsidRPr="00A703DC">
        <w:rPr>
          <w:color w:val="FF0000"/>
          <w:highlight w:val="yellow"/>
        </w:rPr>
        <w:t xml:space="preserve"> de coté de bailleur donc (PV=JV de bien +</w:t>
      </w:r>
      <w:r w:rsidR="003E6ECB" w:rsidRPr="00A703DC">
        <w:rPr>
          <w:color w:val="FF0000"/>
          <w:highlight w:val="yellow"/>
        </w:rPr>
        <w:t xml:space="preserve">couts directs initiaux, </w:t>
      </w:r>
      <w:r w:rsidR="00A703DC" w:rsidRPr="00A703DC">
        <w:rPr>
          <w:color w:val="FF0000"/>
          <w:highlight w:val="yellow"/>
        </w:rPr>
        <w:t>P</w:t>
      </w:r>
      <w:r w:rsidR="003E6ECB" w:rsidRPr="00A703DC">
        <w:rPr>
          <w:color w:val="FF0000"/>
          <w:highlight w:val="yellow"/>
        </w:rPr>
        <w:t>MT=loyer fixe +Loyer variable (calculé par IC</w:t>
      </w:r>
      <w:r w:rsidR="00A703DC" w:rsidRPr="00A703DC">
        <w:rPr>
          <w:color w:val="FF0000"/>
          <w:highlight w:val="yellow"/>
        </w:rPr>
        <w:t xml:space="preserve">), N, FV (Valeur non garantie par un tiers indépendant Valeur garantie par un tiers </w:t>
      </w:r>
      <w:r w:rsidR="00854C17" w:rsidRPr="00A703DC">
        <w:rPr>
          <w:color w:val="FF0000"/>
          <w:highlight w:val="yellow"/>
        </w:rPr>
        <w:t>dépendant</w:t>
      </w:r>
    </w:p>
    <w:p w14:paraId="45927956" w14:textId="48264477" w:rsidR="00A703DC" w:rsidRPr="00A703DC" w:rsidRDefault="00854C17">
      <w:pPr>
        <w:rPr>
          <w:color w:val="FF0000"/>
        </w:rPr>
      </w:pPr>
      <w:r>
        <w:rPr>
          <w:color w:val="FF0000"/>
        </w:rPr>
        <w:t xml:space="preserve">Attention au n et aux taux d’intérêt faut bien lire les données </w:t>
      </w:r>
    </w:p>
    <w:p w14:paraId="2C2E7609" w14:textId="2A695180" w:rsidR="00A703DC" w:rsidRDefault="00810DE3">
      <w:r>
        <w:t xml:space="preserve">Contrat de location : chapitre 3065 </w:t>
      </w:r>
    </w:p>
    <w:p w14:paraId="08B96B2B" w14:textId="7FA38CC8" w:rsidR="00810DE3" w:rsidRDefault="00810DE3">
      <w:r>
        <w:t>On commence :</w:t>
      </w:r>
    </w:p>
    <w:p w14:paraId="326D67A9" w14:textId="092A8C53" w:rsidR="00810DE3" w:rsidRDefault="00810DE3">
      <w:pPr>
        <w:rPr>
          <w:b/>
          <w:bCs/>
          <w:sz w:val="24"/>
          <w:szCs w:val="24"/>
        </w:rPr>
      </w:pPr>
      <w:r>
        <w:t xml:space="preserve">-Nature de contrat il faut aller au l’angler </w:t>
      </w:r>
      <w:r w:rsidRPr="00810DE3">
        <w:rPr>
          <w:b/>
          <w:bCs/>
          <w:sz w:val="24"/>
          <w:szCs w:val="24"/>
          <w:highlight w:val="yellow"/>
        </w:rPr>
        <w:t>classement</w:t>
      </w:r>
      <w:r w:rsidRPr="00810DE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de chapitre </w:t>
      </w:r>
    </w:p>
    <w:p w14:paraId="249404EE" w14:textId="0861ADA6" w:rsidR="00605BB4" w:rsidRDefault="00605B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</w:t>
      </w:r>
      <w:proofErr w:type="spellStart"/>
      <w:r>
        <w:rPr>
          <w:b/>
          <w:bCs/>
          <w:sz w:val="24"/>
          <w:szCs w:val="24"/>
        </w:rPr>
        <w:t>critere</w:t>
      </w:r>
      <w:proofErr w:type="spellEnd"/>
      <w:r>
        <w:rPr>
          <w:b/>
          <w:bCs/>
          <w:sz w:val="24"/>
          <w:szCs w:val="24"/>
        </w:rPr>
        <w:t xml:space="preserve"> de 90% est dépend de bailleur mais la FV il doit être de la valeur garantie par le preneur </w:t>
      </w:r>
    </w:p>
    <w:p w14:paraId="4E18DCD5" w14:textId="48921325" w:rsidR="00605BB4" w:rsidRPr="00605BB4" w:rsidRDefault="00605BB4">
      <w:pPr>
        <w:rPr>
          <w:b/>
          <w:bCs/>
          <w:color w:val="FF0000"/>
          <w:sz w:val="24"/>
          <w:szCs w:val="24"/>
        </w:rPr>
      </w:pPr>
      <w:r w:rsidRPr="00605BB4">
        <w:rPr>
          <w:b/>
          <w:bCs/>
          <w:color w:val="FF0000"/>
          <w:sz w:val="24"/>
          <w:szCs w:val="24"/>
        </w:rPr>
        <w:t>Note :</w:t>
      </w:r>
      <w:proofErr w:type="spellStart"/>
      <w:r>
        <w:rPr>
          <w:b/>
          <w:bCs/>
          <w:color w:val="FF0000"/>
          <w:sz w:val="24"/>
          <w:szCs w:val="24"/>
        </w:rPr>
        <w:t>a</w:t>
      </w:r>
      <w:proofErr w:type="spellEnd"/>
      <w:r>
        <w:rPr>
          <w:b/>
          <w:bCs/>
          <w:color w:val="FF0000"/>
          <w:sz w:val="24"/>
          <w:szCs w:val="24"/>
        </w:rPr>
        <w:t xml:space="preserve"> l’examen si y’a pas mentionner explicitement que y’a une option d’achat au prix on se pose que le preneur ne garanti rien comme une FV au bailleur </w:t>
      </w:r>
    </w:p>
    <w:p w14:paraId="3FEEA1A2" w14:textId="2C7F1077" w:rsidR="00810DE3" w:rsidRDefault="00810D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Note : prix d’option au prix de faveur change toute la donnée de jeu soit pour le classement de contrat et le calcul de TIE (taux intérêt implicite de contrat) </w:t>
      </w:r>
    </w:p>
    <w:p w14:paraId="61A44CFD" w14:textId="101E872D" w:rsidR="00EC66F5" w:rsidRDefault="00810D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Attention pour les terrains </w:t>
      </w:r>
      <w:r w:rsidR="00BD17A9">
        <w:rPr>
          <w:b/>
          <w:bCs/>
          <w:sz w:val="24"/>
          <w:szCs w:val="24"/>
        </w:rPr>
        <w:t>on ne peut pas</w:t>
      </w:r>
      <w:r>
        <w:rPr>
          <w:b/>
          <w:bCs/>
          <w:sz w:val="24"/>
          <w:szCs w:val="24"/>
        </w:rPr>
        <w:t xml:space="preserve"> présumer que la durée de vie utile car les terrains ont de vie illimitée </w:t>
      </w:r>
    </w:p>
    <w:p w14:paraId="2E1C883F" w14:textId="4B96D338" w:rsidR="00810DE3" w:rsidRDefault="00BD17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Les loyers conditionnels</w:t>
      </w:r>
      <w:r w:rsidR="00EC66F5">
        <w:rPr>
          <w:b/>
          <w:bCs/>
          <w:sz w:val="24"/>
          <w:szCs w:val="24"/>
        </w:rPr>
        <w:t xml:space="preserve"> sont pas à comptabiliser dans les PME </w:t>
      </w:r>
      <w:r w:rsidR="00810DE3">
        <w:rPr>
          <w:b/>
          <w:bCs/>
          <w:sz w:val="24"/>
          <w:szCs w:val="24"/>
        </w:rPr>
        <w:t xml:space="preserve"> </w:t>
      </w:r>
      <w:r w:rsidR="00EC66F5">
        <w:rPr>
          <w:b/>
          <w:bCs/>
          <w:sz w:val="24"/>
          <w:szCs w:val="24"/>
        </w:rPr>
        <w:t xml:space="preserve">selon NCECF </w:t>
      </w:r>
    </w:p>
    <w:p w14:paraId="54FA0233" w14:textId="7ADDA214" w:rsidR="00EC66F5" w:rsidRDefault="00EC66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 contre les loyers conditionnel ou variable selon les IFRS sont </w:t>
      </w:r>
      <w:proofErr w:type="spellStart"/>
      <w:r>
        <w:rPr>
          <w:b/>
          <w:bCs/>
          <w:sz w:val="24"/>
          <w:szCs w:val="24"/>
        </w:rPr>
        <w:t>a</w:t>
      </w:r>
      <w:proofErr w:type="spellEnd"/>
      <w:r>
        <w:rPr>
          <w:b/>
          <w:bCs/>
          <w:sz w:val="24"/>
          <w:szCs w:val="24"/>
        </w:rPr>
        <w:t xml:space="preserve"> comptabiliser si il sont fondé sur un taux </w:t>
      </w:r>
    </w:p>
    <w:p w14:paraId="38745648" w14:textId="5A429831" w:rsidR="00BD17A9" w:rsidRDefault="00BD17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Pour le taux d’intérêt d’actualisation :a prendre le moindre entre le taux d’</w:t>
      </w:r>
      <w:proofErr w:type="spellStart"/>
      <w:r>
        <w:rPr>
          <w:b/>
          <w:bCs/>
          <w:sz w:val="24"/>
          <w:szCs w:val="24"/>
        </w:rPr>
        <w:t>ineret</w:t>
      </w:r>
      <w:proofErr w:type="spellEnd"/>
      <w:r>
        <w:rPr>
          <w:b/>
          <w:bCs/>
          <w:sz w:val="24"/>
          <w:szCs w:val="24"/>
        </w:rPr>
        <w:t xml:space="preserve"> implicite de contrat et le taux d’</w:t>
      </w:r>
      <w:proofErr w:type="spellStart"/>
      <w:r>
        <w:rPr>
          <w:b/>
          <w:bCs/>
          <w:sz w:val="24"/>
          <w:szCs w:val="24"/>
        </w:rPr>
        <w:t>interet</w:t>
      </w:r>
      <w:proofErr w:type="spellEnd"/>
      <w:r>
        <w:rPr>
          <w:b/>
          <w:bCs/>
          <w:sz w:val="24"/>
          <w:szCs w:val="24"/>
        </w:rPr>
        <w:t xml:space="preserve"> marginal de preneur si le VA des paiements de loyers dépassent les JV de bien loué on ajuste le taux d’</w:t>
      </w:r>
      <w:proofErr w:type="spellStart"/>
      <w:r>
        <w:rPr>
          <w:b/>
          <w:bCs/>
          <w:sz w:val="24"/>
          <w:szCs w:val="24"/>
        </w:rPr>
        <w:t>interet</w:t>
      </w:r>
      <w:proofErr w:type="spellEnd"/>
      <w:r>
        <w:rPr>
          <w:b/>
          <w:bCs/>
          <w:sz w:val="24"/>
          <w:szCs w:val="24"/>
        </w:rPr>
        <w:t xml:space="preserve"> implicite afin que VA des PL soient égalent au JV de bien loué </w:t>
      </w:r>
    </w:p>
    <w:p w14:paraId="60C40FF0" w14:textId="73A7424F" w:rsidR="00BD17A9" w:rsidRDefault="00BD17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Attention les frais accessoires ne rentre pas dans le calcul de VA par contre passe en charge </w:t>
      </w:r>
    </w:p>
    <w:p w14:paraId="26B92834" w14:textId="19D5BC17" w:rsidR="00BD17A9" w:rsidRDefault="00BD17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Pour les IFRS on le choix de les passer en charge ou bien des les capitaliser </w:t>
      </w:r>
    </w:p>
    <w:p w14:paraId="2E1F0A50" w14:textId="6F15C890" w:rsidR="00BD17A9" w:rsidRDefault="00BD17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Pour les IFRS les loyers variables basé sur un indice et un taux on peut les capitaliser aussi </w:t>
      </w:r>
    </w:p>
    <w:p w14:paraId="1AFD81A3" w14:textId="7944600F" w:rsidR="00BD17A9" w:rsidRDefault="00BD17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Comptabilisation initiale : </w:t>
      </w:r>
      <w:r w:rsidR="00AF1A99">
        <w:rPr>
          <w:b/>
          <w:bCs/>
          <w:sz w:val="24"/>
          <w:szCs w:val="24"/>
        </w:rPr>
        <w:t xml:space="preserve">Dans la norme c’est le traitement comptable </w:t>
      </w:r>
    </w:p>
    <w:p w14:paraId="6BEDDE17" w14:textId="61FF98C2" w:rsidR="00BD17A9" w:rsidRDefault="00AF1A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Contrat de location acquisition ou bien contrat de location exploitation </w:t>
      </w:r>
    </w:p>
    <w:p w14:paraId="2BD41F20" w14:textId="77777777" w:rsidR="00BD17A9" w:rsidRDefault="00BD17A9">
      <w:pPr>
        <w:rPr>
          <w:b/>
          <w:bCs/>
          <w:sz w:val="24"/>
          <w:szCs w:val="24"/>
        </w:rPr>
      </w:pPr>
    </w:p>
    <w:p w14:paraId="065713F2" w14:textId="774460FF" w:rsidR="00AF1A99" w:rsidRDefault="00AF1A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Amortissement de l’Actif a titre de droit d’utilisation </w:t>
      </w:r>
    </w:p>
    <w:p w14:paraId="12B693F4" w14:textId="37B758E0" w:rsidR="00AF1A99" w:rsidRDefault="00AF1A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Pas d’option au prix de faveur :Durée d’amortissement habituelle utilisée par l’Entité</w:t>
      </w:r>
    </w:p>
    <w:p w14:paraId="12F0C33F" w14:textId="55981E95" w:rsidR="00AF1A99" w:rsidRDefault="00AF1A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Avec option au prix de faveur :la durée de bail ou bien la durée de vie utile de bien </w:t>
      </w:r>
    </w:p>
    <w:p w14:paraId="050D6F8C" w14:textId="77777777" w:rsidR="00810DE3" w:rsidRDefault="00810DE3"/>
    <w:p w14:paraId="73E0E00F" w14:textId="4B6A1618" w:rsidR="00AF1A99" w:rsidRDefault="00AF1A99">
      <w:r>
        <w:t xml:space="preserve">Par contre les IFRS c’est le moindre des deux périodes </w:t>
      </w:r>
    </w:p>
    <w:p w14:paraId="55EC9476" w14:textId="35D6F0CF" w:rsidR="0057367E" w:rsidRDefault="0057367E">
      <w:r>
        <w:t xml:space="preserve">Immobilisation louée a l’actif pour les NCECF par contre pour les IFRS on parle de ATDU soit </w:t>
      </w:r>
      <w:proofErr w:type="spellStart"/>
      <w:r>
        <w:t>acctif</w:t>
      </w:r>
      <w:proofErr w:type="spellEnd"/>
      <w:r>
        <w:t xml:space="preserve"> a titre de droit d’utilisation </w:t>
      </w:r>
    </w:p>
    <w:p w14:paraId="564D55D1" w14:textId="77777777" w:rsidR="0057367E" w:rsidRPr="0057367E" w:rsidRDefault="0057367E" w:rsidP="0057367E">
      <w:r w:rsidRPr="0057367E">
        <w:t xml:space="preserve">1\01\x1 </w:t>
      </w:r>
    </w:p>
    <w:p w14:paraId="6FE212AE" w14:textId="77777777" w:rsidR="0057367E" w:rsidRPr="0057367E" w:rsidRDefault="0057367E" w:rsidP="0057367E">
      <w:r w:rsidRPr="0057367E">
        <w:t>Immobilisation louée</w:t>
      </w:r>
      <w:r w:rsidRPr="0057367E">
        <w:tab/>
      </w:r>
      <w:r w:rsidRPr="0057367E">
        <w:tab/>
      </w:r>
      <w:r w:rsidRPr="0057367E">
        <w:tab/>
        <w:t xml:space="preserve">88 822 </w:t>
      </w:r>
    </w:p>
    <w:p w14:paraId="4EF3A2A8" w14:textId="77777777" w:rsidR="0057367E" w:rsidRPr="0057367E" w:rsidRDefault="0057367E" w:rsidP="0057367E">
      <w:r w:rsidRPr="0057367E">
        <w:t xml:space="preserve">@  Obligation locative </w:t>
      </w:r>
      <w:r w:rsidRPr="0057367E">
        <w:tab/>
      </w:r>
      <w:r w:rsidRPr="0057367E">
        <w:tab/>
      </w:r>
      <w:r w:rsidRPr="0057367E">
        <w:tab/>
      </w:r>
      <w:r w:rsidRPr="0057367E">
        <w:tab/>
        <w:t xml:space="preserve">88 822 </w:t>
      </w:r>
    </w:p>
    <w:p w14:paraId="73B3F433" w14:textId="77777777" w:rsidR="0057367E" w:rsidRPr="0057367E" w:rsidRDefault="0057367E" w:rsidP="0057367E">
      <w:r w:rsidRPr="0057367E">
        <w:t xml:space="preserve">(valeur actualisée 5 versements de 22 000 $, début de période, à 12%) </w:t>
      </w:r>
    </w:p>
    <w:p w14:paraId="59AC3B51" w14:textId="77777777" w:rsidR="0057367E" w:rsidRPr="0057367E" w:rsidRDefault="0057367E" w:rsidP="0057367E"/>
    <w:p w14:paraId="3F6C76C1" w14:textId="77777777" w:rsidR="0057367E" w:rsidRPr="0057367E" w:rsidRDefault="0057367E" w:rsidP="0057367E">
      <w:r w:rsidRPr="0057367E">
        <w:t xml:space="preserve">Obligation locative </w:t>
      </w:r>
      <w:r w:rsidRPr="0057367E">
        <w:tab/>
      </w:r>
      <w:r w:rsidRPr="0057367E">
        <w:tab/>
      </w:r>
      <w:r w:rsidRPr="0057367E">
        <w:tab/>
        <w:t xml:space="preserve">22 000 </w:t>
      </w:r>
    </w:p>
    <w:p w14:paraId="3F14AC45" w14:textId="77777777" w:rsidR="0057367E" w:rsidRPr="0057367E" w:rsidRDefault="0057367E" w:rsidP="0057367E">
      <w:r w:rsidRPr="0057367E">
        <w:t xml:space="preserve">@  Encaisse </w:t>
      </w:r>
      <w:r w:rsidRPr="0057367E">
        <w:tab/>
      </w:r>
      <w:r w:rsidRPr="0057367E">
        <w:tab/>
      </w:r>
      <w:r w:rsidRPr="0057367E">
        <w:tab/>
      </w:r>
      <w:r w:rsidRPr="0057367E">
        <w:tab/>
      </w:r>
      <w:r w:rsidRPr="0057367E">
        <w:tab/>
        <w:t xml:space="preserve">22 000 </w:t>
      </w:r>
    </w:p>
    <w:p w14:paraId="1721AAF6" w14:textId="77777777" w:rsidR="0057367E" w:rsidRPr="0057367E" w:rsidRDefault="0057367E" w:rsidP="0057367E"/>
    <w:p w14:paraId="01A85552" w14:textId="77777777" w:rsidR="0057367E" w:rsidRPr="0057367E" w:rsidRDefault="0057367E" w:rsidP="0057367E">
      <w:r w:rsidRPr="0057367E">
        <w:t xml:space="preserve">31\12\x1 </w:t>
      </w:r>
    </w:p>
    <w:p w14:paraId="31DDD5E0" w14:textId="77777777" w:rsidR="0057367E" w:rsidRPr="0057367E" w:rsidRDefault="0057367E" w:rsidP="0057367E">
      <w:r w:rsidRPr="0057367E">
        <w:t xml:space="preserve">Amortissement </w:t>
      </w:r>
      <w:r w:rsidRPr="0057367E">
        <w:tab/>
      </w:r>
      <w:r w:rsidRPr="0057367E">
        <w:tab/>
      </w:r>
      <w:r w:rsidRPr="0057367E">
        <w:tab/>
      </w:r>
      <w:r w:rsidRPr="0057367E">
        <w:tab/>
        <w:t xml:space="preserve">17 764 </w:t>
      </w:r>
    </w:p>
    <w:p w14:paraId="2662B6DD" w14:textId="77777777" w:rsidR="0057367E" w:rsidRPr="0057367E" w:rsidRDefault="0057367E" w:rsidP="0057367E">
      <w:r w:rsidRPr="0057367E">
        <w:t xml:space="preserve">@  Amortissement cumulé </w:t>
      </w:r>
      <w:r w:rsidRPr="0057367E">
        <w:tab/>
      </w:r>
      <w:r w:rsidRPr="0057367E">
        <w:tab/>
      </w:r>
      <w:r w:rsidRPr="0057367E">
        <w:tab/>
        <w:t xml:space="preserve">17 764 </w:t>
      </w:r>
    </w:p>
    <w:p w14:paraId="340DFC03" w14:textId="77777777" w:rsidR="0057367E" w:rsidRPr="0057367E" w:rsidRDefault="0057367E" w:rsidP="0057367E"/>
    <w:p w14:paraId="1789D85F" w14:textId="77777777" w:rsidR="0057367E" w:rsidRPr="0057367E" w:rsidRDefault="0057367E" w:rsidP="0057367E">
      <w:pPr>
        <w:rPr>
          <w:color w:val="FF0000"/>
          <w:highlight w:val="yellow"/>
        </w:rPr>
      </w:pPr>
      <w:r w:rsidRPr="0057367E">
        <w:rPr>
          <w:color w:val="FF0000"/>
          <w:highlight w:val="yellow"/>
        </w:rPr>
        <w:t xml:space="preserve">Charge intérêts - </w:t>
      </w:r>
      <w:proofErr w:type="spellStart"/>
      <w:r w:rsidRPr="0057367E">
        <w:rPr>
          <w:color w:val="FF0000"/>
          <w:highlight w:val="yellow"/>
        </w:rPr>
        <w:t>oblig</w:t>
      </w:r>
      <w:proofErr w:type="spellEnd"/>
      <w:r w:rsidRPr="0057367E">
        <w:rPr>
          <w:color w:val="FF0000"/>
          <w:highlight w:val="yellow"/>
        </w:rPr>
        <w:t xml:space="preserve"> </w:t>
      </w:r>
      <w:proofErr w:type="spellStart"/>
      <w:r w:rsidRPr="0057367E">
        <w:rPr>
          <w:color w:val="FF0000"/>
          <w:highlight w:val="yellow"/>
        </w:rPr>
        <w:t>loc</w:t>
      </w:r>
      <w:proofErr w:type="spellEnd"/>
      <w:r w:rsidRPr="0057367E">
        <w:rPr>
          <w:color w:val="FF0000"/>
          <w:highlight w:val="yellow"/>
        </w:rPr>
        <w:t xml:space="preserve"> </w:t>
      </w:r>
      <w:r w:rsidRPr="0057367E">
        <w:rPr>
          <w:color w:val="FF0000"/>
          <w:highlight w:val="yellow"/>
        </w:rPr>
        <w:tab/>
      </w:r>
      <w:r w:rsidRPr="0057367E">
        <w:rPr>
          <w:color w:val="FF0000"/>
          <w:highlight w:val="yellow"/>
        </w:rPr>
        <w:tab/>
        <w:t xml:space="preserve">8 019 </w:t>
      </w:r>
    </w:p>
    <w:p w14:paraId="7E397046" w14:textId="181EEB34" w:rsidR="0057367E" w:rsidRDefault="0057367E" w:rsidP="0057367E">
      <w:pPr>
        <w:rPr>
          <w:color w:val="FF0000"/>
        </w:rPr>
      </w:pPr>
      <w:r w:rsidRPr="0057367E">
        <w:rPr>
          <w:color w:val="FF0000"/>
          <w:highlight w:val="yellow"/>
        </w:rPr>
        <w:t>@  Intérêts à payer</w:t>
      </w:r>
      <w:r w:rsidRPr="0057367E">
        <w:rPr>
          <w:color w:val="FF0000"/>
          <w:highlight w:val="yellow"/>
        </w:rPr>
        <w:t xml:space="preserve">                                                                 8019</w:t>
      </w:r>
      <w:r>
        <w:rPr>
          <w:color w:val="FF0000"/>
        </w:rPr>
        <w:t xml:space="preserve">    attention a cette écriture ce compte est transitoire </w:t>
      </w:r>
      <w:r w:rsidR="006D5CFE">
        <w:rPr>
          <w:color w:val="FF0000"/>
        </w:rPr>
        <w:t xml:space="preserve">et se </w:t>
      </w:r>
      <w:proofErr w:type="spellStart"/>
      <w:r w:rsidR="006D5CFE">
        <w:rPr>
          <w:color w:val="FF0000"/>
        </w:rPr>
        <w:t>calacule</w:t>
      </w:r>
      <w:proofErr w:type="spellEnd"/>
      <w:r w:rsidR="006D5CFE">
        <w:rPr>
          <w:color w:val="FF0000"/>
        </w:rPr>
        <w:t xml:space="preserve"> a la fin de l’année attention a la mécanique de PMT au début car c’est contrat de location acquisition </w:t>
      </w:r>
    </w:p>
    <w:p w14:paraId="19394075" w14:textId="6A9A847D" w:rsidR="006D5CFE" w:rsidRDefault="001740A9" w:rsidP="0057367E">
      <w:pPr>
        <w:rPr>
          <w:color w:val="FF0000"/>
        </w:rPr>
      </w:pPr>
      <w:r>
        <w:rPr>
          <w:color w:val="FF0000"/>
        </w:rPr>
        <w:t xml:space="preserve">Attention concentre toi sur le mot option d’achat </w:t>
      </w:r>
      <w:proofErr w:type="spellStart"/>
      <w:r>
        <w:rPr>
          <w:color w:val="FF0000"/>
        </w:rPr>
        <w:t>lorisque</w:t>
      </w:r>
      <w:proofErr w:type="spellEnd"/>
      <w:r>
        <w:rPr>
          <w:color w:val="FF0000"/>
        </w:rPr>
        <w:t xml:space="preserve"> est dans l’énoncé est une option proposée par le bailleur au preneur </w:t>
      </w:r>
    </w:p>
    <w:p w14:paraId="6B41CD97" w14:textId="11C56329" w:rsidR="001740A9" w:rsidRDefault="001740A9" w:rsidP="0057367E">
      <w:pPr>
        <w:rPr>
          <w:color w:val="FF0000"/>
        </w:rPr>
      </w:pPr>
      <w:r>
        <w:rPr>
          <w:color w:val="FF0000"/>
        </w:rPr>
        <w:lastRenderedPageBreak/>
        <w:t xml:space="preserve">Règle d’or l’option d’achat au prix de faveur est une reine qui change toutes les données donc le FV=au montant de cette option attention a ca </w:t>
      </w:r>
    </w:p>
    <w:p w14:paraId="79D6DBFF" w14:textId="5ADCE6AA" w:rsidR="006B6FF7" w:rsidRDefault="006B6FF7" w:rsidP="0057367E">
      <w:pPr>
        <w:rPr>
          <w:color w:val="FF0000"/>
        </w:rPr>
      </w:pPr>
      <w:r>
        <w:rPr>
          <w:color w:val="FF0000"/>
        </w:rPr>
        <w:t xml:space="preserve">La </w:t>
      </w:r>
      <w:proofErr w:type="spellStart"/>
      <w:r>
        <w:rPr>
          <w:color w:val="FF0000"/>
        </w:rPr>
        <w:t>régle</w:t>
      </w:r>
      <w:proofErr w:type="spellEnd"/>
      <w:r>
        <w:rPr>
          <w:color w:val="FF0000"/>
        </w:rPr>
        <w:t xml:space="preserve"> d’or s’utilise toujours de coté bailleurs </w:t>
      </w:r>
    </w:p>
    <w:p w14:paraId="2FFC781E" w14:textId="13C0AAA0" w:rsidR="006B6FF7" w:rsidRDefault="006B6FF7" w:rsidP="0057367E">
      <w:pPr>
        <w:rPr>
          <w:color w:val="FF0000"/>
        </w:rPr>
      </w:pPr>
      <w:r>
        <w:rPr>
          <w:color w:val="FF0000"/>
        </w:rPr>
        <w:t xml:space="preserve">FV utilisée pour le calcul de TI implicite de contrat </w:t>
      </w:r>
      <w:r w:rsidRPr="006B6FF7">
        <w:rPr>
          <w:b/>
          <w:bCs/>
          <w:color w:val="FF0000"/>
          <w:highlight w:val="yellow"/>
        </w:rPr>
        <w:t>n’est pas le même</w:t>
      </w:r>
      <w:r>
        <w:rPr>
          <w:color w:val="FF0000"/>
        </w:rPr>
        <w:t xml:space="preserve"> pour le calcul de PV de PMT des loyers </w:t>
      </w:r>
    </w:p>
    <w:p w14:paraId="7DE98441" w14:textId="5B00B5C4" w:rsidR="006B6FF7" w:rsidRDefault="006B6FF7" w:rsidP="0057367E">
      <w:pPr>
        <w:rPr>
          <w:color w:val="FF0000"/>
        </w:rPr>
      </w:pPr>
      <w:r>
        <w:rPr>
          <w:color w:val="FF0000"/>
        </w:rPr>
        <w:t xml:space="preserve">Par contre dans le cas d’option d’achat au prix de faveur sera le même FV </w:t>
      </w:r>
    </w:p>
    <w:p w14:paraId="12606D23" w14:textId="77777777" w:rsidR="001740A9" w:rsidRPr="0057367E" w:rsidRDefault="001740A9" w:rsidP="0057367E">
      <w:pPr>
        <w:rPr>
          <w:color w:val="FF0000"/>
        </w:rPr>
      </w:pPr>
    </w:p>
    <w:sectPr w:rsidR="001740A9" w:rsidRPr="0057367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67"/>
    <w:rsid w:val="00083F67"/>
    <w:rsid w:val="000842E2"/>
    <w:rsid w:val="001740A9"/>
    <w:rsid w:val="003E6ECB"/>
    <w:rsid w:val="004B733E"/>
    <w:rsid w:val="0057367E"/>
    <w:rsid w:val="005D71B5"/>
    <w:rsid w:val="00605BB4"/>
    <w:rsid w:val="006B6FF7"/>
    <w:rsid w:val="006D5CFE"/>
    <w:rsid w:val="00810DE3"/>
    <w:rsid w:val="00854C17"/>
    <w:rsid w:val="00A703DC"/>
    <w:rsid w:val="00AF1A99"/>
    <w:rsid w:val="00B10D60"/>
    <w:rsid w:val="00B869AE"/>
    <w:rsid w:val="00BD17A9"/>
    <w:rsid w:val="00C913F1"/>
    <w:rsid w:val="00EC66F5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F846C"/>
  <w15:chartTrackingRefBased/>
  <w15:docId w15:val="{43363960-8A77-4906-A757-56515346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F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F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F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F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F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F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F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F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F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F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4</cp:revision>
  <dcterms:created xsi:type="dcterms:W3CDTF">2025-04-07T18:55:00Z</dcterms:created>
  <dcterms:modified xsi:type="dcterms:W3CDTF">2025-04-17T20:25:00Z</dcterms:modified>
</cp:coreProperties>
</file>