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2FC13" w14:textId="77777777" w:rsidR="007230AF" w:rsidRPr="00B8447B" w:rsidRDefault="00B8447B">
      <w:pPr>
        <w:rPr>
          <w:b/>
          <w:bCs/>
          <w:sz w:val="40"/>
          <w:szCs w:val="40"/>
        </w:rPr>
      </w:pPr>
      <w:r w:rsidRPr="00B8447B">
        <w:rPr>
          <w:b/>
          <w:bCs/>
          <w:sz w:val="40"/>
          <w:szCs w:val="40"/>
        </w:rPr>
        <w:t>Stocks</w:t>
      </w:r>
    </w:p>
    <w:p w14:paraId="5BCD19E0" w14:textId="77777777" w:rsidR="00B8447B" w:rsidRPr="00B8447B" w:rsidRDefault="00B8447B">
      <w:pPr>
        <w:rPr>
          <w:sz w:val="28"/>
          <w:szCs w:val="28"/>
        </w:rPr>
      </w:pPr>
      <w:r w:rsidRPr="00B8447B">
        <w:rPr>
          <w:b/>
          <w:bCs/>
          <w:sz w:val="28"/>
          <w:szCs w:val="28"/>
        </w:rPr>
        <w:t>IAS 2 et chap. 3031</w:t>
      </w:r>
      <w:r>
        <w:rPr>
          <w:sz w:val="28"/>
          <w:szCs w:val="28"/>
        </w:rPr>
        <w:t xml:space="preserve"> - </w:t>
      </w:r>
      <w:r w:rsidRPr="00B8447B">
        <w:rPr>
          <w:i/>
          <w:iCs/>
          <w:sz w:val="28"/>
          <w:szCs w:val="28"/>
        </w:rPr>
        <w:t xml:space="preserve">normes </w:t>
      </w:r>
      <w:r>
        <w:rPr>
          <w:i/>
          <w:iCs/>
          <w:sz w:val="28"/>
          <w:szCs w:val="28"/>
        </w:rPr>
        <w:t>presqu’identiques</w:t>
      </w:r>
    </w:p>
    <w:p w14:paraId="66669052" w14:textId="77777777" w:rsidR="00B8447B" w:rsidRDefault="00B8447B"/>
    <w:p w14:paraId="07BB93DA" w14:textId="77777777" w:rsidR="00B8447B" w:rsidRDefault="00B8447B">
      <w:r>
        <w:t>Éléments à inclure dans le coût d’acquisition</w:t>
      </w:r>
    </w:p>
    <w:p w14:paraId="4223C18D" w14:textId="77777777" w:rsidR="00B8447B" w:rsidRDefault="00B8447B" w:rsidP="00B8447B">
      <w:pPr>
        <w:pStyle w:val="Paragraphedeliste"/>
        <w:numPr>
          <w:ilvl w:val="0"/>
          <w:numId w:val="1"/>
        </w:numPr>
      </w:pPr>
      <w:r>
        <w:t>Les éléments liés à l’acquisition : taxes non remboursables, frais de transport vers l’usine</w:t>
      </w:r>
    </w:p>
    <w:p w14:paraId="70C51044" w14:textId="77777777" w:rsidR="00B8447B" w:rsidRDefault="00B8447B" w:rsidP="00B8447B">
      <w:pPr>
        <w:pStyle w:val="Paragraphedeliste"/>
        <w:numPr>
          <w:ilvl w:val="0"/>
          <w:numId w:val="1"/>
        </w:numPr>
      </w:pPr>
      <w:r>
        <w:t>Moins : remises, rabais-volume</w:t>
      </w:r>
    </w:p>
    <w:p w14:paraId="530DFCEF" w14:textId="77777777" w:rsidR="00B8447B" w:rsidRDefault="00B8447B" w:rsidP="00B8447B"/>
    <w:p w14:paraId="5AAD3CF5" w14:textId="77777777" w:rsidR="00B8447B" w:rsidRDefault="00B8447B" w:rsidP="00B8447B">
      <w:r>
        <w:t xml:space="preserve">Si fabrication : </w:t>
      </w:r>
    </w:p>
    <w:p w14:paraId="43085E91" w14:textId="77777777" w:rsidR="00B8447B" w:rsidRDefault="00B8447B" w:rsidP="00B8447B">
      <w:pPr>
        <w:pStyle w:val="Paragraphedeliste"/>
        <w:numPr>
          <w:ilvl w:val="0"/>
          <w:numId w:val="2"/>
        </w:numPr>
      </w:pPr>
      <w:r>
        <w:t>Inclure frais généraux fixes et variables (selon capacité normale – excédent en charge)</w:t>
      </w:r>
    </w:p>
    <w:p w14:paraId="3320B92B" w14:textId="77777777" w:rsidR="00B8447B" w:rsidRDefault="00B8447B" w:rsidP="00B8447B">
      <w:pPr>
        <w:pStyle w:val="Paragraphedeliste"/>
        <w:numPr>
          <w:ilvl w:val="1"/>
          <w:numId w:val="2"/>
        </w:numPr>
      </w:pPr>
      <w:r>
        <w:t>Pas les frais de vente</w:t>
      </w:r>
    </w:p>
    <w:p w14:paraId="096C6DF5" w14:textId="77777777" w:rsidR="00B8447B" w:rsidRDefault="00B8447B" w:rsidP="00B8447B">
      <w:pPr>
        <w:pStyle w:val="Paragraphedeliste"/>
        <w:numPr>
          <w:ilvl w:val="0"/>
          <w:numId w:val="2"/>
        </w:numPr>
      </w:pPr>
      <w:r>
        <w:t>Inclure pertes normales mais pas les pertes anormales</w:t>
      </w:r>
    </w:p>
    <w:p w14:paraId="1FC3007C" w14:textId="77777777" w:rsidR="00B8447B" w:rsidRDefault="00B8447B" w:rsidP="00B8447B">
      <w:pPr>
        <w:pStyle w:val="Paragraphedeliste"/>
        <w:numPr>
          <w:ilvl w:val="0"/>
          <w:numId w:val="2"/>
        </w:numPr>
      </w:pPr>
      <w:r>
        <w:t>Inclure coût d’emprunt seulement si longue période de production (pas stade produits finis)</w:t>
      </w:r>
    </w:p>
    <w:p w14:paraId="16F65C88" w14:textId="77777777" w:rsidR="00B8447B" w:rsidRDefault="00B8447B" w:rsidP="00B8447B">
      <w:pPr>
        <w:pStyle w:val="Paragraphedeliste"/>
        <w:numPr>
          <w:ilvl w:val="0"/>
          <w:numId w:val="2"/>
        </w:numPr>
      </w:pPr>
      <w:r>
        <w:t>Inclure frais d’entrepose seulement pendant période PEC, pas stade produits finis</w:t>
      </w:r>
    </w:p>
    <w:p w14:paraId="04488BD3" w14:textId="77777777" w:rsidR="00B8447B" w:rsidRDefault="00B8447B"/>
    <w:p w14:paraId="6E28DCE4" w14:textId="77777777" w:rsidR="00B8447B" w:rsidRDefault="00B8447B">
      <w:r>
        <w:t>Mesure : plus faible du coût et de la valeur nette de réalisation (dépréciation)</w:t>
      </w:r>
    </w:p>
    <w:p w14:paraId="30AEFC5B" w14:textId="77777777" w:rsidR="00B8447B" w:rsidRDefault="00B8447B"/>
    <w:p w14:paraId="44140DB1" w14:textId="77777777" w:rsidR="00B8447B" w:rsidRDefault="00B8447B"/>
    <w:p w14:paraId="505E28F3" w14:textId="77777777" w:rsidR="00B8447B" w:rsidRDefault="00B844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755D076" w14:textId="77777777" w:rsidR="00B8447B" w:rsidRPr="00B8447B" w:rsidRDefault="00B8447B" w:rsidP="00B844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Actif incorporel</w:t>
      </w:r>
    </w:p>
    <w:p w14:paraId="422B2512" w14:textId="77777777" w:rsidR="00B8447B" w:rsidRPr="00B8447B" w:rsidRDefault="00B8447B" w:rsidP="00B8447B">
      <w:pPr>
        <w:rPr>
          <w:sz w:val="28"/>
          <w:szCs w:val="28"/>
        </w:rPr>
      </w:pPr>
      <w:r w:rsidRPr="00B8447B">
        <w:rPr>
          <w:b/>
          <w:bCs/>
          <w:sz w:val="28"/>
          <w:szCs w:val="28"/>
        </w:rPr>
        <w:t xml:space="preserve">IAS </w:t>
      </w:r>
      <w:r>
        <w:rPr>
          <w:b/>
          <w:bCs/>
          <w:sz w:val="28"/>
          <w:szCs w:val="28"/>
        </w:rPr>
        <w:t>38</w:t>
      </w:r>
      <w:r w:rsidRPr="00B8447B">
        <w:rPr>
          <w:b/>
          <w:bCs/>
          <w:sz w:val="28"/>
          <w:szCs w:val="28"/>
        </w:rPr>
        <w:t xml:space="preserve"> et chap. 30</w:t>
      </w:r>
      <w:r>
        <w:rPr>
          <w:b/>
          <w:bCs/>
          <w:sz w:val="28"/>
          <w:szCs w:val="28"/>
        </w:rPr>
        <w:t>64</w:t>
      </w:r>
      <w:r>
        <w:rPr>
          <w:sz w:val="28"/>
          <w:szCs w:val="28"/>
        </w:rPr>
        <w:t xml:space="preserve"> - </w:t>
      </w:r>
      <w:r w:rsidRPr="00B8447B">
        <w:rPr>
          <w:i/>
          <w:iCs/>
          <w:sz w:val="28"/>
          <w:szCs w:val="28"/>
        </w:rPr>
        <w:t xml:space="preserve">normes </w:t>
      </w:r>
      <w:r>
        <w:rPr>
          <w:i/>
          <w:iCs/>
          <w:sz w:val="28"/>
          <w:szCs w:val="28"/>
        </w:rPr>
        <w:t>presqu’identiques (différence en rouge pour NCECF)</w:t>
      </w:r>
    </w:p>
    <w:p w14:paraId="0C39F417" w14:textId="77777777" w:rsidR="00B8447B" w:rsidRDefault="00B8447B" w:rsidP="00B8447B"/>
    <w:p w14:paraId="2655D3F3" w14:textId="77777777" w:rsidR="00B8447B" w:rsidRDefault="00B8447B" w:rsidP="00B8447B">
      <w:r>
        <w:t>Éléments à inclure dans le coût d’acquisition</w:t>
      </w:r>
    </w:p>
    <w:p w14:paraId="45B0D097" w14:textId="77777777" w:rsidR="00B8447B" w:rsidRDefault="00B8447B" w:rsidP="00B8447B">
      <w:pPr>
        <w:pStyle w:val="Paragraphedeliste"/>
        <w:numPr>
          <w:ilvl w:val="0"/>
          <w:numId w:val="1"/>
        </w:numPr>
      </w:pPr>
      <w:r>
        <w:t>Les éléments liés à l’acquisition : taxes non remboursables, honoraires légaux</w:t>
      </w:r>
    </w:p>
    <w:p w14:paraId="2B3F1D5A" w14:textId="77777777" w:rsidR="00837532" w:rsidRDefault="00837532" w:rsidP="00B8447B">
      <w:pPr>
        <w:pStyle w:val="Paragraphedeliste"/>
        <w:numPr>
          <w:ilvl w:val="0"/>
          <w:numId w:val="1"/>
        </w:numPr>
      </w:pPr>
      <w:r>
        <w:t>Exclure les frais de vente</w:t>
      </w:r>
    </w:p>
    <w:p w14:paraId="2F55E023" w14:textId="77777777" w:rsidR="00B8447B" w:rsidRDefault="00B8447B"/>
    <w:p w14:paraId="0C845B69" w14:textId="77777777" w:rsidR="00837532" w:rsidRPr="00837532" w:rsidRDefault="00837532">
      <w:pPr>
        <w:rPr>
          <w:b/>
          <w:bCs/>
        </w:rPr>
      </w:pPr>
      <w:r>
        <w:rPr>
          <w:b/>
          <w:bCs/>
        </w:rPr>
        <w:t xml:space="preserve">Pour les actifs incorporels « achetés » : </w:t>
      </w:r>
    </w:p>
    <w:p w14:paraId="4CB38391" w14:textId="77777777" w:rsidR="00B8447B" w:rsidRDefault="00B8447B">
      <w:r>
        <w:t>Nature : critères</w:t>
      </w:r>
    </w:p>
    <w:p w14:paraId="1DCB22E7" w14:textId="77777777" w:rsidR="00B8447B" w:rsidRPr="00B8447B" w:rsidRDefault="00B8447B" w:rsidP="00B8447B">
      <w:pPr>
        <w:pStyle w:val="Paragraphedeliste"/>
        <w:numPr>
          <w:ilvl w:val="0"/>
          <w:numId w:val="3"/>
        </w:numPr>
        <w:spacing w:line="360" w:lineRule="auto"/>
      </w:pPr>
      <w:r w:rsidRPr="00B8447B">
        <w:t>Caractère identifiable :</w:t>
      </w:r>
    </w:p>
    <w:p w14:paraId="1506A780" w14:textId="77777777" w:rsidR="00B8447B" w:rsidRPr="00B8447B" w:rsidRDefault="00B8447B" w:rsidP="00B8447B">
      <w:pPr>
        <w:pStyle w:val="Paragraphedeliste"/>
        <w:numPr>
          <w:ilvl w:val="1"/>
          <w:numId w:val="3"/>
        </w:numPr>
        <w:spacing w:line="360" w:lineRule="auto"/>
      </w:pPr>
      <w:r w:rsidRPr="00B8447B">
        <w:t xml:space="preserve">L’actif est séparable (peut être vendu, cédé, loué, etc.)  </w:t>
      </w:r>
      <w:proofErr w:type="gramStart"/>
      <w:r w:rsidRPr="00B8447B">
        <w:t>OU</w:t>
      </w:r>
      <w:proofErr w:type="gramEnd"/>
    </w:p>
    <w:p w14:paraId="3B549A17" w14:textId="77777777" w:rsidR="00B8447B" w:rsidRPr="00B8447B" w:rsidRDefault="00B8447B" w:rsidP="00B8447B">
      <w:pPr>
        <w:pStyle w:val="Paragraphedeliste"/>
        <w:numPr>
          <w:ilvl w:val="1"/>
          <w:numId w:val="3"/>
        </w:numPr>
        <w:spacing w:line="360" w:lineRule="auto"/>
      </w:pPr>
      <w:r w:rsidRPr="00B8447B">
        <w:t>Résulte de droits contractuels (cessible et séparable ou pas)</w:t>
      </w:r>
    </w:p>
    <w:p w14:paraId="37A82DDC" w14:textId="77777777" w:rsidR="00B8447B" w:rsidRPr="00B8447B" w:rsidRDefault="00B8447B" w:rsidP="00B8447B">
      <w:pPr>
        <w:pStyle w:val="Paragraphedeliste"/>
        <w:numPr>
          <w:ilvl w:val="0"/>
          <w:numId w:val="3"/>
        </w:numPr>
        <w:spacing w:line="360" w:lineRule="auto"/>
      </w:pPr>
      <w:r w:rsidRPr="00B8447B">
        <w:t>Contrôle : pouvoir d’obtenir les avantages économiques de l’actif, et en restreindre l’accès au tiers (droits établis, clause de non-concurrence)</w:t>
      </w:r>
    </w:p>
    <w:p w14:paraId="49F43207" w14:textId="77777777" w:rsidR="00B8447B" w:rsidRPr="00B8447B" w:rsidRDefault="00B8447B" w:rsidP="00B8447B">
      <w:pPr>
        <w:pStyle w:val="Paragraphedeliste"/>
        <w:numPr>
          <w:ilvl w:val="1"/>
          <w:numId w:val="3"/>
        </w:numPr>
        <w:spacing w:line="360" w:lineRule="auto"/>
      </w:pPr>
      <w:r w:rsidRPr="00B8447B">
        <w:t>Par exemple brevet</w:t>
      </w:r>
    </w:p>
    <w:p w14:paraId="38301FF8" w14:textId="77777777" w:rsidR="00B8447B" w:rsidRPr="00B8447B" w:rsidRDefault="00B8447B" w:rsidP="00B8447B">
      <w:pPr>
        <w:pStyle w:val="Paragraphedeliste"/>
        <w:numPr>
          <w:ilvl w:val="0"/>
          <w:numId w:val="3"/>
        </w:numPr>
        <w:spacing w:line="360" w:lineRule="auto"/>
      </w:pPr>
      <w:r w:rsidRPr="00B8447B">
        <w:t>Probable que les avantages économiques iront à l’entité</w:t>
      </w:r>
    </w:p>
    <w:p w14:paraId="29473660" w14:textId="77777777" w:rsidR="00B8447B" w:rsidRPr="00B8447B" w:rsidRDefault="00B8447B" w:rsidP="00B8447B">
      <w:pPr>
        <w:pStyle w:val="Paragraphedeliste"/>
        <w:numPr>
          <w:ilvl w:val="0"/>
          <w:numId w:val="3"/>
        </w:numPr>
        <w:spacing w:line="360" w:lineRule="auto"/>
      </w:pPr>
      <w:r w:rsidRPr="00B8447B">
        <w:t>Le coût peut être évalué de façon fiable</w:t>
      </w:r>
    </w:p>
    <w:p w14:paraId="2BFDCD14" w14:textId="77777777" w:rsidR="00B8447B" w:rsidRDefault="00B8447B"/>
    <w:p w14:paraId="42B147B1" w14:textId="77777777" w:rsidR="00837532" w:rsidRPr="00837532" w:rsidRDefault="00837532" w:rsidP="00837532">
      <w:pPr>
        <w:rPr>
          <w:b/>
          <w:bCs/>
        </w:rPr>
      </w:pPr>
      <w:r>
        <w:rPr>
          <w:b/>
          <w:bCs/>
        </w:rPr>
        <w:t xml:space="preserve">Pour les actifs incorporels « développés à l’interne » : </w:t>
      </w:r>
    </w:p>
    <w:p w14:paraId="26181975" w14:textId="77777777" w:rsidR="00837532" w:rsidRDefault="00837532" w:rsidP="00837532">
      <w:pPr>
        <w:pStyle w:val="Paragraphedeliste"/>
        <w:numPr>
          <w:ilvl w:val="0"/>
          <w:numId w:val="6"/>
        </w:numPr>
      </w:pPr>
      <w:r w:rsidRPr="00837532">
        <w:rPr>
          <w:u w:val="single"/>
        </w:rPr>
        <w:t>En charge sauf</w:t>
      </w:r>
      <w:r>
        <w:t xml:space="preserve"> frais de développement - DOIT CAPITALISER si respecte </w:t>
      </w:r>
      <w:r w:rsidRPr="00837532">
        <w:rPr>
          <w:u w:val="single"/>
        </w:rPr>
        <w:t>tous</w:t>
      </w:r>
      <w:r>
        <w:t xml:space="preserve"> les 6 critères</w:t>
      </w:r>
    </w:p>
    <w:p w14:paraId="05957446" w14:textId="77777777" w:rsidR="00837532" w:rsidRPr="00837532" w:rsidRDefault="00837532" w:rsidP="00837532">
      <w:pPr>
        <w:pStyle w:val="Paragraphedeliste"/>
        <w:numPr>
          <w:ilvl w:val="1"/>
          <w:numId w:val="8"/>
        </w:numPr>
      </w:pPr>
      <w:r w:rsidRPr="00837532">
        <w:t>Faisabilité technique de l’achever</w:t>
      </w:r>
    </w:p>
    <w:p w14:paraId="519A61F1" w14:textId="77777777" w:rsidR="00837532" w:rsidRPr="00837532" w:rsidRDefault="00837532" w:rsidP="00837532">
      <w:pPr>
        <w:pStyle w:val="Paragraphedeliste"/>
        <w:numPr>
          <w:ilvl w:val="1"/>
          <w:numId w:val="8"/>
        </w:numPr>
        <w:spacing w:line="360" w:lineRule="auto"/>
      </w:pPr>
      <w:r w:rsidRPr="00837532">
        <w:t>Intention d’achever</w:t>
      </w:r>
    </w:p>
    <w:p w14:paraId="2AAC4374" w14:textId="77777777" w:rsidR="00837532" w:rsidRPr="00837532" w:rsidRDefault="00837532" w:rsidP="00837532">
      <w:pPr>
        <w:pStyle w:val="Paragraphedeliste"/>
        <w:numPr>
          <w:ilvl w:val="1"/>
          <w:numId w:val="8"/>
        </w:numPr>
        <w:spacing w:line="360" w:lineRule="auto"/>
      </w:pPr>
      <w:r w:rsidRPr="00837532">
        <w:t>Capacité à mettre en service ou vendre</w:t>
      </w:r>
    </w:p>
    <w:p w14:paraId="2DA47802" w14:textId="77777777" w:rsidR="00837532" w:rsidRPr="00837532" w:rsidRDefault="00837532" w:rsidP="00837532">
      <w:pPr>
        <w:pStyle w:val="Paragraphedeliste"/>
        <w:numPr>
          <w:ilvl w:val="1"/>
          <w:numId w:val="8"/>
        </w:numPr>
        <w:spacing w:line="360" w:lineRule="auto"/>
      </w:pPr>
      <w:r w:rsidRPr="00837532">
        <w:t>Existence d’un marché (ou générer avantages économiques)</w:t>
      </w:r>
    </w:p>
    <w:p w14:paraId="199CA76A" w14:textId="77777777" w:rsidR="00837532" w:rsidRPr="00837532" w:rsidRDefault="00837532" w:rsidP="00837532">
      <w:pPr>
        <w:pStyle w:val="Paragraphedeliste"/>
        <w:numPr>
          <w:ilvl w:val="1"/>
          <w:numId w:val="8"/>
        </w:numPr>
        <w:spacing w:line="360" w:lineRule="auto"/>
      </w:pPr>
      <w:r w:rsidRPr="00837532">
        <w:t>Disponibilité des ressources</w:t>
      </w:r>
    </w:p>
    <w:p w14:paraId="29CF5A50" w14:textId="77777777" w:rsidR="00837532" w:rsidRPr="00837532" w:rsidRDefault="00837532" w:rsidP="00837532">
      <w:pPr>
        <w:pStyle w:val="Paragraphedeliste"/>
        <w:numPr>
          <w:ilvl w:val="1"/>
          <w:numId w:val="8"/>
        </w:numPr>
        <w:spacing w:line="360" w:lineRule="auto"/>
      </w:pPr>
      <w:r w:rsidRPr="00837532">
        <w:t>Capacité d’évaluer de façon fiable les dépenses</w:t>
      </w:r>
    </w:p>
    <w:p w14:paraId="12C86982" w14:textId="77777777" w:rsidR="00837532" w:rsidRDefault="00837532" w:rsidP="00837532">
      <w:pPr>
        <w:pStyle w:val="Paragraphedeliste"/>
        <w:numPr>
          <w:ilvl w:val="2"/>
          <w:numId w:val="6"/>
        </w:numPr>
      </w:pPr>
      <w:r>
        <w:rPr>
          <w:color w:val="FF0000"/>
        </w:rPr>
        <w:t>NCECF : choix méthode comptable uniquement pour les frais de développement (charge ou actif si respecte les 6 critères)</w:t>
      </w:r>
    </w:p>
    <w:p w14:paraId="2D846DC7" w14:textId="77777777" w:rsidR="00837532" w:rsidRDefault="00837532"/>
    <w:p w14:paraId="4C74450E" w14:textId="77777777" w:rsidR="00837532" w:rsidRDefault="00837532">
      <w:r>
        <w:lastRenderedPageBreak/>
        <w:t>Mesure</w:t>
      </w:r>
    </w:p>
    <w:p w14:paraId="238A1B28" w14:textId="77777777" w:rsidR="00837532" w:rsidRDefault="00837532" w:rsidP="00837532">
      <w:pPr>
        <w:pStyle w:val="Paragraphedeliste"/>
        <w:numPr>
          <w:ilvl w:val="0"/>
          <w:numId w:val="5"/>
        </w:numPr>
      </w:pPr>
      <w:r>
        <w:t>IFRS : choix</w:t>
      </w:r>
    </w:p>
    <w:p w14:paraId="044084AF" w14:textId="77777777" w:rsidR="00837532" w:rsidRDefault="00837532" w:rsidP="00837532">
      <w:pPr>
        <w:pStyle w:val="Paragraphedeliste"/>
        <w:numPr>
          <w:ilvl w:val="1"/>
          <w:numId w:val="5"/>
        </w:numPr>
      </w:pPr>
      <w:r>
        <w:t>Coût</w:t>
      </w:r>
    </w:p>
    <w:p w14:paraId="3A2ED510" w14:textId="77777777" w:rsidR="00837532" w:rsidRDefault="00837532" w:rsidP="00837532">
      <w:pPr>
        <w:pStyle w:val="Paragraphedeliste"/>
        <w:numPr>
          <w:ilvl w:val="1"/>
          <w:numId w:val="5"/>
        </w:numPr>
      </w:pPr>
      <w:r>
        <w:t>Modèle de réévaluation</w:t>
      </w:r>
    </w:p>
    <w:p w14:paraId="31B09616" w14:textId="77777777" w:rsidR="00837532" w:rsidRDefault="00837532" w:rsidP="00837532">
      <w:pPr>
        <w:pStyle w:val="Paragraphedeliste"/>
        <w:numPr>
          <w:ilvl w:val="2"/>
          <w:numId w:val="5"/>
        </w:numPr>
      </w:pPr>
      <w:r>
        <w:t>Mais nécessite un marché actif</w:t>
      </w:r>
    </w:p>
    <w:p w14:paraId="5E7AAA93" w14:textId="77777777" w:rsidR="00837532" w:rsidRDefault="00837532" w:rsidP="00837532">
      <w:pPr>
        <w:pStyle w:val="Paragraphedeliste"/>
        <w:numPr>
          <w:ilvl w:val="0"/>
          <w:numId w:val="5"/>
        </w:numPr>
      </w:pPr>
      <w:r>
        <w:rPr>
          <w:color w:val="FF0000"/>
        </w:rPr>
        <w:t>NCECF : obligatoirement le coût</w:t>
      </w:r>
    </w:p>
    <w:p w14:paraId="22EEA86A" w14:textId="77777777" w:rsidR="00837532" w:rsidRDefault="00837532"/>
    <w:p w14:paraId="38BFAA46" w14:textId="77777777" w:rsidR="00837532" w:rsidRDefault="00837532">
      <w:r>
        <w:t>Mesure subséquente :</w:t>
      </w:r>
    </w:p>
    <w:p w14:paraId="2BF40903" w14:textId="77777777" w:rsidR="00837532" w:rsidRDefault="00837532" w:rsidP="00837532">
      <w:pPr>
        <w:pStyle w:val="Paragraphedeliste"/>
        <w:numPr>
          <w:ilvl w:val="0"/>
          <w:numId w:val="9"/>
        </w:numPr>
      </w:pPr>
      <w:r>
        <w:t>Actif à durée déterminée ou non</w:t>
      </w:r>
    </w:p>
    <w:p w14:paraId="4C0A79CD" w14:textId="77777777" w:rsidR="00837532" w:rsidRDefault="00837532" w:rsidP="00837532">
      <w:pPr>
        <w:pStyle w:val="Paragraphedeliste"/>
        <w:numPr>
          <w:ilvl w:val="0"/>
          <w:numId w:val="9"/>
        </w:numPr>
      </w:pPr>
      <w:r>
        <w:t>Test de dépréciation</w:t>
      </w:r>
    </w:p>
    <w:p w14:paraId="48EF92C7" w14:textId="77777777" w:rsidR="00837532" w:rsidRPr="00837532" w:rsidRDefault="00837532" w:rsidP="00837532">
      <w:pPr>
        <w:pStyle w:val="Paragraphedeliste"/>
        <w:numPr>
          <w:ilvl w:val="1"/>
          <w:numId w:val="9"/>
        </w:numPr>
        <w:rPr>
          <w:color w:val="FF0000"/>
        </w:rPr>
      </w:pPr>
      <w:r w:rsidRPr="00837532">
        <w:rPr>
          <w:color w:val="FF0000"/>
        </w:rPr>
        <w:t>NCECF : seulement si indice perte de valeur</w:t>
      </w:r>
    </w:p>
    <w:p w14:paraId="29DEA5F3" w14:textId="77777777" w:rsidR="00837532" w:rsidRDefault="00837532"/>
    <w:p w14:paraId="5D9123F5" w14:textId="77777777" w:rsidR="00837532" w:rsidRPr="00837532" w:rsidRDefault="00837532">
      <w:pPr>
        <w:rPr>
          <w:color w:val="FF0000"/>
        </w:rPr>
      </w:pPr>
      <w:r>
        <w:rPr>
          <w:b/>
          <w:bCs/>
        </w:rPr>
        <w:t xml:space="preserve">Goodwill </w:t>
      </w:r>
      <w:r w:rsidRPr="00837532">
        <w:rPr>
          <w:b/>
          <w:bCs/>
          <w:color w:val="FF0000"/>
        </w:rPr>
        <w:t>(</w:t>
      </w:r>
      <w:r>
        <w:rPr>
          <w:b/>
          <w:bCs/>
          <w:color w:val="FF0000"/>
        </w:rPr>
        <w:t>écart d’acquisition)</w:t>
      </w:r>
    </w:p>
    <w:p w14:paraId="241D4F30" w14:textId="77777777" w:rsidR="00837532" w:rsidRDefault="00837532" w:rsidP="00837532">
      <w:pPr>
        <w:pStyle w:val="Paragraphedeliste"/>
        <w:numPr>
          <w:ilvl w:val="0"/>
          <w:numId w:val="4"/>
        </w:numPr>
      </w:pPr>
      <w:r>
        <w:t>Uniquement dans le contexte d’acquisition de contrôle</w:t>
      </w:r>
    </w:p>
    <w:p w14:paraId="1373AE78" w14:textId="77777777" w:rsidR="00837532" w:rsidRDefault="00837532" w:rsidP="00837532"/>
    <w:p w14:paraId="57F8F6C0" w14:textId="77777777" w:rsidR="00837532" w:rsidRDefault="00837532" w:rsidP="00837532"/>
    <w:p w14:paraId="051F16B2" w14:textId="77777777" w:rsidR="00837532" w:rsidRPr="00837532" w:rsidRDefault="00837532" w:rsidP="00837532"/>
    <w:p w14:paraId="14B65035" w14:textId="77777777" w:rsidR="00B8447B" w:rsidRDefault="00B8447B"/>
    <w:p w14:paraId="312FB4CE" w14:textId="77777777" w:rsidR="00B8447B" w:rsidRPr="00B8447B" w:rsidRDefault="00B8447B"/>
    <w:sectPr w:rsidR="00B8447B" w:rsidRPr="00B8447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E334E"/>
    <w:multiLevelType w:val="hybridMultilevel"/>
    <w:tmpl w:val="7CC89B9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C2FDB"/>
    <w:multiLevelType w:val="hybridMultilevel"/>
    <w:tmpl w:val="02D616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33BEA"/>
    <w:multiLevelType w:val="hybridMultilevel"/>
    <w:tmpl w:val="0E0419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30189"/>
    <w:multiLevelType w:val="hybridMultilevel"/>
    <w:tmpl w:val="3F787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562B8"/>
    <w:multiLevelType w:val="hybridMultilevel"/>
    <w:tmpl w:val="009007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05E7C"/>
    <w:multiLevelType w:val="hybridMultilevel"/>
    <w:tmpl w:val="17E4E58E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C02FE"/>
    <w:multiLevelType w:val="hybridMultilevel"/>
    <w:tmpl w:val="D478A5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533EA"/>
    <w:multiLevelType w:val="hybridMultilevel"/>
    <w:tmpl w:val="C1A8FB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E489D"/>
    <w:multiLevelType w:val="hybridMultilevel"/>
    <w:tmpl w:val="D9A4E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533401">
    <w:abstractNumId w:val="7"/>
  </w:num>
  <w:num w:numId="2" w16cid:durableId="1023673686">
    <w:abstractNumId w:val="6"/>
  </w:num>
  <w:num w:numId="3" w16cid:durableId="2071152881">
    <w:abstractNumId w:val="2"/>
  </w:num>
  <w:num w:numId="4" w16cid:durableId="331303703">
    <w:abstractNumId w:val="3"/>
  </w:num>
  <w:num w:numId="5" w16cid:durableId="2082605727">
    <w:abstractNumId w:val="4"/>
  </w:num>
  <w:num w:numId="6" w16cid:durableId="2134863148">
    <w:abstractNumId w:val="1"/>
  </w:num>
  <w:num w:numId="7" w16cid:durableId="1630282042">
    <w:abstractNumId w:val="0"/>
  </w:num>
  <w:num w:numId="8" w16cid:durableId="1360813843">
    <w:abstractNumId w:val="8"/>
  </w:num>
  <w:num w:numId="9" w16cid:durableId="1982147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DB"/>
    <w:rsid w:val="007230AF"/>
    <w:rsid w:val="00837532"/>
    <w:rsid w:val="00A703DB"/>
    <w:rsid w:val="00B242F9"/>
    <w:rsid w:val="00B8447B"/>
    <w:rsid w:val="00D5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EC97"/>
  <w15:chartTrackingRefBased/>
  <w15:docId w15:val="{C6C2929C-47E5-4552-AEC2-BAA78777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4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Sonkoua, Jacob</cp:lastModifiedBy>
  <cp:revision>2</cp:revision>
  <dcterms:created xsi:type="dcterms:W3CDTF">2023-09-13T00:14:00Z</dcterms:created>
  <dcterms:modified xsi:type="dcterms:W3CDTF">2023-09-13T00:14:00Z</dcterms:modified>
</cp:coreProperties>
</file>