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824C833" w14:textId="77777777" w:rsidR="00E62B4D" w:rsidRPr="005770C0" w:rsidRDefault="00E62B4D" w:rsidP="00E62B4D">
      <w:pPr>
        <w:pBdr>
          <w:bottom w:val="single" w:sz="4" w:space="1" w:color="auto"/>
        </w:pBdr>
        <w:jc w:val="both"/>
        <w:rPr>
          <w:rFonts w:ascii="Times New Roman" w:hAnsi="Times New Roman" w:cs="Times New Roman"/>
          <w:b/>
          <w:sz w:val="24"/>
        </w:rPr>
      </w:pPr>
      <w:r w:rsidRPr="005770C0">
        <w:rPr>
          <w:rFonts w:ascii="Times New Roman" w:hAnsi="Times New Roman" w:cs="Times New Roman"/>
          <w:b/>
          <w:sz w:val="24"/>
        </w:rPr>
        <w:t>Horizon-Nature Inc.</w:t>
      </w:r>
      <w:r>
        <w:rPr>
          <w:rFonts w:ascii="Times New Roman" w:hAnsi="Times New Roman" w:cs="Times New Roman"/>
          <w:b/>
          <w:sz w:val="24"/>
        </w:rPr>
        <w:t xml:space="preserve"> – Solution </w:t>
      </w:r>
      <w:bookmarkStart w:id="0" w:name="_GoBack"/>
      <w:bookmarkEnd w:id="0"/>
    </w:p>
    <w:p w14:paraId="76212B63" w14:textId="77777777" w:rsidR="00D93E57" w:rsidRDefault="00D93E57" w:rsidP="00D93E57">
      <w:pPr>
        <w:jc w:val="both"/>
        <w:rPr>
          <w:rFonts w:ascii="Times New Roman" w:hAnsi="Times New Roman" w:cs="Times New Roman"/>
        </w:rPr>
      </w:pPr>
    </w:p>
    <w:p w14:paraId="718A5B8A" w14:textId="77777777" w:rsidR="00D93E57" w:rsidRDefault="00D93E57" w:rsidP="00D93E57">
      <w:pPr>
        <w:spacing w:after="0"/>
        <w:jc w:val="both"/>
        <w:rPr>
          <w:rFonts w:ascii="Times New Roman" w:hAnsi="Times New Roman" w:cs="Times New Roman"/>
        </w:rPr>
      </w:pPr>
      <w:r>
        <w:rPr>
          <w:rFonts w:ascii="Times New Roman" w:hAnsi="Times New Roman" w:cs="Times New Roman"/>
        </w:rPr>
        <w:t>À : Contrôleur</w:t>
      </w:r>
    </w:p>
    <w:p w14:paraId="63E6B098" w14:textId="77777777" w:rsidR="00D93E57" w:rsidRDefault="00D93E57" w:rsidP="00D93E57">
      <w:pPr>
        <w:spacing w:after="0"/>
        <w:jc w:val="both"/>
        <w:rPr>
          <w:rFonts w:ascii="Times New Roman" w:hAnsi="Times New Roman" w:cs="Times New Roman"/>
        </w:rPr>
      </w:pPr>
      <w:r>
        <w:rPr>
          <w:rFonts w:ascii="Times New Roman" w:hAnsi="Times New Roman" w:cs="Times New Roman"/>
        </w:rPr>
        <w:t>De : Assistant-contrôleur</w:t>
      </w:r>
    </w:p>
    <w:p w14:paraId="2411B3FA" w14:textId="782BE4BD" w:rsidR="00D93E57" w:rsidRDefault="00D93E57" w:rsidP="00D93E57">
      <w:pPr>
        <w:jc w:val="both"/>
        <w:rPr>
          <w:rFonts w:ascii="Times New Roman" w:hAnsi="Times New Roman" w:cs="Times New Roman"/>
        </w:rPr>
      </w:pPr>
      <w:r>
        <w:rPr>
          <w:rFonts w:ascii="Times New Roman" w:hAnsi="Times New Roman" w:cs="Times New Roman"/>
        </w:rPr>
        <w:t xml:space="preserve">Objet : Mémo sur le traitement comptable des transactions particulières de </w:t>
      </w:r>
      <w:r w:rsidR="00303623">
        <w:rPr>
          <w:rFonts w:ascii="Times New Roman" w:hAnsi="Times New Roman" w:cs="Times New Roman"/>
        </w:rPr>
        <w:t>2020</w:t>
      </w:r>
    </w:p>
    <w:p w14:paraId="563241DB" w14:textId="46200692" w:rsidR="00D93E57" w:rsidRDefault="00D93E57" w:rsidP="00D93E57">
      <w:pPr>
        <w:jc w:val="both"/>
        <w:rPr>
          <w:rFonts w:ascii="Times New Roman" w:hAnsi="Times New Roman" w:cs="Times New Roman"/>
        </w:rPr>
      </w:pPr>
      <w:r w:rsidRPr="00D93E57">
        <w:rPr>
          <w:rFonts w:ascii="Times New Roman" w:hAnsi="Times New Roman" w:cs="Times New Roman"/>
        </w:rPr>
        <w:t>Vous t</w:t>
      </w:r>
      <w:r>
        <w:rPr>
          <w:rFonts w:ascii="Times New Roman" w:hAnsi="Times New Roman" w:cs="Times New Roman"/>
        </w:rPr>
        <w:t>rouverez ci-joint mon analyse des</w:t>
      </w:r>
      <w:r w:rsidRPr="00D93E57">
        <w:rPr>
          <w:rFonts w:ascii="Times New Roman" w:hAnsi="Times New Roman" w:cs="Times New Roman"/>
        </w:rPr>
        <w:t xml:space="preserve"> traitement</w:t>
      </w:r>
      <w:r>
        <w:rPr>
          <w:rFonts w:ascii="Times New Roman" w:hAnsi="Times New Roman" w:cs="Times New Roman"/>
        </w:rPr>
        <w:t>s</w:t>
      </w:r>
      <w:r w:rsidRPr="00D93E57">
        <w:rPr>
          <w:rFonts w:ascii="Times New Roman" w:hAnsi="Times New Roman" w:cs="Times New Roman"/>
        </w:rPr>
        <w:t xml:space="preserve"> comptable</w:t>
      </w:r>
      <w:r>
        <w:rPr>
          <w:rFonts w:ascii="Times New Roman" w:hAnsi="Times New Roman" w:cs="Times New Roman"/>
        </w:rPr>
        <w:t xml:space="preserve">s liés aux </w:t>
      </w:r>
      <w:r w:rsidR="00D0695A">
        <w:rPr>
          <w:rFonts w:ascii="Times New Roman" w:hAnsi="Times New Roman" w:cs="Times New Roman"/>
        </w:rPr>
        <w:t>événements nouveaux</w:t>
      </w:r>
      <w:r>
        <w:rPr>
          <w:rFonts w:ascii="Times New Roman" w:hAnsi="Times New Roman" w:cs="Times New Roman"/>
        </w:rPr>
        <w:t xml:space="preserve"> de 20</w:t>
      </w:r>
      <w:r w:rsidR="00303623">
        <w:rPr>
          <w:rFonts w:ascii="Times New Roman" w:hAnsi="Times New Roman" w:cs="Times New Roman"/>
        </w:rPr>
        <w:t>20</w:t>
      </w:r>
      <w:r w:rsidRPr="00D93E57">
        <w:rPr>
          <w:rFonts w:ascii="Times New Roman" w:hAnsi="Times New Roman" w:cs="Times New Roman"/>
        </w:rPr>
        <w:t xml:space="preserve">. </w:t>
      </w:r>
    </w:p>
    <w:p w14:paraId="611545B3" w14:textId="77777777" w:rsidR="003C1663" w:rsidRDefault="003C1663" w:rsidP="00D93E57">
      <w:pPr>
        <w:jc w:val="both"/>
        <w:rPr>
          <w:rFonts w:ascii="Times New Roman" w:hAnsi="Times New Roman" w:cs="Times New Roman"/>
        </w:rPr>
      </w:pPr>
    </w:p>
    <w:p w14:paraId="081FC763" w14:textId="77777777" w:rsidR="00D93E57" w:rsidRPr="00F146AE" w:rsidRDefault="00D93E57" w:rsidP="00F146AE">
      <w:pPr>
        <w:pBdr>
          <w:top w:val="single" w:sz="4" w:space="1" w:color="auto"/>
          <w:left w:val="single" w:sz="4" w:space="4" w:color="auto"/>
          <w:bottom w:val="single" w:sz="4" w:space="1" w:color="auto"/>
          <w:right w:val="single" w:sz="4" w:space="4" w:color="auto"/>
        </w:pBdr>
        <w:shd w:val="clear" w:color="auto" w:fill="D9D9D9" w:themeFill="background1" w:themeFillShade="D9"/>
        <w:spacing w:after="0"/>
        <w:jc w:val="both"/>
        <w:rPr>
          <w:rFonts w:ascii="Times New Roman" w:hAnsi="Times New Roman" w:cs="Times New Roman"/>
          <w:b/>
        </w:rPr>
      </w:pPr>
      <w:r w:rsidRPr="00F146AE">
        <w:rPr>
          <w:rFonts w:ascii="Times New Roman" w:hAnsi="Times New Roman" w:cs="Times New Roman"/>
          <w:b/>
        </w:rPr>
        <w:t>Problématique no 1 – GARANTIE SUR LES FERMETURES ÉCLAIRS</w:t>
      </w:r>
    </w:p>
    <w:p w14:paraId="4630CEE5" w14:textId="77777777" w:rsidR="00F146AE" w:rsidRDefault="00F146AE" w:rsidP="008B1FAF">
      <w:pPr>
        <w:pBdr>
          <w:top w:val="single" w:sz="4" w:space="1" w:color="auto"/>
          <w:left w:val="single" w:sz="4" w:space="4" w:color="auto"/>
          <w:bottom w:val="single" w:sz="4" w:space="1" w:color="auto"/>
          <w:right w:val="single" w:sz="4" w:space="4" w:color="auto"/>
        </w:pBdr>
        <w:shd w:val="clear" w:color="auto" w:fill="D9D9D9" w:themeFill="background1" w:themeFillShade="D9"/>
        <w:jc w:val="both"/>
        <w:rPr>
          <w:rFonts w:ascii="Times New Roman" w:hAnsi="Times New Roman" w:cs="Times New Roman"/>
        </w:rPr>
      </w:pPr>
      <w:r>
        <w:rPr>
          <w:rFonts w:ascii="Times New Roman" w:hAnsi="Times New Roman" w:cs="Times New Roman"/>
        </w:rPr>
        <w:t>IFRS 15 / IAS 37</w:t>
      </w:r>
    </w:p>
    <w:p w14:paraId="597E0E4B" w14:textId="422CC3E7" w:rsidR="008B1FAF" w:rsidRDefault="008B1FAF" w:rsidP="00D93E57">
      <w:pPr>
        <w:jc w:val="both"/>
        <w:rPr>
          <w:rFonts w:ascii="Times New Roman" w:hAnsi="Times New Roman" w:cs="Times New Roman"/>
        </w:rPr>
      </w:pPr>
      <w:r>
        <w:rPr>
          <w:rFonts w:ascii="Times New Roman" w:hAnsi="Times New Roman" w:cs="Times New Roman"/>
        </w:rPr>
        <w:t xml:space="preserve">Depuis </w:t>
      </w:r>
      <w:r w:rsidR="00EF6390">
        <w:rPr>
          <w:rFonts w:ascii="Times New Roman" w:hAnsi="Times New Roman" w:cs="Times New Roman"/>
        </w:rPr>
        <w:t>le 1</w:t>
      </w:r>
      <w:r w:rsidR="00EF6390" w:rsidRPr="00EF6390">
        <w:rPr>
          <w:rFonts w:ascii="Times New Roman" w:hAnsi="Times New Roman" w:cs="Times New Roman"/>
          <w:vertAlign w:val="superscript"/>
        </w:rPr>
        <w:t>er</w:t>
      </w:r>
      <w:r w:rsidR="00EF6390">
        <w:rPr>
          <w:rFonts w:ascii="Times New Roman" w:hAnsi="Times New Roman" w:cs="Times New Roman"/>
        </w:rPr>
        <w:t xml:space="preserve"> janvier </w:t>
      </w:r>
      <w:r>
        <w:rPr>
          <w:rFonts w:ascii="Times New Roman" w:hAnsi="Times New Roman" w:cs="Times New Roman"/>
        </w:rPr>
        <w:t>20</w:t>
      </w:r>
      <w:r w:rsidR="00303623">
        <w:rPr>
          <w:rFonts w:ascii="Times New Roman" w:hAnsi="Times New Roman" w:cs="Times New Roman"/>
        </w:rPr>
        <w:t>20</w:t>
      </w:r>
      <w:r>
        <w:rPr>
          <w:rFonts w:ascii="Times New Roman" w:hAnsi="Times New Roman" w:cs="Times New Roman"/>
        </w:rPr>
        <w:t>, une garantie est comprise avec la vente des sacs RX-8</w:t>
      </w:r>
      <w:r w:rsidR="00572B4C">
        <w:rPr>
          <w:rFonts w:ascii="Times New Roman" w:hAnsi="Times New Roman" w:cs="Times New Roman"/>
        </w:rPr>
        <w:t>.</w:t>
      </w:r>
      <w:r>
        <w:rPr>
          <w:rFonts w:ascii="Times New Roman" w:hAnsi="Times New Roman" w:cs="Times New Roman"/>
        </w:rPr>
        <w:t xml:space="preserve"> Il faut se questionner à savoir si</w:t>
      </w:r>
      <w:r w:rsidR="00E25E88">
        <w:rPr>
          <w:rFonts w:ascii="Times New Roman" w:hAnsi="Times New Roman" w:cs="Times New Roman"/>
        </w:rPr>
        <w:t xml:space="preserve"> </w:t>
      </w:r>
      <w:r>
        <w:rPr>
          <w:rFonts w:ascii="Times New Roman" w:hAnsi="Times New Roman" w:cs="Times New Roman"/>
        </w:rPr>
        <w:t xml:space="preserve">cette garantie </w:t>
      </w:r>
      <w:r w:rsidR="00572B4C">
        <w:rPr>
          <w:rFonts w:ascii="Times New Roman" w:hAnsi="Times New Roman" w:cs="Times New Roman"/>
        </w:rPr>
        <w:t>devrai</w:t>
      </w:r>
      <w:r w:rsidR="00E25E88">
        <w:rPr>
          <w:rFonts w:ascii="Times New Roman" w:hAnsi="Times New Roman" w:cs="Times New Roman"/>
        </w:rPr>
        <w:t>t être co</w:t>
      </w:r>
      <w:r w:rsidR="00572B4C">
        <w:rPr>
          <w:rFonts w:ascii="Times New Roman" w:hAnsi="Times New Roman" w:cs="Times New Roman"/>
        </w:rPr>
        <w:t xml:space="preserve">mptabilisée comme une obligation de prestation distincte de la vente des sacs </w:t>
      </w:r>
      <w:r w:rsidR="00EF6390">
        <w:rPr>
          <w:rFonts w:ascii="Times New Roman" w:hAnsi="Times New Roman" w:cs="Times New Roman"/>
        </w:rPr>
        <w:t>et</w:t>
      </w:r>
      <w:r>
        <w:rPr>
          <w:rFonts w:ascii="Times New Roman" w:hAnsi="Times New Roman" w:cs="Times New Roman"/>
        </w:rPr>
        <w:t xml:space="preserve"> </w:t>
      </w:r>
      <w:r w:rsidR="00E25E88">
        <w:rPr>
          <w:rFonts w:ascii="Times New Roman" w:hAnsi="Times New Roman" w:cs="Times New Roman"/>
        </w:rPr>
        <w:t xml:space="preserve">si une provision devrait être prise </w:t>
      </w:r>
      <w:r w:rsidR="00572B4C">
        <w:rPr>
          <w:rFonts w:ascii="Times New Roman" w:hAnsi="Times New Roman" w:cs="Times New Roman"/>
        </w:rPr>
        <w:t>à cet effet</w:t>
      </w:r>
      <w:r>
        <w:rPr>
          <w:rFonts w:ascii="Times New Roman" w:hAnsi="Times New Roman" w:cs="Times New Roman"/>
        </w:rPr>
        <w:t xml:space="preserve">. </w:t>
      </w:r>
    </w:p>
    <w:p w14:paraId="53F72AB0" w14:textId="77777777" w:rsidR="008B1FAF" w:rsidRDefault="008B1FAF" w:rsidP="00D93E57">
      <w:pPr>
        <w:jc w:val="both"/>
        <w:rPr>
          <w:rFonts w:ascii="Times New Roman" w:hAnsi="Times New Roman" w:cs="Times New Roman"/>
        </w:rPr>
      </w:pPr>
      <w:r>
        <w:rPr>
          <w:rFonts w:ascii="Times New Roman" w:hAnsi="Times New Roman" w:cs="Times New Roman"/>
        </w:rPr>
        <w:t>La comptabilisation doit se faire conformément à l’IFRS 15 dont l’analyse se fait en 5 étapes :</w:t>
      </w:r>
    </w:p>
    <w:p w14:paraId="4C2D7ACD" w14:textId="77777777" w:rsidR="008B1FAF" w:rsidRPr="00321F35" w:rsidRDefault="008B1FAF" w:rsidP="008B1FAF">
      <w:pPr>
        <w:pStyle w:val="Paragraphedeliste"/>
        <w:numPr>
          <w:ilvl w:val="0"/>
          <w:numId w:val="1"/>
        </w:numPr>
        <w:jc w:val="both"/>
        <w:rPr>
          <w:rFonts w:ascii="Times New Roman" w:hAnsi="Times New Roman" w:cs="Times New Roman"/>
          <w:i/>
          <w:u w:val="single"/>
        </w:rPr>
      </w:pPr>
      <w:r w:rsidRPr="00321F35">
        <w:rPr>
          <w:rFonts w:ascii="Times New Roman" w:hAnsi="Times New Roman" w:cs="Times New Roman"/>
          <w:i/>
          <w:u w:val="single"/>
        </w:rPr>
        <w:t>Identifier un contrat avec le client</w:t>
      </w:r>
    </w:p>
    <w:p w14:paraId="43D64098" w14:textId="77777777" w:rsidR="00EF6390" w:rsidRPr="00EF6390" w:rsidRDefault="00EF6390" w:rsidP="00EF6390">
      <w:pPr>
        <w:pStyle w:val="ifrsl6"/>
        <w:shd w:val="clear" w:color="auto" w:fill="FFFFFF"/>
        <w:spacing w:before="65" w:beforeAutospacing="0" w:after="65" w:afterAutospacing="0"/>
        <w:ind w:left="360"/>
        <w:rPr>
          <w:rFonts w:ascii="Arial" w:hAnsi="Arial" w:cs="Arial"/>
          <w:i/>
          <w:iCs/>
          <w:color w:val="444444"/>
          <w:sz w:val="22"/>
          <w:szCs w:val="22"/>
        </w:rPr>
      </w:pPr>
      <w:r w:rsidRPr="00EF6390">
        <w:rPr>
          <w:rFonts w:ascii="Arial" w:hAnsi="Arial" w:cs="Arial"/>
          <w:i/>
          <w:iCs/>
          <w:color w:val="444444"/>
          <w:sz w:val="22"/>
          <w:szCs w:val="22"/>
        </w:rPr>
        <w:t>Identification du contrat</w:t>
      </w:r>
    </w:p>
    <w:p w14:paraId="0D78E75B" w14:textId="77777777" w:rsidR="00EF6390" w:rsidRPr="00EF6390" w:rsidRDefault="00EF6390" w:rsidP="00EF6390">
      <w:pPr>
        <w:pStyle w:val="ifrsparagraphbold"/>
        <w:shd w:val="clear" w:color="auto" w:fill="FFFFFF"/>
        <w:spacing w:before="65" w:beforeAutospacing="0" w:after="65" w:afterAutospacing="0"/>
        <w:ind w:left="360"/>
        <w:rPr>
          <w:rFonts w:ascii="Arial" w:hAnsi="Arial" w:cs="Arial"/>
          <w:i/>
          <w:iCs/>
          <w:color w:val="444444"/>
          <w:sz w:val="21"/>
          <w:szCs w:val="21"/>
        </w:rPr>
      </w:pPr>
      <w:bookmarkStart w:id="1" w:name="para_23"/>
      <w:bookmarkStart w:id="2" w:name="IFRS_15.9"/>
      <w:bookmarkEnd w:id="1"/>
      <w:bookmarkEnd w:id="2"/>
      <w:r w:rsidRPr="00EF6390">
        <w:rPr>
          <w:rFonts w:ascii="Arial" w:hAnsi="Arial" w:cs="Arial"/>
          <w:i/>
          <w:iCs/>
          <w:color w:val="444444"/>
          <w:sz w:val="21"/>
          <w:szCs w:val="21"/>
        </w:rPr>
        <w:t>9     L'entité doit comptabiliser un contrat conclu avec un client qui entre dans le champ d'application de la présente norme uniquement lorsque toutes les conditions suivantes sont remplies :</w:t>
      </w:r>
    </w:p>
    <w:p w14:paraId="72504341" w14:textId="77777777" w:rsidR="00EF6390" w:rsidRPr="00EF6390" w:rsidRDefault="00EF6390" w:rsidP="00EF6390">
      <w:pPr>
        <w:pStyle w:val="ifrsboldbullet"/>
        <w:shd w:val="clear" w:color="auto" w:fill="FFFFFF"/>
        <w:spacing w:before="65" w:beforeAutospacing="0" w:after="65" w:afterAutospacing="0"/>
        <w:ind w:left="360"/>
        <w:rPr>
          <w:rFonts w:ascii="Arial" w:hAnsi="Arial" w:cs="Arial"/>
          <w:i/>
          <w:iCs/>
          <w:color w:val="444444"/>
          <w:sz w:val="21"/>
          <w:szCs w:val="21"/>
        </w:rPr>
      </w:pPr>
      <w:bookmarkStart w:id="3" w:name="para_24"/>
      <w:bookmarkEnd w:id="3"/>
      <w:r w:rsidRPr="00EF6390">
        <w:rPr>
          <w:rFonts w:ascii="Arial" w:hAnsi="Arial" w:cs="Arial"/>
          <w:i/>
          <w:iCs/>
          <w:color w:val="444444"/>
          <w:sz w:val="21"/>
          <w:szCs w:val="21"/>
        </w:rPr>
        <w:t>(a)     les parties au contrat ont approuvé celui-ci (par écrit, verbalement ou selon d'autres pratiques commerciales habituelles) et se sont engagées à remplir leurs obligations respectives ;</w:t>
      </w:r>
    </w:p>
    <w:p w14:paraId="0C311378" w14:textId="77777777" w:rsidR="00EF6390" w:rsidRPr="00EF6390" w:rsidRDefault="00EF6390" w:rsidP="00EF6390">
      <w:pPr>
        <w:pStyle w:val="ifrsboldbullet"/>
        <w:shd w:val="clear" w:color="auto" w:fill="FFFFFF"/>
        <w:spacing w:before="65" w:beforeAutospacing="0" w:after="65" w:afterAutospacing="0"/>
        <w:ind w:left="360"/>
        <w:rPr>
          <w:rFonts w:ascii="Arial" w:hAnsi="Arial" w:cs="Arial"/>
          <w:i/>
          <w:iCs/>
          <w:color w:val="444444"/>
          <w:sz w:val="21"/>
          <w:szCs w:val="21"/>
        </w:rPr>
      </w:pPr>
      <w:bookmarkStart w:id="4" w:name="para_25"/>
      <w:bookmarkEnd w:id="4"/>
      <w:r w:rsidRPr="00EF6390">
        <w:rPr>
          <w:rFonts w:ascii="Arial" w:hAnsi="Arial" w:cs="Arial"/>
          <w:i/>
          <w:iCs/>
          <w:color w:val="444444"/>
          <w:sz w:val="21"/>
          <w:szCs w:val="21"/>
        </w:rPr>
        <w:t>(b)     l'entité peut identifier les droits de chaque partie en ce qui concerne les biens ou les services à fournir ;</w:t>
      </w:r>
    </w:p>
    <w:p w14:paraId="51C4AA00" w14:textId="77777777" w:rsidR="00EF6390" w:rsidRPr="00EF6390" w:rsidRDefault="00EF6390" w:rsidP="00EF6390">
      <w:pPr>
        <w:pStyle w:val="ifrsboldbullet"/>
        <w:shd w:val="clear" w:color="auto" w:fill="FFFFFF"/>
        <w:spacing w:before="65" w:beforeAutospacing="0" w:after="65" w:afterAutospacing="0"/>
        <w:ind w:left="360"/>
        <w:rPr>
          <w:rFonts w:ascii="Arial" w:hAnsi="Arial" w:cs="Arial"/>
          <w:i/>
          <w:iCs/>
          <w:color w:val="444444"/>
          <w:sz w:val="21"/>
          <w:szCs w:val="21"/>
        </w:rPr>
      </w:pPr>
      <w:bookmarkStart w:id="5" w:name="para_26"/>
      <w:bookmarkEnd w:id="5"/>
      <w:r w:rsidRPr="00EF6390">
        <w:rPr>
          <w:rFonts w:ascii="Arial" w:hAnsi="Arial" w:cs="Arial"/>
          <w:i/>
          <w:iCs/>
          <w:color w:val="444444"/>
          <w:sz w:val="21"/>
          <w:szCs w:val="21"/>
        </w:rPr>
        <w:t>(c)     l'entité peut identifier les conditions de paiement prévues pour les biens ou les services à fournir ;</w:t>
      </w:r>
    </w:p>
    <w:p w14:paraId="00BA9FD0" w14:textId="77777777" w:rsidR="00EF6390" w:rsidRPr="00EF6390" w:rsidRDefault="00EF6390" w:rsidP="00EF6390">
      <w:pPr>
        <w:pStyle w:val="ifrsboldbullet"/>
        <w:shd w:val="clear" w:color="auto" w:fill="FFFFFF"/>
        <w:spacing w:before="65" w:beforeAutospacing="0" w:after="65" w:afterAutospacing="0"/>
        <w:ind w:left="360"/>
        <w:rPr>
          <w:rFonts w:ascii="Arial" w:hAnsi="Arial" w:cs="Arial"/>
          <w:i/>
          <w:iCs/>
          <w:color w:val="444444"/>
          <w:sz w:val="21"/>
          <w:szCs w:val="21"/>
        </w:rPr>
      </w:pPr>
      <w:bookmarkStart w:id="6" w:name="para_27"/>
      <w:bookmarkEnd w:id="6"/>
      <w:r w:rsidRPr="00EF6390">
        <w:rPr>
          <w:rFonts w:ascii="Arial" w:hAnsi="Arial" w:cs="Arial"/>
          <w:i/>
          <w:iCs/>
          <w:color w:val="444444"/>
          <w:sz w:val="21"/>
          <w:szCs w:val="21"/>
        </w:rPr>
        <w:t>(d)     le contrat a une substance commerciale (c'est-à-dire qu'on s'attend à ce qu'il cause une modification du calendrier ou du montant des flux de trésorerie futurs de l'entité ou du risque qui leur est associé) ;</w:t>
      </w:r>
    </w:p>
    <w:p w14:paraId="1291B1ED" w14:textId="77777777" w:rsidR="00EF6390" w:rsidRPr="00EF6390" w:rsidRDefault="00EF6390" w:rsidP="00EF6390">
      <w:pPr>
        <w:pStyle w:val="ifrsboldbullet"/>
        <w:shd w:val="clear" w:color="auto" w:fill="FFFFFF"/>
        <w:spacing w:before="65" w:beforeAutospacing="0" w:after="65" w:afterAutospacing="0"/>
        <w:ind w:left="360"/>
        <w:rPr>
          <w:rFonts w:ascii="Arial" w:hAnsi="Arial" w:cs="Arial"/>
          <w:i/>
          <w:iCs/>
          <w:color w:val="444444"/>
          <w:sz w:val="21"/>
          <w:szCs w:val="21"/>
        </w:rPr>
      </w:pPr>
      <w:bookmarkStart w:id="7" w:name="para_28"/>
      <w:bookmarkEnd w:id="7"/>
      <w:r w:rsidRPr="00EF6390">
        <w:rPr>
          <w:rFonts w:ascii="Arial" w:hAnsi="Arial" w:cs="Arial"/>
          <w:i/>
          <w:iCs/>
          <w:color w:val="444444"/>
          <w:sz w:val="21"/>
          <w:szCs w:val="21"/>
        </w:rPr>
        <w:t>(e)     il est probable que l'entité recouvrera la contrepartie à laquelle elle a droit en échange des biens ou des services qu'elle fournira au client. Pour évaluer s'il est probable qu'elle recouvre le montant de contrepartie, l'entité ne doit tenir compte que de la capacité et de l'intention du client de payer ce montant de contrepartie quand il est exigible. Le montant de contrepartie auquel elle a droit peut être inférieur au prix stipulé dans le contrat si la contrepartie est variable du fait d'une concession sur le prix que l'entité peut accorder au client (voir paragraphe </w:t>
      </w:r>
      <w:hyperlink r:id="rId8" w:history="1">
        <w:r w:rsidRPr="00EF6390">
          <w:rPr>
            <w:rStyle w:val="Lienhypertexte"/>
            <w:rFonts w:ascii="Arial" w:hAnsi="Arial" w:cs="Arial"/>
            <w:i/>
            <w:iCs/>
            <w:color w:val="006FBA"/>
            <w:sz w:val="21"/>
            <w:szCs w:val="21"/>
          </w:rPr>
          <w:t>52</w:t>
        </w:r>
      </w:hyperlink>
      <w:r w:rsidRPr="00EF6390">
        <w:rPr>
          <w:rFonts w:ascii="Arial" w:hAnsi="Arial" w:cs="Arial"/>
          <w:i/>
          <w:iCs/>
          <w:color w:val="444444"/>
          <w:sz w:val="21"/>
          <w:szCs w:val="21"/>
        </w:rPr>
        <w:t>).</w:t>
      </w:r>
    </w:p>
    <w:p w14:paraId="498C00F6" w14:textId="77777777" w:rsidR="00EF6390" w:rsidRPr="00EF6390" w:rsidRDefault="00EF6390" w:rsidP="00321F35">
      <w:pPr>
        <w:jc w:val="both"/>
        <w:rPr>
          <w:rFonts w:ascii="Times New Roman" w:hAnsi="Times New Roman" w:cs="Times New Roman"/>
          <w:lang w:val="fr-FR"/>
        </w:rPr>
      </w:pPr>
    </w:p>
    <w:p w14:paraId="07CCF4A6" w14:textId="5A1EFECB" w:rsidR="00321F35" w:rsidRPr="00321F35" w:rsidRDefault="00321F35" w:rsidP="00321F35">
      <w:pPr>
        <w:jc w:val="both"/>
        <w:rPr>
          <w:rFonts w:ascii="Times New Roman" w:hAnsi="Times New Roman" w:cs="Times New Roman"/>
        </w:rPr>
      </w:pPr>
      <w:r w:rsidRPr="00321F35">
        <w:rPr>
          <w:rFonts w:ascii="Times New Roman" w:hAnsi="Times New Roman" w:cs="Times New Roman"/>
        </w:rPr>
        <w:t>En vertu du par. 09, il y a u</w:t>
      </w:r>
      <w:r>
        <w:rPr>
          <w:rFonts w:ascii="Times New Roman" w:hAnsi="Times New Roman" w:cs="Times New Roman"/>
        </w:rPr>
        <w:t>n contrat clair</w:t>
      </w:r>
      <w:r w:rsidR="00572B4C">
        <w:rPr>
          <w:rFonts w:ascii="Times New Roman" w:hAnsi="Times New Roman" w:cs="Times New Roman"/>
        </w:rPr>
        <w:t xml:space="preserve"> puisqu’il y a </w:t>
      </w:r>
      <w:r w:rsidRPr="00321F35">
        <w:rPr>
          <w:rFonts w:ascii="Times New Roman" w:hAnsi="Times New Roman" w:cs="Times New Roman"/>
        </w:rPr>
        <w:t>approbation des parties, définition des droits de chacun</w:t>
      </w:r>
      <w:r w:rsidR="00EF6390">
        <w:rPr>
          <w:rFonts w:ascii="Times New Roman" w:hAnsi="Times New Roman" w:cs="Times New Roman"/>
        </w:rPr>
        <w:t xml:space="preserve"> (sac et garantie deux ans contre paiement de 240 $)</w:t>
      </w:r>
      <w:r w:rsidRPr="00321F35">
        <w:rPr>
          <w:rFonts w:ascii="Times New Roman" w:hAnsi="Times New Roman" w:cs="Times New Roman"/>
        </w:rPr>
        <w:t>, présence de conditions de paiement</w:t>
      </w:r>
      <w:r w:rsidR="00EF6390">
        <w:rPr>
          <w:rFonts w:ascii="Times New Roman" w:hAnsi="Times New Roman" w:cs="Times New Roman"/>
        </w:rPr>
        <w:t xml:space="preserve"> (lors de l’achat)</w:t>
      </w:r>
      <w:r w:rsidRPr="00321F35">
        <w:rPr>
          <w:rFonts w:ascii="Times New Roman" w:hAnsi="Times New Roman" w:cs="Times New Roman"/>
        </w:rPr>
        <w:t>, substance commerciale, et probable de recouvrir la contrepartie lors de la vente du sac</w:t>
      </w:r>
      <w:r>
        <w:rPr>
          <w:rFonts w:ascii="Times New Roman" w:hAnsi="Times New Roman" w:cs="Times New Roman"/>
        </w:rPr>
        <w:t xml:space="preserve"> au client</w:t>
      </w:r>
      <w:r w:rsidR="005E77FB">
        <w:rPr>
          <w:rFonts w:ascii="Times New Roman" w:hAnsi="Times New Roman" w:cs="Times New Roman"/>
        </w:rPr>
        <w:t xml:space="preserve"> pui</w:t>
      </w:r>
      <w:r w:rsidR="00572B4C">
        <w:rPr>
          <w:rFonts w:ascii="Times New Roman" w:hAnsi="Times New Roman" w:cs="Times New Roman"/>
        </w:rPr>
        <w:t>sque le client a payé et reçu une</w:t>
      </w:r>
      <w:r w:rsidR="005E77FB">
        <w:rPr>
          <w:rFonts w:ascii="Times New Roman" w:hAnsi="Times New Roman" w:cs="Times New Roman"/>
        </w:rPr>
        <w:t xml:space="preserve"> facture</w:t>
      </w:r>
      <w:r w:rsidR="00572B4C">
        <w:rPr>
          <w:rFonts w:ascii="Times New Roman" w:hAnsi="Times New Roman" w:cs="Times New Roman"/>
        </w:rPr>
        <w:t xml:space="preserve"> de vente</w:t>
      </w:r>
      <w:r w:rsidRPr="00321F35">
        <w:rPr>
          <w:rFonts w:ascii="Times New Roman" w:hAnsi="Times New Roman" w:cs="Times New Roman"/>
        </w:rPr>
        <w:t xml:space="preserve">.  </w:t>
      </w:r>
    </w:p>
    <w:p w14:paraId="5CD2468A" w14:textId="77777777" w:rsidR="00321F35" w:rsidRPr="00321F35" w:rsidRDefault="008B1FAF" w:rsidP="00321F35">
      <w:pPr>
        <w:pStyle w:val="Paragraphedeliste"/>
        <w:numPr>
          <w:ilvl w:val="0"/>
          <w:numId w:val="1"/>
        </w:numPr>
        <w:jc w:val="both"/>
        <w:rPr>
          <w:rFonts w:ascii="Times New Roman" w:hAnsi="Times New Roman" w:cs="Times New Roman"/>
          <w:i/>
          <w:u w:val="single"/>
        </w:rPr>
      </w:pPr>
      <w:r w:rsidRPr="00321F35">
        <w:rPr>
          <w:rFonts w:ascii="Times New Roman" w:hAnsi="Times New Roman" w:cs="Times New Roman"/>
          <w:i/>
          <w:u w:val="single"/>
        </w:rPr>
        <w:lastRenderedPageBreak/>
        <w:t>Identifier les obligations de prestation</w:t>
      </w:r>
    </w:p>
    <w:p w14:paraId="5B18091F" w14:textId="77777777" w:rsidR="00EF6390" w:rsidRPr="00EF6390" w:rsidRDefault="00EF6390" w:rsidP="00EF6390">
      <w:pPr>
        <w:pStyle w:val="ifrsl6"/>
        <w:shd w:val="clear" w:color="auto" w:fill="FFFFFF"/>
        <w:spacing w:before="65" w:beforeAutospacing="0" w:after="65" w:afterAutospacing="0"/>
        <w:ind w:left="360"/>
        <w:rPr>
          <w:rFonts w:ascii="Arial" w:hAnsi="Arial" w:cs="Arial"/>
          <w:i/>
          <w:iCs/>
          <w:color w:val="444444"/>
          <w:sz w:val="22"/>
          <w:szCs w:val="22"/>
        </w:rPr>
      </w:pPr>
      <w:r w:rsidRPr="00EF6390">
        <w:rPr>
          <w:rFonts w:ascii="Arial" w:hAnsi="Arial" w:cs="Arial"/>
          <w:i/>
          <w:iCs/>
          <w:color w:val="444444"/>
          <w:sz w:val="22"/>
          <w:szCs w:val="22"/>
        </w:rPr>
        <w:t>Identification des obligations de prestation</w:t>
      </w:r>
    </w:p>
    <w:p w14:paraId="4422E1C6" w14:textId="77777777" w:rsidR="00EF6390" w:rsidRPr="00EF6390" w:rsidRDefault="00EF6390" w:rsidP="00EF6390">
      <w:pPr>
        <w:pStyle w:val="ifrsparagraphbold"/>
        <w:shd w:val="clear" w:color="auto" w:fill="FFFFFF"/>
        <w:spacing w:before="65" w:beforeAutospacing="0" w:after="65" w:afterAutospacing="0"/>
        <w:ind w:left="360"/>
        <w:rPr>
          <w:rFonts w:ascii="Arial" w:hAnsi="Arial" w:cs="Arial"/>
          <w:i/>
          <w:iCs/>
          <w:color w:val="444444"/>
          <w:sz w:val="21"/>
          <w:szCs w:val="21"/>
        </w:rPr>
      </w:pPr>
      <w:bookmarkStart w:id="8" w:name="para_58"/>
      <w:bookmarkStart w:id="9" w:name="IFRS_15.22"/>
      <w:bookmarkEnd w:id="8"/>
      <w:bookmarkEnd w:id="9"/>
      <w:r w:rsidRPr="00EF6390">
        <w:rPr>
          <w:rFonts w:ascii="Arial" w:hAnsi="Arial" w:cs="Arial"/>
          <w:i/>
          <w:iCs/>
          <w:color w:val="444444"/>
          <w:sz w:val="21"/>
          <w:szCs w:val="21"/>
        </w:rPr>
        <w:t>22     À la passation d'un contrat avec un client, l'entité doit apprécier les biens ou les services promis dans le contrat et identifier comme une obligation de prestation chaque promesse de fournir au client :</w:t>
      </w:r>
    </w:p>
    <w:p w14:paraId="093C37E8" w14:textId="77777777" w:rsidR="00EF6390" w:rsidRPr="00EF6390" w:rsidRDefault="00EF6390" w:rsidP="00EF6390">
      <w:pPr>
        <w:pStyle w:val="ifrsboldbullet"/>
        <w:shd w:val="clear" w:color="auto" w:fill="FFFFFF"/>
        <w:spacing w:before="65" w:beforeAutospacing="0" w:after="65" w:afterAutospacing="0"/>
        <w:ind w:left="360"/>
        <w:rPr>
          <w:rFonts w:ascii="Arial" w:hAnsi="Arial" w:cs="Arial"/>
          <w:i/>
          <w:iCs/>
          <w:color w:val="444444"/>
          <w:sz w:val="21"/>
          <w:szCs w:val="21"/>
        </w:rPr>
      </w:pPr>
      <w:bookmarkStart w:id="10" w:name="para_59"/>
      <w:bookmarkEnd w:id="10"/>
      <w:r w:rsidRPr="00EF6390">
        <w:rPr>
          <w:rFonts w:ascii="Arial" w:hAnsi="Arial" w:cs="Arial"/>
          <w:i/>
          <w:iCs/>
          <w:color w:val="444444"/>
          <w:sz w:val="21"/>
          <w:szCs w:val="21"/>
        </w:rPr>
        <w:t>(a)     soit un bien ou un service (ou un groupe de biens ou services) distinct ;</w:t>
      </w:r>
    </w:p>
    <w:p w14:paraId="663983FD" w14:textId="77777777" w:rsidR="00EF6390" w:rsidRPr="00EF6390" w:rsidRDefault="00EF6390" w:rsidP="00EF6390">
      <w:pPr>
        <w:pStyle w:val="ifrsboldbullet"/>
        <w:shd w:val="clear" w:color="auto" w:fill="FFFFFF"/>
        <w:spacing w:before="65" w:beforeAutospacing="0" w:after="65" w:afterAutospacing="0"/>
        <w:ind w:left="360"/>
        <w:rPr>
          <w:rFonts w:ascii="Arial" w:hAnsi="Arial" w:cs="Arial"/>
          <w:i/>
          <w:iCs/>
          <w:color w:val="444444"/>
          <w:sz w:val="21"/>
          <w:szCs w:val="21"/>
        </w:rPr>
      </w:pPr>
      <w:bookmarkStart w:id="11" w:name="para_60"/>
      <w:bookmarkEnd w:id="11"/>
      <w:r w:rsidRPr="00EF6390">
        <w:rPr>
          <w:rFonts w:ascii="Arial" w:hAnsi="Arial" w:cs="Arial"/>
          <w:i/>
          <w:iCs/>
          <w:color w:val="444444"/>
          <w:sz w:val="21"/>
          <w:szCs w:val="21"/>
        </w:rPr>
        <w:t>(b)     soit une série de biens ou de services distincts qui sont essentiellement les mêmes et qui sont fournis au client au même rythme (voir paragraphe </w:t>
      </w:r>
      <w:hyperlink r:id="rId9" w:history="1">
        <w:r w:rsidRPr="00EF6390">
          <w:rPr>
            <w:rStyle w:val="Lienhypertexte"/>
            <w:rFonts w:ascii="Arial" w:hAnsi="Arial" w:cs="Arial"/>
            <w:i/>
            <w:iCs/>
            <w:color w:val="006FBA"/>
            <w:sz w:val="21"/>
            <w:szCs w:val="21"/>
          </w:rPr>
          <w:t>23</w:t>
        </w:r>
      </w:hyperlink>
      <w:r w:rsidRPr="00EF6390">
        <w:rPr>
          <w:rFonts w:ascii="Arial" w:hAnsi="Arial" w:cs="Arial"/>
          <w:i/>
          <w:iCs/>
          <w:color w:val="444444"/>
          <w:sz w:val="21"/>
          <w:szCs w:val="21"/>
        </w:rPr>
        <w:t>).</w:t>
      </w:r>
    </w:p>
    <w:p w14:paraId="10288C1A" w14:textId="77777777" w:rsidR="00EF6390" w:rsidRDefault="00EF6390" w:rsidP="00321F35">
      <w:pPr>
        <w:jc w:val="both"/>
        <w:rPr>
          <w:rFonts w:ascii="Times New Roman" w:hAnsi="Times New Roman" w:cs="Times New Roman"/>
        </w:rPr>
      </w:pPr>
    </w:p>
    <w:p w14:paraId="332B0CAC" w14:textId="60BE721D" w:rsidR="00321F35" w:rsidRDefault="00321F35" w:rsidP="00321F35">
      <w:pPr>
        <w:jc w:val="both"/>
        <w:rPr>
          <w:rFonts w:ascii="Times New Roman" w:hAnsi="Times New Roman" w:cs="Times New Roman"/>
        </w:rPr>
      </w:pPr>
      <w:r>
        <w:rPr>
          <w:rFonts w:ascii="Times New Roman" w:hAnsi="Times New Roman" w:cs="Times New Roman"/>
        </w:rPr>
        <w:t>Ici, il n’est pas clair si le sac et la garantie sont des promesses distinctes ou non. L’annexe B</w:t>
      </w:r>
      <w:r w:rsidR="00D95A2A">
        <w:rPr>
          <w:rFonts w:ascii="Times New Roman" w:hAnsi="Times New Roman" w:cs="Times New Roman"/>
        </w:rPr>
        <w:t xml:space="preserve"> </w:t>
      </w:r>
      <w:r>
        <w:rPr>
          <w:rFonts w:ascii="Times New Roman" w:hAnsi="Times New Roman" w:cs="Times New Roman"/>
        </w:rPr>
        <w:t>offre plus de détails à ce sujet :</w:t>
      </w:r>
    </w:p>
    <w:p w14:paraId="052CA49F" w14:textId="0D06DE9D" w:rsidR="00EF6390" w:rsidRPr="00EF6390" w:rsidRDefault="00EF6390" w:rsidP="00321F35">
      <w:pPr>
        <w:jc w:val="both"/>
        <w:rPr>
          <w:rFonts w:ascii="Times New Roman" w:hAnsi="Times New Roman" w:cs="Times New Roman"/>
          <w:i/>
          <w:iCs/>
        </w:rPr>
      </w:pPr>
      <w:r w:rsidRPr="00EF6390">
        <w:rPr>
          <w:rFonts w:ascii="Arial" w:hAnsi="Arial" w:cs="Arial"/>
          <w:i/>
          <w:iCs/>
          <w:color w:val="444444"/>
          <w:sz w:val="21"/>
          <w:szCs w:val="21"/>
          <w:shd w:val="clear" w:color="auto" w:fill="FFFFFF"/>
        </w:rPr>
        <w:t>B29     Si le client a l'option d'acheter une garantie séparément (par exemple, parce que le prix en est fixé ou négocié séparément), la garantie constitue un service distinct du fait que l'entité promet au client un service en plus du produit dont la fonctionnalité est décrite dans le contrat. Dans ce cas, l'entité doit comptabiliser la garantie promise comme une obligation de prestation conformément aux paragraphes </w:t>
      </w:r>
      <w:hyperlink r:id="rId10" w:history="1">
        <w:r w:rsidRPr="00EF6390">
          <w:rPr>
            <w:rStyle w:val="Lienhypertexte"/>
            <w:rFonts w:ascii="Arial" w:hAnsi="Arial" w:cs="Arial"/>
            <w:i/>
            <w:iCs/>
            <w:color w:val="006FBA"/>
            <w:sz w:val="21"/>
            <w:szCs w:val="21"/>
            <w:shd w:val="clear" w:color="auto" w:fill="FFFFFF"/>
          </w:rPr>
          <w:t>22</w:t>
        </w:r>
      </w:hyperlink>
      <w:r w:rsidRPr="00EF6390">
        <w:rPr>
          <w:rFonts w:ascii="Arial" w:hAnsi="Arial" w:cs="Arial"/>
          <w:i/>
          <w:iCs/>
          <w:color w:val="444444"/>
          <w:sz w:val="21"/>
          <w:szCs w:val="21"/>
          <w:shd w:val="clear" w:color="auto" w:fill="FFFFFF"/>
        </w:rPr>
        <w:t> à 30 et affecter une partie du prix de transaction à cette obligation de prestation conformément aux paragraphes </w:t>
      </w:r>
      <w:hyperlink r:id="rId11" w:history="1">
        <w:r w:rsidRPr="00EF6390">
          <w:rPr>
            <w:rStyle w:val="Lienhypertexte"/>
            <w:rFonts w:ascii="Arial" w:hAnsi="Arial" w:cs="Arial"/>
            <w:i/>
            <w:iCs/>
            <w:color w:val="006FBA"/>
            <w:sz w:val="21"/>
            <w:szCs w:val="21"/>
            <w:shd w:val="clear" w:color="auto" w:fill="FFFFFF"/>
          </w:rPr>
          <w:t>73</w:t>
        </w:r>
      </w:hyperlink>
      <w:r w:rsidRPr="00EF6390">
        <w:rPr>
          <w:rFonts w:ascii="Arial" w:hAnsi="Arial" w:cs="Arial"/>
          <w:i/>
          <w:iCs/>
          <w:color w:val="444444"/>
          <w:sz w:val="21"/>
          <w:szCs w:val="21"/>
          <w:shd w:val="clear" w:color="auto" w:fill="FFFFFF"/>
        </w:rPr>
        <w:t> à 86.</w:t>
      </w:r>
    </w:p>
    <w:p w14:paraId="1B8CD935" w14:textId="58DEBB0B" w:rsidR="00321F35" w:rsidRDefault="00FD036B" w:rsidP="00321F35">
      <w:pPr>
        <w:jc w:val="both"/>
        <w:rPr>
          <w:rFonts w:ascii="Times New Roman" w:hAnsi="Times New Roman" w:cs="Times New Roman"/>
        </w:rPr>
      </w:pPr>
      <w:r>
        <w:rPr>
          <w:rFonts w:ascii="Times New Roman" w:hAnsi="Times New Roman" w:cs="Times New Roman"/>
        </w:rPr>
        <w:t xml:space="preserve">Pour les garanties liées </w:t>
      </w:r>
      <w:r w:rsidR="00843CD5">
        <w:rPr>
          <w:rFonts w:ascii="Times New Roman" w:hAnsi="Times New Roman" w:cs="Times New Roman"/>
        </w:rPr>
        <w:t>aux ventes</w:t>
      </w:r>
      <w:r>
        <w:rPr>
          <w:rFonts w:ascii="Times New Roman" w:hAnsi="Times New Roman" w:cs="Times New Roman"/>
        </w:rPr>
        <w:t xml:space="preserve"> des périodes précédentes</w:t>
      </w:r>
      <w:r w:rsidR="00843CD5">
        <w:rPr>
          <w:rFonts w:ascii="Times New Roman" w:hAnsi="Times New Roman" w:cs="Times New Roman"/>
        </w:rPr>
        <w:t>,</w:t>
      </w:r>
      <w:r w:rsidR="0067494D">
        <w:rPr>
          <w:rFonts w:ascii="Times New Roman" w:hAnsi="Times New Roman" w:cs="Times New Roman"/>
        </w:rPr>
        <w:t xml:space="preserve"> </w:t>
      </w:r>
      <w:r w:rsidR="00F12607">
        <w:rPr>
          <w:rFonts w:ascii="Times New Roman" w:hAnsi="Times New Roman" w:cs="Times New Roman"/>
        </w:rPr>
        <w:t xml:space="preserve">puisque le client a l’option d’acheter </w:t>
      </w:r>
      <w:r w:rsidR="0067494D">
        <w:rPr>
          <w:rFonts w:ascii="Times New Roman" w:hAnsi="Times New Roman" w:cs="Times New Roman"/>
        </w:rPr>
        <w:t xml:space="preserve">la garantie </w:t>
      </w:r>
      <w:r w:rsidR="00D95A2A">
        <w:rPr>
          <w:rFonts w:ascii="Times New Roman" w:hAnsi="Times New Roman" w:cs="Times New Roman"/>
        </w:rPr>
        <w:t>séparément du</w:t>
      </w:r>
      <w:r w:rsidR="0067494D">
        <w:rPr>
          <w:rFonts w:ascii="Times New Roman" w:hAnsi="Times New Roman" w:cs="Times New Roman"/>
        </w:rPr>
        <w:t xml:space="preserve"> sac à dos, i</w:t>
      </w:r>
      <w:r w:rsidR="00F12607">
        <w:rPr>
          <w:rFonts w:ascii="Times New Roman" w:hAnsi="Times New Roman" w:cs="Times New Roman"/>
        </w:rPr>
        <w:t>l s’agit d’une obligation de prestation distincte de la vente du sac.</w:t>
      </w:r>
    </w:p>
    <w:p w14:paraId="7FE0ADC0" w14:textId="73BA6CBC" w:rsidR="00FD036B" w:rsidRDefault="00FD036B" w:rsidP="00321F35">
      <w:pPr>
        <w:jc w:val="both"/>
        <w:rPr>
          <w:rFonts w:ascii="Times New Roman" w:hAnsi="Times New Roman" w:cs="Times New Roman"/>
        </w:rPr>
      </w:pPr>
    </w:p>
    <w:p w14:paraId="51EA5D09" w14:textId="7CC381FE" w:rsidR="00843CD5" w:rsidRDefault="00843CD5" w:rsidP="00321F35">
      <w:pPr>
        <w:jc w:val="both"/>
        <w:rPr>
          <w:rFonts w:ascii="Times New Roman" w:hAnsi="Times New Roman" w:cs="Times New Roman"/>
        </w:rPr>
      </w:pPr>
      <w:r>
        <w:rPr>
          <w:rFonts w:ascii="Times New Roman" w:hAnsi="Times New Roman" w:cs="Times New Roman"/>
        </w:rPr>
        <w:t xml:space="preserve">Pour les ventes de la période : </w:t>
      </w:r>
    </w:p>
    <w:p w14:paraId="3543C83B" w14:textId="77777777" w:rsidR="00FD036B" w:rsidRPr="00FD036B" w:rsidRDefault="00FD036B" w:rsidP="00FD036B">
      <w:pPr>
        <w:shd w:val="clear" w:color="auto" w:fill="FFFFFF"/>
        <w:spacing w:before="65" w:after="65" w:line="240" w:lineRule="auto"/>
        <w:ind w:left="785" w:hanging="696"/>
        <w:rPr>
          <w:rFonts w:ascii="Arial" w:eastAsia="Times New Roman" w:hAnsi="Arial" w:cs="Arial"/>
          <w:color w:val="444444"/>
          <w:sz w:val="21"/>
          <w:szCs w:val="21"/>
          <w:lang w:val="fr-FR" w:eastAsia="fr-FR"/>
        </w:rPr>
      </w:pPr>
      <w:r w:rsidRPr="00FD036B">
        <w:rPr>
          <w:rFonts w:ascii="Arial" w:eastAsia="Times New Roman" w:hAnsi="Arial" w:cs="Arial"/>
          <w:color w:val="444444"/>
          <w:sz w:val="21"/>
          <w:szCs w:val="21"/>
          <w:lang w:val="fr-FR" w:eastAsia="fr-FR"/>
        </w:rPr>
        <w:t>B31     Lorsqu'elle détermine si une garantie procure au client un service en plus de l'assurance que le produit visé est conforme aux spécifications convenues, l'entité doit tenir compte de facteurs tels que les suivants :</w:t>
      </w:r>
    </w:p>
    <w:p w14:paraId="046554A2" w14:textId="77777777" w:rsidR="00FD036B" w:rsidRPr="00FD036B" w:rsidRDefault="00FD036B" w:rsidP="00FD036B">
      <w:pPr>
        <w:shd w:val="clear" w:color="auto" w:fill="FFFFFF"/>
        <w:spacing w:before="65" w:after="65" w:line="240" w:lineRule="auto"/>
        <w:ind w:left="1488" w:hanging="684"/>
        <w:rPr>
          <w:rFonts w:ascii="Arial" w:eastAsia="Times New Roman" w:hAnsi="Arial" w:cs="Arial"/>
          <w:color w:val="444444"/>
          <w:sz w:val="21"/>
          <w:szCs w:val="21"/>
          <w:lang w:val="fr-FR" w:eastAsia="fr-FR"/>
        </w:rPr>
      </w:pPr>
      <w:bookmarkStart w:id="12" w:name="para_409"/>
      <w:bookmarkEnd w:id="12"/>
      <w:r w:rsidRPr="00FD036B">
        <w:rPr>
          <w:rFonts w:ascii="Arial" w:eastAsia="Times New Roman" w:hAnsi="Arial" w:cs="Arial"/>
          <w:color w:val="444444"/>
          <w:sz w:val="21"/>
          <w:szCs w:val="21"/>
          <w:lang w:val="fr-FR" w:eastAsia="fr-FR"/>
        </w:rPr>
        <w:t>(a)     l'obligation légale de fournir la garantie — si des dispositions législatives obligent l'entité à fournir une garantie, leur existence indique que la garantie promise ne constitue pas une obligation de prestation, car les dispositions de ce type ont généralement pour but de protéger les clients contre le risque que les produits achetés soient défectueux ;</w:t>
      </w:r>
    </w:p>
    <w:p w14:paraId="3E6C6C1F" w14:textId="77777777" w:rsidR="00FD036B" w:rsidRPr="00FD036B" w:rsidRDefault="00FD036B" w:rsidP="00FD036B">
      <w:pPr>
        <w:shd w:val="clear" w:color="auto" w:fill="FFFFFF"/>
        <w:spacing w:before="65" w:after="65" w:line="240" w:lineRule="auto"/>
        <w:ind w:left="1488" w:hanging="684"/>
        <w:rPr>
          <w:rFonts w:ascii="Arial" w:eastAsia="Times New Roman" w:hAnsi="Arial" w:cs="Arial"/>
          <w:color w:val="444444"/>
          <w:sz w:val="21"/>
          <w:szCs w:val="21"/>
          <w:lang w:val="fr-FR" w:eastAsia="fr-FR"/>
        </w:rPr>
      </w:pPr>
      <w:bookmarkStart w:id="13" w:name="para_410"/>
      <w:bookmarkEnd w:id="13"/>
      <w:r w:rsidRPr="00FD036B">
        <w:rPr>
          <w:rFonts w:ascii="Arial" w:eastAsia="Times New Roman" w:hAnsi="Arial" w:cs="Arial"/>
          <w:color w:val="444444"/>
          <w:sz w:val="21"/>
          <w:szCs w:val="21"/>
          <w:lang w:val="fr-FR" w:eastAsia="fr-FR"/>
        </w:rPr>
        <w:t>(b)     la durée de la garantie — plus la protection est offerte sur une longue période, plus il est probable que la garantie promise constitue une obligation de prestation, car il est plus probable que celle-ci procure au client un service en plus de l'assurance que le produit visé est conforme aux spécifications convenues ;</w:t>
      </w:r>
    </w:p>
    <w:p w14:paraId="607CAD9D" w14:textId="77777777" w:rsidR="00FD036B" w:rsidRPr="00FD036B" w:rsidRDefault="00FD036B" w:rsidP="00FD036B">
      <w:pPr>
        <w:shd w:val="clear" w:color="auto" w:fill="FFFFFF"/>
        <w:spacing w:before="65" w:after="65" w:line="240" w:lineRule="auto"/>
        <w:ind w:left="1488" w:hanging="684"/>
        <w:rPr>
          <w:rFonts w:ascii="Arial" w:eastAsia="Times New Roman" w:hAnsi="Arial" w:cs="Arial"/>
          <w:color w:val="444444"/>
          <w:sz w:val="21"/>
          <w:szCs w:val="21"/>
          <w:lang w:val="fr-FR" w:eastAsia="fr-FR"/>
        </w:rPr>
      </w:pPr>
      <w:bookmarkStart w:id="14" w:name="para_411"/>
      <w:bookmarkEnd w:id="14"/>
      <w:r w:rsidRPr="00FD036B">
        <w:rPr>
          <w:rFonts w:ascii="Arial" w:eastAsia="Times New Roman" w:hAnsi="Arial" w:cs="Arial"/>
          <w:color w:val="444444"/>
          <w:sz w:val="21"/>
          <w:szCs w:val="21"/>
          <w:lang w:val="fr-FR" w:eastAsia="fr-FR"/>
        </w:rPr>
        <w:t>(c)     la nature des tâches que l'entité promet d'effectuer — s'il est nécessaire que l'entité effectue certaines tâches déterminées pour fournir l'assurance que le produit est conforme aux spécifications convenues (par exemple assurer le transport de retour des produits défectueux), ces tâches ne donnent vraisemblablement pas naissance à une obligation de prestation.</w:t>
      </w:r>
    </w:p>
    <w:p w14:paraId="05277AB4" w14:textId="5E472142" w:rsidR="00FD036B" w:rsidRPr="00FD036B" w:rsidRDefault="00843CD5" w:rsidP="00321F35">
      <w:pPr>
        <w:jc w:val="both"/>
        <w:rPr>
          <w:rFonts w:ascii="Times New Roman" w:hAnsi="Times New Roman" w:cs="Times New Roman"/>
          <w:lang w:val="fr-FR"/>
        </w:rPr>
      </w:pPr>
      <w:r>
        <w:rPr>
          <w:rFonts w:ascii="Times New Roman" w:hAnsi="Times New Roman" w:cs="Times New Roman"/>
          <w:lang w:val="fr-FR"/>
        </w:rPr>
        <w:t>Puisque cette garantie n’était pas offerte antérieurement, on peut comprendre que celle-ci dépasse l’obligation légale. On peut donc référer à B31 b) et considérer celle-ci comme une obligation distincte.</w:t>
      </w:r>
    </w:p>
    <w:p w14:paraId="05758AAB" w14:textId="77777777" w:rsidR="00F12607" w:rsidRDefault="00F12607" w:rsidP="00321F35">
      <w:pPr>
        <w:jc w:val="both"/>
        <w:rPr>
          <w:rFonts w:ascii="Times New Roman" w:hAnsi="Times New Roman" w:cs="Times New Roman"/>
        </w:rPr>
      </w:pPr>
      <w:r>
        <w:rPr>
          <w:rFonts w:ascii="Times New Roman" w:hAnsi="Times New Roman" w:cs="Times New Roman"/>
        </w:rPr>
        <w:t>Il y a donc deux obligations de prestation : l</w:t>
      </w:r>
      <w:r w:rsidR="00D95A2A">
        <w:rPr>
          <w:rFonts w:ascii="Times New Roman" w:hAnsi="Times New Roman" w:cs="Times New Roman"/>
        </w:rPr>
        <w:t>a vente du sac et la vente de la</w:t>
      </w:r>
      <w:r>
        <w:rPr>
          <w:rFonts w:ascii="Times New Roman" w:hAnsi="Times New Roman" w:cs="Times New Roman"/>
        </w:rPr>
        <w:t xml:space="preserve"> garantie.</w:t>
      </w:r>
    </w:p>
    <w:p w14:paraId="09556F62" w14:textId="77777777" w:rsidR="00572B4C" w:rsidRDefault="00572B4C" w:rsidP="00321F35">
      <w:pPr>
        <w:jc w:val="both"/>
        <w:rPr>
          <w:rFonts w:ascii="Times New Roman" w:hAnsi="Times New Roman" w:cs="Times New Roman"/>
        </w:rPr>
      </w:pPr>
    </w:p>
    <w:p w14:paraId="2D9EAAFD" w14:textId="77777777" w:rsidR="005E77FB" w:rsidRPr="007F6004" w:rsidRDefault="00523A8F" w:rsidP="005E77FB">
      <w:pPr>
        <w:pStyle w:val="Paragraphedeliste"/>
        <w:numPr>
          <w:ilvl w:val="0"/>
          <w:numId w:val="1"/>
        </w:numPr>
        <w:jc w:val="both"/>
        <w:rPr>
          <w:rFonts w:ascii="Times New Roman" w:hAnsi="Times New Roman" w:cs="Times New Roman"/>
          <w:i/>
          <w:u w:val="single"/>
        </w:rPr>
      </w:pPr>
      <w:r>
        <w:rPr>
          <w:rFonts w:ascii="Times New Roman" w:hAnsi="Times New Roman" w:cs="Times New Roman"/>
          <w:i/>
          <w:u w:val="single"/>
        </w:rPr>
        <w:t>Déterminer si les obligations de prestation sont remplies</w:t>
      </w:r>
    </w:p>
    <w:p w14:paraId="3B128214" w14:textId="546EF8F6" w:rsidR="005E77FB" w:rsidRDefault="005E77FB" w:rsidP="005E77FB">
      <w:pPr>
        <w:jc w:val="both"/>
        <w:rPr>
          <w:rFonts w:ascii="Times New Roman" w:hAnsi="Times New Roman" w:cs="Times New Roman"/>
        </w:rPr>
      </w:pPr>
      <w:r>
        <w:rPr>
          <w:rFonts w:ascii="Times New Roman" w:hAnsi="Times New Roman" w:cs="Times New Roman"/>
        </w:rPr>
        <w:t>En vertu de l’IFRS 15, il faut tout d’abord vérifier si l’obligation est remplie à un moment précis ou progressivement :</w:t>
      </w:r>
    </w:p>
    <w:p w14:paraId="4F250ECD" w14:textId="77777777" w:rsidR="00EF6390" w:rsidRPr="00EF6390" w:rsidRDefault="00EF6390" w:rsidP="00EF6390">
      <w:pPr>
        <w:pStyle w:val="l5ifrs"/>
        <w:shd w:val="clear" w:color="auto" w:fill="FFFFFF"/>
        <w:spacing w:before="65" w:beforeAutospacing="0" w:after="65" w:afterAutospacing="0"/>
        <w:ind w:left="785"/>
        <w:rPr>
          <w:rFonts w:ascii="Arial" w:hAnsi="Arial" w:cs="Arial"/>
          <w:i/>
          <w:iCs/>
          <w:color w:val="444444"/>
          <w:sz w:val="21"/>
          <w:szCs w:val="21"/>
        </w:rPr>
      </w:pPr>
      <w:r w:rsidRPr="00EF6390">
        <w:rPr>
          <w:rFonts w:ascii="Arial" w:hAnsi="Arial" w:cs="Arial"/>
          <w:i/>
          <w:iCs/>
          <w:color w:val="444444"/>
          <w:sz w:val="21"/>
          <w:szCs w:val="21"/>
        </w:rPr>
        <w:t>Obligations de prestation remplies progressivement</w:t>
      </w:r>
    </w:p>
    <w:p w14:paraId="5BB5AFCE" w14:textId="77777777" w:rsidR="00EF6390" w:rsidRPr="00EF6390" w:rsidRDefault="00EF6390" w:rsidP="00EF6390">
      <w:pPr>
        <w:pStyle w:val="paragraph"/>
        <w:shd w:val="clear" w:color="auto" w:fill="FFFFFF"/>
        <w:spacing w:before="65" w:beforeAutospacing="0" w:after="65" w:afterAutospacing="0"/>
        <w:ind w:left="785" w:hanging="708"/>
        <w:rPr>
          <w:rFonts w:ascii="Arial" w:hAnsi="Arial" w:cs="Arial"/>
          <w:i/>
          <w:iCs/>
          <w:color w:val="444444"/>
          <w:sz w:val="21"/>
          <w:szCs w:val="21"/>
        </w:rPr>
      </w:pPr>
      <w:bookmarkStart w:id="15" w:name="para_100"/>
      <w:bookmarkStart w:id="16" w:name="IFRS_15.35"/>
      <w:bookmarkEnd w:id="15"/>
      <w:bookmarkEnd w:id="16"/>
      <w:r w:rsidRPr="00EF6390">
        <w:rPr>
          <w:rFonts w:ascii="Arial" w:hAnsi="Arial" w:cs="Arial"/>
          <w:i/>
          <w:iCs/>
          <w:color w:val="444444"/>
          <w:sz w:val="21"/>
          <w:szCs w:val="21"/>
        </w:rPr>
        <w:t>35     L'entité transfère le contrôle d'un bien ou d'un service progressivement et, de ce fait, remplit une obligation de prestation et comptabilise des produits des activités ordinaires progressivement si au moins une des conditions suivantes est remplie :</w:t>
      </w:r>
    </w:p>
    <w:p w14:paraId="642649CD" w14:textId="1966E286" w:rsidR="00EF6390" w:rsidRDefault="00EF6390" w:rsidP="00EF6390">
      <w:pPr>
        <w:pStyle w:val="bullet"/>
        <w:numPr>
          <w:ilvl w:val="0"/>
          <w:numId w:val="4"/>
        </w:numPr>
        <w:shd w:val="clear" w:color="auto" w:fill="FFFFFF"/>
        <w:spacing w:before="65" w:beforeAutospacing="0" w:after="65" w:afterAutospacing="0"/>
        <w:rPr>
          <w:rFonts w:ascii="Arial" w:hAnsi="Arial" w:cs="Arial"/>
          <w:i/>
          <w:iCs/>
          <w:color w:val="444444"/>
          <w:sz w:val="21"/>
          <w:szCs w:val="21"/>
        </w:rPr>
      </w:pPr>
      <w:bookmarkStart w:id="17" w:name="para_101"/>
      <w:bookmarkEnd w:id="17"/>
      <w:proofErr w:type="gramStart"/>
      <w:r w:rsidRPr="00EF6390">
        <w:rPr>
          <w:rFonts w:ascii="Arial" w:hAnsi="Arial" w:cs="Arial"/>
          <w:i/>
          <w:iCs/>
          <w:color w:val="444444"/>
          <w:sz w:val="21"/>
          <w:szCs w:val="21"/>
        </w:rPr>
        <w:t>le</w:t>
      </w:r>
      <w:proofErr w:type="gramEnd"/>
      <w:r w:rsidRPr="00EF6390">
        <w:rPr>
          <w:rFonts w:ascii="Arial" w:hAnsi="Arial" w:cs="Arial"/>
          <w:i/>
          <w:iCs/>
          <w:color w:val="444444"/>
          <w:sz w:val="21"/>
          <w:szCs w:val="21"/>
        </w:rPr>
        <w:t xml:space="preserve"> client reçoit et consomme simultanément les avantages procurés par la prestation de l'entité, au fur et à mesure que celle-ci a lieu (voir paragraphes </w:t>
      </w:r>
      <w:hyperlink r:id="rId12" w:history="1">
        <w:r w:rsidRPr="00EF6390">
          <w:rPr>
            <w:rStyle w:val="Lienhypertexte"/>
            <w:rFonts w:ascii="Arial" w:hAnsi="Arial" w:cs="Arial"/>
            <w:i/>
            <w:iCs/>
            <w:color w:val="006FBA"/>
            <w:sz w:val="21"/>
            <w:szCs w:val="21"/>
          </w:rPr>
          <w:t>B3</w:t>
        </w:r>
      </w:hyperlink>
      <w:r w:rsidRPr="00EF6390">
        <w:rPr>
          <w:rFonts w:ascii="Arial" w:hAnsi="Arial" w:cs="Arial"/>
          <w:i/>
          <w:iCs/>
          <w:color w:val="444444"/>
          <w:sz w:val="21"/>
          <w:szCs w:val="21"/>
        </w:rPr>
        <w:t> et B4) ;</w:t>
      </w:r>
    </w:p>
    <w:p w14:paraId="38E73848" w14:textId="099970FF" w:rsidR="00EF6390" w:rsidRPr="00EF6390" w:rsidRDefault="00EF6390" w:rsidP="00EF6390">
      <w:pPr>
        <w:pStyle w:val="Paragraphedeliste"/>
        <w:ind w:left="1884"/>
        <w:jc w:val="both"/>
        <w:rPr>
          <w:rFonts w:ascii="Times New Roman" w:hAnsi="Times New Roman" w:cs="Times New Roman"/>
          <w:i/>
        </w:rPr>
      </w:pPr>
      <w:r>
        <w:rPr>
          <w:rFonts w:ascii="Times New Roman" w:hAnsi="Times New Roman" w:cs="Times New Roman"/>
        </w:rPr>
        <w:t>Oui, le client consomme les avantages de sa garantie sur les deux ans où elle est valide en ayant l’assurance de pouvoir faire réparer son sac sur cette période.</w:t>
      </w:r>
    </w:p>
    <w:p w14:paraId="2BEA20C1" w14:textId="66AE6E4B" w:rsidR="00EF6390" w:rsidRDefault="00EF6390" w:rsidP="00EF6390">
      <w:pPr>
        <w:pStyle w:val="bullet"/>
        <w:numPr>
          <w:ilvl w:val="0"/>
          <w:numId w:val="4"/>
        </w:numPr>
        <w:shd w:val="clear" w:color="auto" w:fill="FFFFFF"/>
        <w:spacing w:before="65" w:beforeAutospacing="0" w:after="65" w:afterAutospacing="0"/>
        <w:rPr>
          <w:rFonts w:ascii="Arial" w:hAnsi="Arial" w:cs="Arial"/>
          <w:i/>
          <w:iCs/>
          <w:color w:val="444444"/>
          <w:sz w:val="21"/>
          <w:szCs w:val="21"/>
        </w:rPr>
      </w:pPr>
      <w:bookmarkStart w:id="18" w:name="para_102"/>
      <w:bookmarkEnd w:id="18"/>
      <w:proofErr w:type="gramStart"/>
      <w:r w:rsidRPr="00EF6390">
        <w:rPr>
          <w:rFonts w:ascii="Arial" w:hAnsi="Arial" w:cs="Arial"/>
          <w:i/>
          <w:iCs/>
          <w:color w:val="444444"/>
          <w:sz w:val="21"/>
          <w:szCs w:val="21"/>
        </w:rPr>
        <w:t>la</w:t>
      </w:r>
      <w:proofErr w:type="gramEnd"/>
      <w:r w:rsidRPr="00EF6390">
        <w:rPr>
          <w:rFonts w:ascii="Arial" w:hAnsi="Arial" w:cs="Arial"/>
          <w:i/>
          <w:iCs/>
          <w:color w:val="444444"/>
          <w:sz w:val="21"/>
          <w:szCs w:val="21"/>
        </w:rPr>
        <w:t xml:space="preserve"> prestation de l'entité crée ou valorise un actif (par exemple des travaux en cours) dont le client obtient le contrôle au fur et à mesure de sa création ou de sa valorisation (voir paragraphe </w:t>
      </w:r>
      <w:hyperlink r:id="rId13" w:history="1">
        <w:r w:rsidRPr="00EF6390">
          <w:rPr>
            <w:rStyle w:val="Lienhypertexte"/>
            <w:rFonts w:ascii="Arial" w:hAnsi="Arial" w:cs="Arial"/>
            <w:i/>
            <w:iCs/>
            <w:color w:val="006FBA"/>
            <w:sz w:val="21"/>
            <w:szCs w:val="21"/>
          </w:rPr>
          <w:t>B5</w:t>
        </w:r>
      </w:hyperlink>
      <w:r w:rsidRPr="00EF6390">
        <w:rPr>
          <w:rFonts w:ascii="Arial" w:hAnsi="Arial" w:cs="Arial"/>
          <w:i/>
          <w:iCs/>
          <w:color w:val="444444"/>
          <w:sz w:val="21"/>
          <w:szCs w:val="21"/>
        </w:rPr>
        <w:t>) ;</w:t>
      </w:r>
    </w:p>
    <w:p w14:paraId="0C5652AD" w14:textId="5E90A101" w:rsidR="00EF6390" w:rsidRPr="00EF6390" w:rsidRDefault="00EF6390" w:rsidP="00EF6390">
      <w:pPr>
        <w:pStyle w:val="Paragraphedeliste"/>
        <w:ind w:left="1884"/>
        <w:jc w:val="both"/>
        <w:rPr>
          <w:rFonts w:ascii="Times New Roman" w:hAnsi="Times New Roman" w:cs="Times New Roman"/>
          <w:i/>
        </w:rPr>
      </w:pPr>
      <w:r>
        <w:rPr>
          <w:rFonts w:ascii="Times New Roman" w:hAnsi="Times New Roman" w:cs="Times New Roman"/>
          <w:i/>
        </w:rPr>
        <w:t>N/A</w:t>
      </w:r>
    </w:p>
    <w:p w14:paraId="4FF75970" w14:textId="3CAD1805" w:rsidR="00EF6390" w:rsidRDefault="00EF6390" w:rsidP="00EF6390">
      <w:pPr>
        <w:pStyle w:val="bullet"/>
        <w:numPr>
          <w:ilvl w:val="0"/>
          <w:numId w:val="4"/>
        </w:numPr>
        <w:shd w:val="clear" w:color="auto" w:fill="FFFFFF"/>
        <w:spacing w:before="65" w:beforeAutospacing="0" w:after="65" w:afterAutospacing="0"/>
        <w:rPr>
          <w:rFonts w:ascii="Arial" w:hAnsi="Arial" w:cs="Arial"/>
          <w:i/>
          <w:iCs/>
          <w:color w:val="444444"/>
          <w:sz w:val="21"/>
          <w:szCs w:val="21"/>
        </w:rPr>
      </w:pPr>
      <w:bookmarkStart w:id="19" w:name="para_103"/>
      <w:bookmarkEnd w:id="19"/>
      <w:r w:rsidRPr="00EF6390">
        <w:rPr>
          <w:rFonts w:ascii="Arial" w:hAnsi="Arial" w:cs="Arial"/>
          <w:i/>
          <w:iCs/>
          <w:color w:val="444444"/>
          <w:sz w:val="21"/>
          <w:szCs w:val="21"/>
        </w:rPr>
        <w:t>la prestation de l'entité ne crée pas un actif que l'entité pourrait utiliser autrement (voir paragraphe </w:t>
      </w:r>
      <w:hyperlink r:id="rId14" w:history="1">
        <w:r w:rsidRPr="00EF6390">
          <w:rPr>
            <w:rStyle w:val="Lienhypertexte"/>
            <w:rFonts w:ascii="Arial" w:hAnsi="Arial" w:cs="Arial"/>
            <w:i/>
            <w:iCs/>
            <w:color w:val="006FBA"/>
            <w:sz w:val="21"/>
            <w:szCs w:val="21"/>
          </w:rPr>
          <w:t>36</w:t>
        </w:r>
      </w:hyperlink>
      <w:r w:rsidRPr="00EF6390">
        <w:rPr>
          <w:rFonts w:ascii="Arial" w:hAnsi="Arial" w:cs="Arial"/>
          <w:i/>
          <w:iCs/>
          <w:color w:val="444444"/>
          <w:sz w:val="21"/>
          <w:szCs w:val="21"/>
        </w:rPr>
        <w:t>), et l'entité a un droit exécutoire à un paiement au titre de la prestation effectuée jusqu'à la date considérée (voir paragraphe </w:t>
      </w:r>
      <w:hyperlink r:id="rId15" w:history="1">
        <w:r w:rsidRPr="00EF6390">
          <w:rPr>
            <w:rStyle w:val="Lienhypertexte"/>
            <w:rFonts w:ascii="Arial" w:hAnsi="Arial" w:cs="Arial"/>
            <w:i/>
            <w:iCs/>
            <w:color w:val="006FBA"/>
            <w:sz w:val="21"/>
            <w:szCs w:val="21"/>
          </w:rPr>
          <w:t>37</w:t>
        </w:r>
      </w:hyperlink>
      <w:r w:rsidRPr="00EF6390">
        <w:rPr>
          <w:rFonts w:ascii="Arial" w:hAnsi="Arial" w:cs="Arial"/>
          <w:i/>
          <w:iCs/>
          <w:color w:val="444444"/>
          <w:sz w:val="21"/>
          <w:szCs w:val="21"/>
        </w:rPr>
        <w:t>).</w:t>
      </w:r>
    </w:p>
    <w:p w14:paraId="577F3D59" w14:textId="77777777" w:rsidR="00EF6390" w:rsidRPr="00021052" w:rsidRDefault="00EF6390" w:rsidP="00EF6390">
      <w:pPr>
        <w:pStyle w:val="Paragraphedeliste"/>
        <w:ind w:left="1884"/>
        <w:jc w:val="both"/>
        <w:rPr>
          <w:rFonts w:ascii="Times New Roman" w:hAnsi="Times New Roman" w:cs="Times New Roman"/>
          <w:i/>
        </w:rPr>
      </w:pPr>
      <w:r>
        <w:rPr>
          <w:rFonts w:ascii="Times New Roman" w:hAnsi="Times New Roman" w:cs="Times New Roman"/>
          <w:i/>
        </w:rPr>
        <w:t>N/A</w:t>
      </w:r>
    </w:p>
    <w:p w14:paraId="4FDBC1F8" w14:textId="77777777" w:rsidR="00EF6390" w:rsidRPr="00EF6390" w:rsidRDefault="00EF6390" w:rsidP="00EF6390">
      <w:pPr>
        <w:pStyle w:val="bullet"/>
        <w:shd w:val="clear" w:color="auto" w:fill="FFFFFF"/>
        <w:spacing w:before="65" w:beforeAutospacing="0" w:after="65" w:afterAutospacing="0"/>
        <w:ind w:left="1354"/>
        <w:rPr>
          <w:rFonts w:ascii="Arial" w:hAnsi="Arial" w:cs="Arial"/>
          <w:i/>
          <w:iCs/>
          <w:color w:val="444444"/>
          <w:sz w:val="21"/>
          <w:szCs w:val="21"/>
          <w:lang w:val="fr-CA"/>
        </w:rPr>
      </w:pPr>
    </w:p>
    <w:p w14:paraId="5B29220B" w14:textId="77777777" w:rsidR="00EF6390" w:rsidRDefault="005E77FB" w:rsidP="005E77FB">
      <w:pPr>
        <w:jc w:val="both"/>
        <w:rPr>
          <w:rFonts w:ascii="Times New Roman" w:hAnsi="Times New Roman" w:cs="Times New Roman"/>
        </w:rPr>
      </w:pPr>
      <w:r>
        <w:rPr>
          <w:rFonts w:ascii="Times New Roman" w:hAnsi="Times New Roman" w:cs="Times New Roman"/>
        </w:rPr>
        <w:t xml:space="preserve">Ainsi, </w:t>
      </w:r>
      <w:r w:rsidR="00EF6390">
        <w:rPr>
          <w:rFonts w:ascii="Times New Roman" w:hAnsi="Times New Roman" w:cs="Times New Roman"/>
        </w:rPr>
        <w:t>puisque la première condition est respectée, on</w:t>
      </w:r>
      <w:r>
        <w:rPr>
          <w:rFonts w:ascii="Times New Roman" w:hAnsi="Times New Roman" w:cs="Times New Roman"/>
        </w:rPr>
        <w:t xml:space="preserve"> peut conclure que la garantie est une obligation de prestation remplie progressivement. </w:t>
      </w:r>
    </w:p>
    <w:p w14:paraId="79EBC3A7" w14:textId="77777777" w:rsidR="005801A0" w:rsidRPr="005801A0" w:rsidRDefault="005801A0" w:rsidP="005801A0">
      <w:pPr>
        <w:pStyle w:val="ifrsitalicheader"/>
        <w:shd w:val="clear" w:color="auto" w:fill="FFFFFF"/>
        <w:spacing w:before="65" w:beforeAutospacing="0" w:after="65" w:afterAutospacing="0"/>
        <w:ind w:left="785" w:right="86"/>
        <w:rPr>
          <w:rFonts w:ascii="Arial" w:hAnsi="Arial" w:cs="Arial"/>
          <w:i/>
          <w:iCs/>
          <w:color w:val="444444"/>
          <w:sz w:val="21"/>
          <w:szCs w:val="21"/>
        </w:rPr>
      </w:pPr>
      <w:r w:rsidRPr="005801A0">
        <w:rPr>
          <w:rFonts w:ascii="Arial" w:hAnsi="Arial" w:cs="Arial"/>
          <w:i/>
          <w:iCs/>
          <w:color w:val="444444"/>
          <w:sz w:val="21"/>
          <w:szCs w:val="21"/>
        </w:rPr>
        <w:t>Méthodes d'évaluation du degré d'avancement</w:t>
      </w:r>
    </w:p>
    <w:p w14:paraId="64BDD82C" w14:textId="77777777" w:rsidR="005801A0" w:rsidRPr="005801A0" w:rsidRDefault="005801A0" w:rsidP="005801A0">
      <w:pPr>
        <w:pStyle w:val="paragraph"/>
        <w:shd w:val="clear" w:color="auto" w:fill="FFFFFF"/>
        <w:spacing w:before="65" w:beforeAutospacing="0" w:after="65" w:afterAutospacing="0"/>
        <w:ind w:left="785" w:hanging="708"/>
        <w:rPr>
          <w:rFonts w:ascii="Arial" w:hAnsi="Arial" w:cs="Arial"/>
          <w:i/>
          <w:iCs/>
          <w:color w:val="444444"/>
          <w:sz w:val="21"/>
          <w:szCs w:val="21"/>
        </w:rPr>
      </w:pPr>
      <w:bookmarkStart w:id="20" w:name="para_117"/>
      <w:bookmarkStart w:id="21" w:name="IFRS_15.41"/>
      <w:bookmarkEnd w:id="20"/>
      <w:bookmarkEnd w:id="21"/>
      <w:r w:rsidRPr="005801A0">
        <w:rPr>
          <w:rFonts w:ascii="Arial" w:hAnsi="Arial" w:cs="Arial"/>
          <w:i/>
          <w:iCs/>
          <w:color w:val="444444"/>
          <w:sz w:val="21"/>
          <w:szCs w:val="21"/>
        </w:rPr>
        <w:t>41     Les méthodes appropriées pour évaluer le degré d'avancement sont fondées soit sur les extrants, soit sur les intrants. Les paragraphes </w:t>
      </w:r>
      <w:hyperlink r:id="rId16" w:history="1">
        <w:r w:rsidRPr="005801A0">
          <w:rPr>
            <w:rStyle w:val="Lienhypertexte"/>
            <w:rFonts w:ascii="Arial" w:hAnsi="Arial" w:cs="Arial"/>
            <w:i/>
            <w:iCs/>
            <w:color w:val="006FBA"/>
            <w:sz w:val="21"/>
            <w:szCs w:val="21"/>
          </w:rPr>
          <w:t>B14</w:t>
        </w:r>
      </w:hyperlink>
      <w:r w:rsidRPr="005801A0">
        <w:rPr>
          <w:rFonts w:ascii="Arial" w:hAnsi="Arial" w:cs="Arial"/>
          <w:i/>
          <w:iCs/>
          <w:color w:val="444444"/>
          <w:sz w:val="21"/>
          <w:szCs w:val="21"/>
        </w:rPr>
        <w:t> à B19 fournissent des indications sur l'utilisation des méthodes fondées sur les extrants et des méthodes fondées sur les intrants pour évaluer le degré d'avancement de l'entité dans l'exécution d'une obligation de prestation. Lorsqu'elle détermine la méthode appropriée pour évaluer le degré d'avancement, l'entité doit prendre en compte la nature du bien ou du service qu'elle a promis de fournir au client.</w:t>
      </w:r>
    </w:p>
    <w:p w14:paraId="4B82E628" w14:textId="621B0F96" w:rsidR="005E77FB" w:rsidRDefault="005E77FB" w:rsidP="005E77FB">
      <w:pPr>
        <w:jc w:val="both"/>
        <w:rPr>
          <w:rFonts w:ascii="Times New Roman" w:hAnsi="Times New Roman" w:cs="Times New Roman"/>
        </w:rPr>
      </w:pPr>
      <w:r>
        <w:rPr>
          <w:rFonts w:ascii="Times New Roman" w:hAnsi="Times New Roman" w:cs="Times New Roman"/>
        </w:rPr>
        <w:t>Puisque son degré d’avancement est mesurable, soit par le temps écoulé sur deux ans, nous pouvons la comptabiliser selon l’avancement d</w:t>
      </w:r>
      <w:r w:rsidR="00572B4C">
        <w:rPr>
          <w:rFonts w:ascii="Times New Roman" w:hAnsi="Times New Roman" w:cs="Times New Roman"/>
        </w:rPr>
        <w:t>es travaux en vertu du par. 41, linéairement sur deux ans.</w:t>
      </w:r>
    </w:p>
    <w:p w14:paraId="4331D425" w14:textId="77777777" w:rsidR="005801A0" w:rsidRDefault="005801A0" w:rsidP="005E77FB">
      <w:pPr>
        <w:jc w:val="both"/>
        <w:rPr>
          <w:rFonts w:ascii="Times New Roman" w:hAnsi="Times New Roman" w:cs="Times New Roman"/>
        </w:rPr>
      </w:pPr>
    </w:p>
    <w:p w14:paraId="77C46000" w14:textId="77777777" w:rsidR="008B1FAF" w:rsidRPr="00F12607" w:rsidRDefault="008B1FAF" w:rsidP="00D93E57">
      <w:pPr>
        <w:pStyle w:val="Paragraphedeliste"/>
        <w:numPr>
          <w:ilvl w:val="0"/>
          <w:numId w:val="1"/>
        </w:numPr>
        <w:jc w:val="both"/>
        <w:rPr>
          <w:rFonts w:ascii="Times New Roman" w:hAnsi="Times New Roman" w:cs="Times New Roman"/>
          <w:i/>
          <w:u w:val="single"/>
        </w:rPr>
      </w:pPr>
      <w:r w:rsidRPr="00F12607">
        <w:rPr>
          <w:rFonts w:ascii="Times New Roman" w:hAnsi="Times New Roman" w:cs="Times New Roman"/>
          <w:i/>
          <w:u w:val="single"/>
        </w:rPr>
        <w:t>Déterminer le montant de la contrepartie</w:t>
      </w:r>
    </w:p>
    <w:p w14:paraId="74C91C7E" w14:textId="77777777" w:rsidR="005801A0" w:rsidRPr="005801A0" w:rsidRDefault="005801A0" w:rsidP="005801A0">
      <w:pPr>
        <w:pStyle w:val="ifrsl6"/>
        <w:shd w:val="clear" w:color="auto" w:fill="FFFFFF"/>
        <w:spacing w:before="65" w:beforeAutospacing="0" w:after="65" w:afterAutospacing="0"/>
        <w:ind w:left="360"/>
        <w:rPr>
          <w:rFonts w:ascii="Arial" w:hAnsi="Arial" w:cs="Arial"/>
          <w:i/>
          <w:iCs/>
          <w:color w:val="444444"/>
          <w:sz w:val="22"/>
          <w:szCs w:val="22"/>
        </w:rPr>
      </w:pPr>
      <w:r w:rsidRPr="005801A0">
        <w:rPr>
          <w:rFonts w:ascii="Arial" w:hAnsi="Arial" w:cs="Arial"/>
          <w:i/>
          <w:iCs/>
          <w:color w:val="444444"/>
          <w:sz w:val="22"/>
          <w:szCs w:val="22"/>
        </w:rPr>
        <w:t>Détermination du prix de transaction</w:t>
      </w:r>
    </w:p>
    <w:p w14:paraId="6256F0E7" w14:textId="77777777" w:rsidR="005801A0" w:rsidRPr="005801A0" w:rsidRDefault="005801A0" w:rsidP="005801A0">
      <w:pPr>
        <w:pStyle w:val="ifrsparagraphbold"/>
        <w:shd w:val="clear" w:color="auto" w:fill="FFFFFF"/>
        <w:spacing w:before="65" w:beforeAutospacing="0" w:after="65" w:afterAutospacing="0"/>
        <w:ind w:left="360"/>
        <w:rPr>
          <w:rFonts w:ascii="Arial" w:hAnsi="Arial" w:cs="Arial"/>
          <w:i/>
          <w:iCs/>
          <w:color w:val="444444"/>
          <w:sz w:val="21"/>
          <w:szCs w:val="21"/>
        </w:rPr>
      </w:pPr>
      <w:bookmarkStart w:id="22" w:name="para_126"/>
      <w:bookmarkStart w:id="23" w:name="IFRS_15.47"/>
      <w:bookmarkEnd w:id="22"/>
      <w:bookmarkEnd w:id="23"/>
      <w:r w:rsidRPr="005801A0">
        <w:rPr>
          <w:rFonts w:ascii="Arial" w:hAnsi="Arial" w:cs="Arial"/>
          <w:i/>
          <w:iCs/>
          <w:color w:val="444444"/>
          <w:sz w:val="21"/>
          <w:szCs w:val="21"/>
        </w:rPr>
        <w:t xml:space="preserve">47     Pour déterminer le prix de transaction, l'entité doit prendre en compte les conditions du contrat et ses pratiques commerciales habituelles. Le prix de transaction est le montant de contrepartie auquel l'entité s'attend à avoir droit en échange de la </w:t>
      </w:r>
      <w:r w:rsidRPr="005801A0">
        <w:rPr>
          <w:rFonts w:ascii="Arial" w:hAnsi="Arial" w:cs="Arial"/>
          <w:i/>
          <w:iCs/>
          <w:color w:val="444444"/>
          <w:sz w:val="21"/>
          <w:szCs w:val="21"/>
        </w:rPr>
        <w:lastRenderedPageBreak/>
        <w:t>fourniture de biens ou de services promis à un client, à l'exclusion des sommes perçues pour le compte de tiers (par exemple les taxes de vente). La contrepartie promise dans un contrat conclu avec un client peut consister en des montants déterminés, des montants variables, ou les deux.</w:t>
      </w:r>
    </w:p>
    <w:p w14:paraId="7D1CE7D4" w14:textId="7076ACB3" w:rsidR="00F12607" w:rsidRDefault="006D238C" w:rsidP="00F12607">
      <w:pPr>
        <w:jc w:val="both"/>
        <w:rPr>
          <w:rFonts w:ascii="Times New Roman" w:hAnsi="Times New Roman" w:cs="Times New Roman"/>
        </w:rPr>
      </w:pPr>
      <w:r>
        <w:rPr>
          <w:rFonts w:ascii="Times New Roman" w:hAnsi="Times New Roman" w:cs="Times New Roman"/>
        </w:rPr>
        <w:t>Ici, HNI s’attend à recevoir 240</w:t>
      </w:r>
      <w:r w:rsidR="005E77FB">
        <w:rPr>
          <w:rFonts w:ascii="Times New Roman" w:hAnsi="Times New Roman" w:cs="Times New Roman"/>
        </w:rPr>
        <w:t xml:space="preserve"> </w:t>
      </w:r>
      <w:r>
        <w:rPr>
          <w:rFonts w:ascii="Times New Roman" w:hAnsi="Times New Roman" w:cs="Times New Roman"/>
        </w:rPr>
        <w:t>$ en vertu du contrat de vente en échange du sac à dos et de la garantie (voir annexe I). Il s’agit donc du montant de la contrepartie</w:t>
      </w:r>
      <w:r w:rsidR="00F12507">
        <w:rPr>
          <w:rFonts w:ascii="Times New Roman" w:hAnsi="Times New Roman" w:cs="Times New Roman"/>
        </w:rPr>
        <w:t xml:space="preserve"> totale</w:t>
      </w:r>
      <w:r>
        <w:rPr>
          <w:rFonts w:ascii="Times New Roman" w:hAnsi="Times New Roman" w:cs="Times New Roman"/>
        </w:rPr>
        <w:t>.</w:t>
      </w:r>
    </w:p>
    <w:p w14:paraId="13CC32E9" w14:textId="77777777" w:rsidR="005801A0" w:rsidRPr="00F12607" w:rsidRDefault="005801A0" w:rsidP="00F12607">
      <w:pPr>
        <w:jc w:val="both"/>
        <w:rPr>
          <w:rFonts w:ascii="Times New Roman" w:hAnsi="Times New Roman" w:cs="Times New Roman"/>
        </w:rPr>
      </w:pPr>
    </w:p>
    <w:p w14:paraId="58F6B217" w14:textId="77777777" w:rsidR="008B1FAF" w:rsidRPr="00254B7C" w:rsidRDefault="008B1FAF" w:rsidP="00D93E57">
      <w:pPr>
        <w:pStyle w:val="Paragraphedeliste"/>
        <w:numPr>
          <w:ilvl w:val="0"/>
          <w:numId w:val="1"/>
        </w:numPr>
        <w:jc w:val="both"/>
        <w:rPr>
          <w:rFonts w:ascii="Times New Roman" w:hAnsi="Times New Roman" w:cs="Times New Roman"/>
          <w:i/>
          <w:u w:val="single"/>
        </w:rPr>
      </w:pPr>
      <w:r w:rsidRPr="00254B7C">
        <w:rPr>
          <w:rFonts w:ascii="Times New Roman" w:hAnsi="Times New Roman" w:cs="Times New Roman"/>
          <w:i/>
          <w:u w:val="single"/>
        </w:rPr>
        <w:t>Répartir la contrepartie entre les obligations de prestation</w:t>
      </w:r>
    </w:p>
    <w:p w14:paraId="582A3F44" w14:textId="77777777" w:rsidR="005801A0" w:rsidRPr="005801A0" w:rsidRDefault="005801A0" w:rsidP="005801A0">
      <w:pPr>
        <w:pStyle w:val="l5ifrs"/>
        <w:shd w:val="clear" w:color="auto" w:fill="FFFFFF"/>
        <w:spacing w:before="65" w:beforeAutospacing="0" w:after="65" w:afterAutospacing="0"/>
        <w:ind w:left="360"/>
        <w:rPr>
          <w:rFonts w:ascii="Arial" w:hAnsi="Arial" w:cs="Arial"/>
          <w:i/>
          <w:iCs/>
          <w:color w:val="444444"/>
          <w:sz w:val="21"/>
          <w:szCs w:val="21"/>
        </w:rPr>
      </w:pPr>
      <w:r w:rsidRPr="005801A0">
        <w:rPr>
          <w:rFonts w:ascii="Arial" w:hAnsi="Arial" w:cs="Arial"/>
          <w:i/>
          <w:iCs/>
          <w:color w:val="444444"/>
          <w:sz w:val="21"/>
          <w:szCs w:val="21"/>
        </w:rPr>
        <w:t>Répartition en proportion des prix de vente spécifiques</w:t>
      </w:r>
    </w:p>
    <w:p w14:paraId="67C9EDB1" w14:textId="77777777" w:rsidR="005801A0" w:rsidRPr="005801A0" w:rsidRDefault="005801A0" w:rsidP="005801A0">
      <w:pPr>
        <w:pStyle w:val="paragraph"/>
        <w:shd w:val="clear" w:color="auto" w:fill="FFFFFF"/>
        <w:spacing w:before="65" w:beforeAutospacing="0" w:after="65" w:afterAutospacing="0"/>
        <w:ind w:left="360"/>
        <w:rPr>
          <w:rFonts w:ascii="Arial" w:hAnsi="Arial" w:cs="Arial"/>
          <w:i/>
          <w:iCs/>
          <w:color w:val="444444"/>
          <w:sz w:val="21"/>
          <w:szCs w:val="21"/>
        </w:rPr>
      </w:pPr>
      <w:bookmarkStart w:id="24" w:name="para_187"/>
      <w:bookmarkStart w:id="25" w:name="IFRS_15.76"/>
      <w:bookmarkEnd w:id="24"/>
      <w:bookmarkEnd w:id="25"/>
      <w:r w:rsidRPr="005801A0">
        <w:rPr>
          <w:rFonts w:ascii="Arial" w:hAnsi="Arial" w:cs="Arial"/>
          <w:i/>
          <w:iCs/>
          <w:color w:val="444444"/>
          <w:sz w:val="21"/>
          <w:szCs w:val="21"/>
        </w:rPr>
        <w:t>76     Pour répartir le prix de transaction entre toutes les obligations de prestation en proportion des prix de vente spécifiques, l'entité doit déterminer le prix de vente spécifique, au moment de la passation du contrat, du bien ou du service distinct sous-jacent à chacune des obligations de prestation prévues au contrat et répartir le prix de transaction en proportion de ces prix de vente spécifiques.</w:t>
      </w:r>
    </w:p>
    <w:p w14:paraId="2646981C" w14:textId="7B649E8C" w:rsidR="00A72656" w:rsidRDefault="00A72656" w:rsidP="00F12607">
      <w:pPr>
        <w:jc w:val="both"/>
        <w:rPr>
          <w:rFonts w:ascii="Times New Roman" w:hAnsi="Times New Roman" w:cs="Times New Roman"/>
        </w:rPr>
      </w:pPr>
      <w:r>
        <w:rPr>
          <w:rFonts w:ascii="Times New Roman" w:hAnsi="Times New Roman" w:cs="Times New Roman"/>
        </w:rPr>
        <w:t>Afin d’être conforme à l’IFRS 15, il faut donc venir séparer la contrepartie totale de 240</w:t>
      </w:r>
      <w:r w:rsidR="005E77FB">
        <w:rPr>
          <w:rFonts w:ascii="Times New Roman" w:hAnsi="Times New Roman" w:cs="Times New Roman"/>
        </w:rPr>
        <w:t xml:space="preserve"> </w:t>
      </w:r>
      <w:r>
        <w:rPr>
          <w:rFonts w:ascii="Times New Roman" w:hAnsi="Times New Roman" w:cs="Times New Roman"/>
        </w:rPr>
        <w:t>$ entre les deux obligations, soit le sac et la garantie, en fonction du prix spécifique de chacun.</w:t>
      </w:r>
    </w:p>
    <w:p w14:paraId="5E234EC7" w14:textId="77777777" w:rsidR="005801A0" w:rsidRPr="00A72656" w:rsidRDefault="005801A0" w:rsidP="00F12607">
      <w:pPr>
        <w:jc w:val="both"/>
        <w:rPr>
          <w:rFonts w:ascii="Times New Roman" w:hAnsi="Times New Roman" w:cs="Times New Roman"/>
        </w:rPr>
      </w:pPr>
    </w:p>
    <w:p w14:paraId="53A85228" w14:textId="77777777" w:rsidR="005801A0" w:rsidRPr="005801A0" w:rsidRDefault="005801A0" w:rsidP="00F12607">
      <w:pPr>
        <w:jc w:val="both"/>
        <w:rPr>
          <w:rFonts w:ascii="Arial" w:hAnsi="Arial" w:cs="Arial"/>
          <w:i/>
          <w:iCs/>
          <w:color w:val="444444"/>
          <w:sz w:val="21"/>
          <w:szCs w:val="21"/>
          <w:shd w:val="clear" w:color="auto" w:fill="FFFFFF"/>
        </w:rPr>
      </w:pPr>
      <w:r w:rsidRPr="005801A0">
        <w:rPr>
          <w:rFonts w:ascii="Arial" w:hAnsi="Arial" w:cs="Arial"/>
          <w:i/>
          <w:iCs/>
          <w:color w:val="444444"/>
          <w:sz w:val="21"/>
          <w:szCs w:val="21"/>
          <w:shd w:val="clear" w:color="auto" w:fill="FFFFFF"/>
        </w:rPr>
        <w:t>77     Le prix de vente spécifique est le prix auquel une entité vendrait séparément à un client un bien ou un service promis. La meilleure indication du prix de vente spécifique est le prix observable d'un bien ou d'un service lorsque l'entité vend ce bien ou ce service séparément dans des circonstances et à des clients similaires. Le prix contractuel ou le prix de catalogue d'un bien ou d'un service peut être son prix de vente spécifique (mais on ne doit pas présumer qu'il l'est).</w:t>
      </w:r>
    </w:p>
    <w:p w14:paraId="0B55BCA5" w14:textId="5A6C9954" w:rsidR="00FA714F" w:rsidRDefault="00876D4A" w:rsidP="00F12607">
      <w:pPr>
        <w:jc w:val="both"/>
        <w:rPr>
          <w:rFonts w:ascii="Times New Roman" w:hAnsi="Times New Roman" w:cs="Times New Roman"/>
        </w:rPr>
      </w:pPr>
      <w:r>
        <w:rPr>
          <w:rFonts w:ascii="Times New Roman" w:hAnsi="Times New Roman" w:cs="Times New Roman"/>
        </w:rPr>
        <w:t>Ici, le prix de vente spéci</w:t>
      </w:r>
      <w:r w:rsidR="005E77FB">
        <w:rPr>
          <w:rFonts w:ascii="Times New Roman" w:hAnsi="Times New Roman" w:cs="Times New Roman"/>
        </w:rPr>
        <w:t>fique de la garantie serait de 6</w:t>
      </w:r>
      <w:r>
        <w:rPr>
          <w:rFonts w:ascii="Times New Roman" w:hAnsi="Times New Roman" w:cs="Times New Roman"/>
        </w:rPr>
        <w:t>0</w:t>
      </w:r>
      <w:r w:rsidR="005E77FB">
        <w:rPr>
          <w:rFonts w:ascii="Times New Roman" w:hAnsi="Times New Roman" w:cs="Times New Roman"/>
        </w:rPr>
        <w:t xml:space="preserve"> </w:t>
      </w:r>
      <w:r>
        <w:rPr>
          <w:rFonts w:ascii="Times New Roman" w:hAnsi="Times New Roman" w:cs="Times New Roman"/>
        </w:rPr>
        <w:t xml:space="preserve">$ puisque c’est le prix auquel la garantie serait vendue séparément à des clients qui ont déjà un sac et voudrait acheter la garantie. </w:t>
      </w:r>
      <w:r w:rsidR="00AC67A2">
        <w:rPr>
          <w:rFonts w:ascii="Times New Roman" w:hAnsi="Times New Roman" w:cs="Times New Roman"/>
        </w:rPr>
        <w:t xml:space="preserve">Le prix de vente spécifique du sac est de 190 $ soit le prix auquel il était vendu sans </w:t>
      </w:r>
      <w:r w:rsidR="005801A0">
        <w:rPr>
          <w:rFonts w:ascii="Times New Roman" w:hAnsi="Times New Roman" w:cs="Times New Roman"/>
        </w:rPr>
        <w:t xml:space="preserve">la </w:t>
      </w:r>
      <w:r w:rsidR="00AC67A2">
        <w:rPr>
          <w:rFonts w:ascii="Times New Roman" w:hAnsi="Times New Roman" w:cs="Times New Roman"/>
        </w:rPr>
        <w:t>garantie.</w:t>
      </w:r>
    </w:p>
    <w:p w14:paraId="7332C182" w14:textId="77777777" w:rsidR="00AC67A2" w:rsidRPr="00AC67A2" w:rsidRDefault="00876D4A" w:rsidP="00F12607">
      <w:pPr>
        <w:jc w:val="both"/>
        <w:rPr>
          <w:rFonts w:ascii="Times New Roman" w:hAnsi="Times New Roman" w:cs="Times New Roman"/>
        </w:rPr>
      </w:pPr>
      <w:r w:rsidRPr="00AC67A2">
        <w:rPr>
          <w:rFonts w:ascii="Times New Roman" w:hAnsi="Times New Roman" w:cs="Times New Roman"/>
        </w:rPr>
        <w:t xml:space="preserve">La contrepartie est donc répartie ainsi : </w:t>
      </w:r>
    </w:p>
    <w:p w14:paraId="7D368193" w14:textId="77777777" w:rsidR="00AC67A2" w:rsidRPr="00AC67A2" w:rsidRDefault="005E77FB" w:rsidP="00AC67A2">
      <w:pPr>
        <w:pStyle w:val="Paragraphedeliste"/>
        <w:numPr>
          <w:ilvl w:val="0"/>
          <w:numId w:val="3"/>
        </w:numPr>
        <w:jc w:val="both"/>
        <w:rPr>
          <w:rFonts w:ascii="Times New Roman" w:hAnsi="Times New Roman" w:cs="Times New Roman"/>
        </w:rPr>
      </w:pPr>
      <w:r w:rsidRPr="00AC67A2">
        <w:rPr>
          <w:rFonts w:ascii="Times New Roman" w:hAnsi="Times New Roman" w:cs="Times New Roman"/>
        </w:rPr>
        <w:t>60</w:t>
      </w:r>
      <w:r w:rsidR="00AC67A2" w:rsidRPr="00AC67A2">
        <w:rPr>
          <w:rFonts w:ascii="Times New Roman" w:hAnsi="Times New Roman" w:cs="Times New Roman"/>
        </w:rPr>
        <w:t xml:space="preserve"> $ </w:t>
      </w:r>
      <w:r w:rsidRPr="00AC67A2">
        <w:rPr>
          <w:rFonts w:ascii="Times New Roman" w:hAnsi="Times New Roman" w:cs="Times New Roman"/>
        </w:rPr>
        <w:t>/</w:t>
      </w:r>
      <w:r w:rsidR="00AC67A2" w:rsidRPr="00AC67A2">
        <w:rPr>
          <w:rFonts w:ascii="Times New Roman" w:hAnsi="Times New Roman" w:cs="Times New Roman"/>
        </w:rPr>
        <w:t xml:space="preserve"> (60 + 190)</w:t>
      </w:r>
      <w:r w:rsidRPr="00AC67A2">
        <w:rPr>
          <w:rFonts w:ascii="Times New Roman" w:hAnsi="Times New Roman" w:cs="Times New Roman"/>
        </w:rPr>
        <w:t xml:space="preserve"> = </w:t>
      </w:r>
      <w:r w:rsidR="00AC67A2" w:rsidRPr="00AC67A2">
        <w:rPr>
          <w:rFonts w:ascii="Times New Roman" w:hAnsi="Times New Roman" w:cs="Times New Roman"/>
        </w:rPr>
        <w:t>24 %</w:t>
      </w:r>
      <w:r w:rsidR="00876D4A" w:rsidRPr="00AC67A2">
        <w:rPr>
          <w:rFonts w:ascii="Times New Roman" w:hAnsi="Times New Roman" w:cs="Times New Roman"/>
        </w:rPr>
        <w:t xml:space="preserve"> </w:t>
      </w:r>
      <w:r w:rsidR="00AC67A2" w:rsidRPr="00AC67A2">
        <w:rPr>
          <w:rFonts w:ascii="Times New Roman" w:hAnsi="Times New Roman" w:cs="Times New Roman"/>
        </w:rPr>
        <w:t>de la contrepartie pour la garantie</w:t>
      </w:r>
    </w:p>
    <w:p w14:paraId="2F15CD3A" w14:textId="77777777" w:rsidR="00AC67A2" w:rsidRPr="00AC67A2" w:rsidRDefault="00AC67A2" w:rsidP="00AC67A2">
      <w:pPr>
        <w:pStyle w:val="Paragraphedeliste"/>
        <w:numPr>
          <w:ilvl w:val="1"/>
          <w:numId w:val="3"/>
        </w:numPr>
        <w:jc w:val="both"/>
        <w:rPr>
          <w:rFonts w:ascii="Times New Roman" w:hAnsi="Times New Roman" w:cs="Times New Roman"/>
        </w:rPr>
      </w:pPr>
      <w:r w:rsidRPr="00AC67A2">
        <w:rPr>
          <w:rFonts w:ascii="Times New Roman" w:hAnsi="Times New Roman" w:cs="Times New Roman"/>
        </w:rPr>
        <w:t>24 % x 240 $ = 57,60 $</w:t>
      </w:r>
    </w:p>
    <w:p w14:paraId="726F0867" w14:textId="77777777" w:rsidR="00876D4A" w:rsidRPr="00AC67A2" w:rsidRDefault="00876D4A" w:rsidP="00AC67A2">
      <w:pPr>
        <w:pStyle w:val="Paragraphedeliste"/>
        <w:numPr>
          <w:ilvl w:val="0"/>
          <w:numId w:val="3"/>
        </w:numPr>
        <w:jc w:val="both"/>
        <w:rPr>
          <w:rFonts w:ascii="Times New Roman" w:hAnsi="Times New Roman" w:cs="Times New Roman"/>
        </w:rPr>
      </w:pPr>
      <w:r w:rsidRPr="00AC67A2">
        <w:rPr>
          <w:rFonts w:ascii="Times New Roman" w:hAnsi="Times New Roman" w:cs="Times New Roman"/>
        </w:rPr>
        <w:t>190</w:t>
      </w:r>
      <w:r w:rsidR="00AC67A2" w:rsidRPr="00AC67A2">
        <w:rPr>
          <w:rFonts w:ascii="Times New Roman" w:hAnsi="Times New Roman" w:cs="Times New Roman"/>
        </w:rPr>
        <w:t xml:space="preserve"> </w:t>
      </w:r>
      <w:r w:rsidRPr="00AC67A2">
        <w:rPr>
          <w:rFonts w:ascii="Times New Roman" w:hAnsi="Times New Roman" w:cs="Times New Roman"/>
        </w:rPr>
        <w:t>$</w:t>
      </w:r>
      <w:r w:rsidR="00AC67A2" w:rsidRPr="00AC67A2">
        <w:rPr>
          <w:rFonts w:ascii="Times New Roman" w:hAnsi="Times New Roman" w:cs="Times New Roman"/>
        </w:rPr>
        <w:t xml:space="preserve"> </w:t>
      </w:r>
      <w:r w:rsidR="005E77FB" w:rsidRPr="00AC67A2">
        <w:rPr>
          <w:rFonts w:ascii="Times New Roman" w:hAnsi="Times New Roman" w:cs="Times New Roman"/>
        </w:rPr>
        <w:t>/</w:t>
      </w:r>
      <w:r w:rsidR="00AC67A2" w:rsidRPr="00AC67A2">
        <w:rPr>
          <w:rFonts w:ascii="Times New Roman" w:hAnsi="Times New Roman" w:cs="Times New Roman"/>
        </w:rPr>
        <w:t xml:space="preserve"> (60 + 190)</w:t>
      </w:r>
      <w:r w:rsidR="005E77FB" w:rsidRPr="00AC67A2">
        <w:rPr>
          <w:rFonts w:ascii="Times New Roman" w:hAnsi="Times New Roman" w:cs="Times New Roman"/>
        </w:rPr>
        <w:t xml:space="preserve"> = </w:t>
      </w:r>
      <w:r w:rsidR="00AC67A2" w:rsidRPr="00AC67A2">
        <w:rPr>
          <w:rFonts w:ascii="Times New Roman" w:hAnsi="Times New Roman" w:cs="Times New Roman"/>
        </w:rPr>
        <w:t>76 % de la contrepartie pour le sac</w:t>
      </w:r>
    </w:p>
    <w:p w14:paraId="7C998F37" w14:textId="016BEF13" w:rsidR="00303623" w:rsidRDefault="00AC67A2" w:rsidP="00303623">
      <w:pPr>
        <w:pStyle w:val="Paragraphedeliste"/>
        <w:numPr>
          <w:ilvl w:val="1"/>
          <w:numId w:val="3"/>
        </w:numPr>
        <w:jc w:val="both"/>
        <w:rPr>
          <w:rFonts w:ascii="Times New Roman" w:hAnsi="Times New Roman" w:cs="Times New Roman"/>
        </w:rPr>
      </w:pPr>
      <w:r w:rsidRPr="00AC67A2">
        <w:rPr>
          <w:rFonts w:ascii="Times New Roman" w:hAnsi="Times New Roman" w:cs="Times New Roman"/>
        </w:rPr>
        <w:t xml:space="preserve">76 % x 240 $ = 182,40 </w:t>
      </w:r>
      <w:r w:rsidR="00303623">
        <w:rPr>
          <w:rFonts w:ascii="Times New Roman" w:hAnsi="Times New Roman" w:cs="Times New Roman"/>
        </w:rPr>
        <w:t>$</w:t>
      </w:r>
    </w:p>
    <w:p w14:paraId="24BF6992" w14:textId="77777777" w:rsidR="00303623" w:rsidRDefault="00303623" w:rsidP="00303623">
      <w:pPr>
        <w:pStyle w:val="Paragraphedeliste"/>
        <w:ind w:left="1440"/>
        <w:jc w:val="both"/>
        <w:rPr>
          <w:rFonts w:ascii="Times New Roman" w:hAnsi="Times New Roman" w:cs="Times New Roman"/>
        </w:rPr>
      </w:pPr>
    </w:p>
    <w:p w14:paraId="7F51D52C" w14:textId="1DC8ED91" w:rsidR="00303623" w:rsidRPr="00303623" w:rsidRDefault="00303623" w:rsidP="00303623">
      <w:pPr>
        <w:pStyle w:val="Paragraphedeliste"/>
        <w:numPr>
          <w:ilvl w:val="2"/>
          <w:numId w:val="3"/>
        </w:numPr>
        <w:jc w:val="both"/>
        <w:rPr>
          <w:rFonts w:ascii="Times New Roman" w:hAnsi="Times New Roman" w:cs="Times New Roman"/>
          <w:i/>
          <w:iCs/>
        </w:rPr>
      </w:pPr>
      <w:r w:rsidRPr="00303623">
        <w:rPr>
          <w:rFonts w:ascii="Times New Roman" w:hAnsi="Times New Roman" w:cs="Times New Roman"/>
          <w:i/>
          <w:iCs/>
        </w:rPr>
        <w:t>Prix sans garantie : 290 $, avec garantie : 240 $</w:t>
      </w:r>
    </w:p>
    <w:p w14:paraId="404EA832" w14:textId="6C048513" w:rsidR="00303623" w:rsidRPr="00303623" w:rsidRDefault="00303623" w:rsidP="00303623">
      <w:pPr>
        <w:pStyle w:val="Paragraphedeliste"/>
        <w:numPr>
          <w:ilvl w:val="2"/>
          <w:numId w:val="3"/>
        </w:numPr>
        <w:jc w:val="both"/>
        <w:rPr>
          <w:rFonts w:ascii="Times New Roman" w:hAnsi="Times New Roman" w:cs="Times New Roman"/>
          <w:i/>
          <w:iCs/>
        </w:rPr>
      </w:pPr>
      <w:r w:rsidRPr="00303623">
        <w:rPr>
          <w:rFonts w:ascii="Times New Roman" w:hAnsi="Times New Roman" w:cs="Times New Roman"/>
          <w:i/>
          <w:iCs/>
        </w:rPr>
        <w:t>Garantie vendue seule : 60 $</w:t>
      </w:r>
    </w:p>
    <w:p w14:paraId="0472283C" w14:textId="663735B2" w:rsidR="00303623" w:rsidRPr="00303623" w:rsidRDefault="00303623" w:rsidP="00303623">
      <w:pPr>
        <w:pStyle w:val="Paragraphedeliste"/>
        <w:numPr>
          <w:ilvl w:val="2"/>
          <w:numId w:val="3"/>
        </w:numPr>
        <w:jc w:val="both"/>
        <w:rPr>
          <w:rFonts w:ascii="Times New Roman" w:hAnsi="Times New Roman" w:cs="Times New Roman"/>
          <w:i/>
          <w:iCs/>
        </w:rPr>
      </w:pPr>
      <w:r w:rsidRPr="00303623">
        <w:rPr>
          <w:rFonts w:ascii="Times New Roman" w:hAnsi="Times New Roman" w:cs="Times New Roman"/>
          <w:i/>
          <w:iCs/>
        </w:rPr>
        <w:t>Il y a deux éléments dans la vente de 240 $ : sac et garantie</w:t>
      </w:r>
    </w:p>
    <w:p w14:paraId="6F13EACB" w14:textId="60EF78F8" w:rsidR="00303623" w:rsidRPr="00303623" w:rsidRDefault="00303623" w:rsidP="00303623">
      <w:pPr>
        <w:pStyle w:val="Paragraphedeliste"/>
        <w:numPr>
          <w:ilvl w:val="3"/>
          <w:numId w:val="3"/>
        </w:numPr>
        <w:jc w:val="both"/>
        <w:rPr>
          <w:rFonts w:ascii="Times New Roman" w:hAnsi="Times New Roman" w:cs="Times New Roman"/>
          <w:i/>
          <w:iCs/>
        </w:rPr>
      </w:pPr>
      <w:r w:rsidRPr="00303623">
        <w:rPr>
          <w:rFonts w:ascii="Times New Roman" w:hAnsi="Times New Roman" w:cs="Times New Roman"/>
          <w:i/>
          <w:iCs/>
        </w:rPr>
        <w:t>Il faut donc répartir le prix total de la vente de 240 $ entre les deux éléments, répartition faite au prorata de al juste valeur de chaque élément</w:t>
      </w:r>
    </w:p>
    <w:p w14:paraId="7DA642CF" w14:textId="77777777" w:rsidR="00F2570C" w:rsidRDefault="00F2570C" w:rsidP="00F01461">
      <w:pPr>
        <w:jc w:val="both"/>
        <w:rPr>
          <w:rFonts w:ascii="Times New Roman" w:hAnsi="Times New Roman" w:cs="Times New Roman"/>
        </w:rPr>
      </w:pPr>
    </w:p>
    <w:p w14:paraId="70609A91" w14:textId="77777777" w:rsidR="00F2570C" w:rsidRPr="00F2570C" w:rsidRDefault="00F2570C" w:rsidP="00F2570C">
      <w:pPr>
        <w:pStyle w:val="NormalWeb"/>
        <w:shd w:val="clear" w:color="auto" w:fill="FFFFFF"/>
        <w:spacing w:before="0" w:beforeAutospacing="0" w:after="150" w:afterAutospacing="0"/>
        <w:rPr>
          <w:rFonts w:ascii="Arial" w:hAnsi="Arial" w:cs="Arial"/>
          <w:color w:val="212121"/>
          <w:sz w:val="21"/>
          <w:szCs w:val="21"/>
          <w:highlight w:val="lightGray"/>
        </w:rPr>
      </w:pPr>
      <w:r w:rsidRPr="00F2570C">
        <w:rPr>
          <w:rStyle w:val="Accentuation"/>
          <w:rFonts w:ascii="Arial" w:hAnsi="Arial" w:cs="Arial"/>
          <w:color w:val="212121"/>
          <w:sz w:val="21"/>
          <w:szCs w:val="21"/>
          <w:highlight w:val="lightGray"/>
        </w:rPr>
        <w:t>74     Pour atteindre l'objectif de répartition, l'entité doit répartir le prix de transaction entre toutes les obligations de prestation identifiées dans le contrat en proportion des prix de vente spécifiques, conformément aux paragraphes </w:t>
      </w:r>
      <w:hyperlink r:id="rId17" w:tgtFrame="_blank" w:history="1">
        <w:r w:rsidRPr="00F2570C">
          <w:rPr>
            <w:rStyle w:val="Lienhypertexte"/>
            <w:rFonts w:ascii="Arial" w:hAnsi="Arial" w:cs="Arial"/>
            <w:i/>
            <w:iCs/>
            <w:color w:val="009FDF"/>
            <w:sz w:val="21"/>
            <w:szCs w:val="21"/>
            <w:highlight w:val="lightGray"/>
          </w:rPr>
          <w:t>76</w:t>
        </w:r>
      </w:hyperlink>
      <w:r w:rsidRPr="00F2570C">
        <w:rPr>
          <w:rStyle w:val="Accentuation"/>
          <w:rFonts w:ascii="Arial" w:hAnsi="Arial" w:cs="Arial"/>
          <w:color w:val="212121"/>
          <w:sz w:val="21"/>
          <w:szCs w:val="21"/>
          <w:highlight w:val="lightGray"/>
        </w:rPr>
        <w:t xml:space="preserve"> à 80, sauf dans les cas précisés aux </w:t>
      </w:r>
      <w:r w:rsidRPr="00F2570C">
        <w:rPr>
          <w:rStyle w:val="Accentuation"/>
          <w:rFonts w:ascii="Arial" w:hAnsi="Arial" w:cs="Arial"/>
          <w:color w:val="212121"/>
          <w:sz w:val="21"/>
          <w:szCs w:val="21"/>
          <w:highlight w:val="lightGray"/>
        </w:rPr>
        <w:lastRenderedPageBreak/>
        <w:t>paragraphes 81 à 83 (répartition d'une remise) et aux paragraphes </w:t>
      </w:r>
      <w:hyperlink r:id="rId18" w:tgtFrame="_blank" w:history="1">
        <w:r w:rsidRPr="00F2570C">
          <w:rPr>
            <w:rStyle w:val="Lienhypertexte"/>
            <w:rFonts w:ascii="Arial" w:hAnsi="Arial" w:cs="Arial"/>
            <w:i/>
            <w:iCs/>
            <w:color w:val="009FDF"/>
            <w:sz w:val="21"/>
            <w:szCs w:val="21"/>
            <w:highlight w:val="lightGray"/>
          </w:rPr>
          <w:t>84</w:t>
        </w:r>
      </w:hyperlink>
      <w:r w:rsidRPr="00F2570C">
        <w:rPr>
          <w:rStyle w:val="Accentuation"/>
          <w:rFonts w:ascii="Arial" w:hAnsi="Arial" w:cs="Arial"/>
          <w:color w:val="212121"/>
          <w:sz w:val="21"/>
          <w:szCs w:val="21"/>
          <w:highlight w:val="lightGray"/>
        </w:rPr>
        <w:t> à 86 (répartition d'une contrepartie comprenant des montants variables).</w:t>
      </w:r>
    </w:p>
    <w:p w14:paraId="45169606" w14:textId="77777777" w:rsidR="00F2570C" w:rsidRPr="00F2570C" w:rsidRDefault="00F2570C" w:rsidP="00F2570C">
      <w:pPr>
        <w:pStyle w:val="NormalWeb"/>
        <w:shd w:val="clear" w:color="auto" w:fill="FFFFFF"/>
        <w:spacing w:before="0" w:beforeAutospacing="0" w:after="150" w:afterAutospacing="0"/>
        <w:rPr>
          <w:rFonts w:ascii="Arial" w:hAnsi="Arial" w:cs="Arial"/>
          <w:color w:val="212121"/>
          <w:sz w:val="21"/>
          <w:szCs w:val="21"/>
          <w:highlight w:val="lightGray"/>
        </w:rPr>
      </w:pPr>
      <w:r w:rsidRPr="00F2570C">
        <w:rPr>
          <w:rStyle w:val="Accentuation"/>
          <w:rFonts w:ascii="Arial" w:hAnsi="Arial" w:cs="Arial"/>
          <w:color w:val="212121"/>
          <w:sz w:val="21"/>
          <w:szCs w:val="21"/>
          <w:highlight w:val="lightGray"/>
        </w:rPr>
        <w:t>76     Pour répartir le prix de transaction entre toutes les obligations de prestation en proportion des prix de vente spécifiques, l'entité doit déterminer le prix de vente spécifique, au moment de la passation du contrat, du bien ou du service distinct sous-jacent à chacune des obligations de prestation prévues au contrat et répartir le prix de transaction en proportion de ces prix de vente spécifiques.</w:t>
      </w:r>
    </w:p>
    <w:p w14:paraId="0E864D02" w14:textId="77777777" w:rsidR="00F2570C" w:rsidRDefault="00F2570C" w:rsidP="00F2570C">
      <w:pPr>
        <w:pStyle w:val="NormalWeb"/>
        <w:shd w:val="clear" w:color="auto" w:fill="FFFFFF"/>
        <w:spacing w:before="0" w:beforeAutospacing="0" w:after="150" w:afterAutospacing="0"/>
        <w:rPr>
          <w:rFonts w:ascii="Arial" w:hAnsi="Arial" w:cs="Arial"/>
          <w:color w:val="212121"/>
          <w:sz w:val="21"/>
          <w:szCs w:val="21"/>
        </w:rPr>
      </w:pPr>
      <w:r w:rsidRPr="00F2570C">
        <w:rPr>
          <w:rStyle w:val="Accentuation"/>
          <w:rFonts w:ascii="Arial" w:hAnsi="Arial" w:cs="Arial"/>
          <w:color w:val="212121"/>
          <w:sz w:val="21"/>
          <w:szCs w:val="21"/>
          <w:highlight w:val="lightGray"/>
        </w:rPr>
        <w:t>77     Le prix de vente spécifique est le prix auquel une entité vendrait séparément à un client un bien ou un service promis. La meilleure indication du prix de vente spécifique est le prix observable d'un bien ou d'un service lorsque l'entité vend ce bien ou ce service séparément dans des circonstances et à des clients similaires. Le prix contractuel ou le prix de catalogue d'un bien ou d'un service peut être son prix de vente spécifique (mais on ne doit pas présumer qu'il l'est).</w:t>
      </w:r>
    </w:p>
    <w:p w14:paraId="2891935B" w14:textId="77777777" w:rsidR="00F2570C" w:rsidRPr="00F2570C" w:rsidRDefault="00F2570C" w:rsidP="00F01461">
      <w:pPr>
        <w:jc w:val="both"/>
        <w:rPr>
          <w:rFonts w:ascii="Times New Roman" w:hAnsi="Times New Roman" w:cs="Times New Roman"/>
          <w:lang w:val="fr-FR"/>
        </w:rPr>
      </w:pPr>
    </w:p>
    <w:p w14:paraId="75397567" w14:textId="6E5E0924" w:rsidR="00F01461" w:rsidRDefault="00F01461" w:rsidP="00F01461">
      <w:pPr>
        <w:jc w:val="both"/>
        <w:rPr>
          <w:rFonts w:ascii="Times New Roman" w:hAnsi="Times New Roman" w:cs="Times New Roman"/>
        </w:rPr>
      </w:pPr>
      <w:r>
        <w:rPr>
          <w:rFonts w:ascii="Times New Roman" w:hAnsi="Times New Roman" w:cs="Times New Roman"/>
        </w:rPr>
        <w:t>E</w:t>
      </w:r>
      <w:r w:rsidR="000566A5">
        <w:rPr>
          <w:rFonts w:ascii="Times New Roman" w:hAnsi="Times New Roman" w:cs="Times New Roman"/>
        </w:rPr>
        <w:t xml:space="preserve">n conclusion, les produits </w:t>
      </w:r>
      <w:r w:rsidR="005801A0">
        <w:rPr>
          <w:rFonts w:ascii="Times New Roman" w:hAnsi="Times New Roman" w:cs="Times New Roman"/>
        </w:rPr>
        <w:t xml:space="preserve">liés au sac doivent être comptabilisés lors de la vente et les produits liés </w:t>
      </w:r>
      <w:proofErr w:type="gramStart"/>
      <w:r w:rsidR="005801A0">
        <w:rPr>
          <w:rFonts w:ascii="Times New Roman" w:hAnsi="Times New Roman" w:cs="Times New Roman"/>
        </w:rPr>
        <w:t>à</w:t>
      </w:r>
      <w:proofErr w:type="gramEnd"/>
      <w:r w:rsidR="005801A0">
        <w:rPr>
          <w:rFonts w:ascii="Times New Roman" w:hAnsi="Times New Roman" w:cs="Times New Roman"/>
        </w:rPr>
        <w:t xml:space="preserve"> la</w:t>
      </w:r>
      <w:r>
        <w:rPr>
          <w:rFonts w:ascii="Times New Roman" w:hAnsi="Times New Roman" w:cs="Times New Roman"/>
        </w:rPr>
        <w:t xml:space="preserve"> garantie doi</w:t>
      </w:r>
      <w:r w:rsidR="000566A5">
        <w:rPr>
          <w:rFonts w:ascii="Times New Roman" w:hAnsi="Times New Roman" w:cs="Times New Roman"/>
        </w:rPr>
        <w:t>vent</w:t>
      </w:r>
      <w:r>
        <w:rPr>
          <w:rFonts w:ascii="Times New Roman" w:hAnsi="Times New Roman" w:cs="Times New Roman"/>
        </w:rPr>
        <w:t xml:space="preserve"> être </w:t>
      </w:r>
      <w:r w:rsidR="00644025">
        <w:rPr>
          <w:rFonts w:ascii="Times New Roman" w:hAnsi="Times New Roman" w:cs="Times New Roman"/>
        </w:rPr>
        <w:t>co</w:t>
      </w:r>
      <w:r w:rsidR="000566A5">
        <w:rPr>
          <w:rFonts w:ascii="Times New Roman" w:hAnsi="Times New Roman" w:cs="Times New Roman"/>
        </w:rPr>
        <w:t>nstatés</w:t>
      </w:r>
      <w:r w:rsidR="00644025">
        <w:rPr>
          <w:rFonts w:ascii="Times New Roman" w:hAnsi="Times New Roman" w:cs="Times New Roman"/>
        </w:rPr>
        <w:t xml:space="preserve"> linéairement sur deux</w:t>
      </w:r>
      <w:r>
        <w:rPr>
          <w:rFonts w:ascii="Times New Roman" w:hAnsi="Times New Roman" w:cs="Times New Roman"/>
        </w:rPr>
        <w:t xml:space="preserve"> ans. Ainsi, au 31 décembre </w:t>
      </w:r>
      <w:r w:rsidR="00303623">
        <w:rPr>
          <w:rFonts w:ascii="Times New Roman" w:hAnsi="Times New Roman" w:cs="Times New Roman"/>
        </w:rPr>
        <w:t>2020</w:t>
      </w:r>
      <w:r>
        <w:rPr>
          <w:rFonts w:ascii="Times New Roman" w:hAnsi="Times New Roman" w:cs="Times New Roman"/>
        </w:rPr>
        <w:t xml:space="preserve">, </w:t>
      </w:r>
      <w:r w:rsidR="000566A5">
        <w:rPr>
          <w:rFonts w:ascii="Times New Roman" w:hAnsi="Times New Roman" w:cs="Times New Roman"/>
        </w:rPr>
        <w:t xml:space="preserve">on peut estimer à environ 25 </w:t>
      </w:r>
      <w:r>
        <w:rPr>
          <w:rFonts w:ascii="Times New Roman" w:hAnsi="Times New Roman" w:cs="Times New Roman"/>
        </w:rPr>
        <w:t>%</w:t>
      </w:r>
      <w:r w:rsidR="000566A5">
        <w:rPr>
          <w:rStyle w:val="Appelnotedebasdep"/>
          <w:rFonts w:ascii="Times New Roman" w:hAnsi="Times New Roman" w:cs="Times New Roman"/>
        </w:rPr>
        <w:footnoteReference w:id="1"/>
      </w:r>
      <w:r>
        <w:rPr>
          <w:rFonts w:ascii="Times New Roman" w:hAnsi="Times New Roman" w:cs="Times New Roman"/>
        </w:rPr>
        <w:t xml:space="preserve"> des revenus liés à la garantie </w:t>
      </w:r>
      <w:r w:rsidR="000566A5">
        <w:rPr>
          <w:rFonts w:ascii="Times New Roman" w:hAnsi="Times New Roman" w:cs="Times New Roman"/>
        </w:rPr>
        <w:t xml:space="preserve">qui </w:t>
      </w:r>
      <w:r>
        <w:rPr>
          <w:rFonts w:ascii="Times New Roman" w:hAnsi="Times New Roman" w:cs="Times New Roman"/>
        </w:rPr>
        <w:t>peuvent être comptabilisés en produit, et le reste doit être consta</w:t>
      </w:r>
      <w:r w:rsidR="00021052">
        <w:rPr>
          <w:rFonts w:ascii="Times New Roman" w:hAnsi="Times New Roman" w:cs="Times New Roman"/>
        </w:rPr>
        <w:t>té à titre de produits différés.</w:t>
      </w:r>
      <w:r w:rsidR="00F01C9C">
        <w:rPr>
          <w:rFonts w:ascii="Times New Roman" w:hAnsi="Times New Roman" w:cs="Times New Roman"/>
        </w:rPr>
        <w:t xml:space="preserve"> Les coûts devront être comptabilisés à mesure qu’ils sont encourus.</w:t>
      </w:r>
    </w:p>
    <w:p w14:paraId="5565D9A5" w14:textId="3F5B6AE1" w:rsidR="00D72C84" w:rsidRDefault="00D72C84" w:rsidP="00F01461">
      <w:pPr>
        <w:jc w:val="both"/>
        <w:rPr>
          <w:rFonts w:ascii="Times New Roman" w:hAnsi="Times New Roman" w:cs="Times New Roman"/>
        </w:rPr>
      </w:pPr>
    </w:p>
    <w:p w14:paraId="31200EB5" w14:textId="15F4D90B" w:rsidR="00D72C84" w:rsidRPr="00303623" w:rsidRDefault="00D72C84" w:rsidP="00F01461">
      <w:pPr>
        <w:jc w:val="both"/>
        <w:rPr>
          <w:rFonts w:ascii="Times New Roman" w:hAnsi="Times New Roman" w:cs="Times New Roman"/>
          <w:highlight w:val="yellow"/>
        </w:rPr>
      </w:pPr>
      <w:r w:rsidRPr="00303623">
        <w:rPr>
          <w:rFonts w:ascii="Times New Roman" w:hAnsi="Times New Roman" w:cs="Times New Roman"/>
          <w:b/>
          <w:bCs/>
          <w:highlight w:val="yellow"/>
        </w:rPr>
        <w:t>Note</w:t>
      </w:r>
      <w:r w:rsidRPr="00303623">
        <w:rPr>
          <w:rFonts w:ascii="Times New Roman" w:hAnsi="Times New Roman" w:cs="Times New Roman"/>
          <w:highlight w:val="yellow"/>
        </w:rPr>
        <w:t> :</w:t>
      </w:r>
    </w:p>
    <w:p w14:paraId="6D373537" w14:textId="5515233B" w:rsidR="00D72C84" w:rsidRPr="00303623" w:rsidRDefault="00D72C84" w:rsidP="00F01461">
      <w:pPr>
        <w:jc w:val="both"/>
        <w:rPr>
          <w:rFonts w:ascii="Times New Roman" w:hAnsi="Times New Roman" w:cs="Times New Roman"/>
          <w:highlight w:val="yellow"/>
        </w:rPr>
      </w:pPr>
      <w:r w:rsidRPr="00303623">
        <w:rPr>
          <w:rFonts w:ascii="Times New Roman" w:hAnsi="Times New Roman" w:cs="Times New Roman"/>
          <w:highlight w:val="yellow"/>
        </w:rPr>
        <w:t>Si la garantie n’avait pas répondu aux critères pour être traitée comme une obligation de prestation distincte, il aurait fallu se référer à l’IAS 37 et comptabiliser une provision.</w:t>
      </w:r>
    </w:p>
    <w:p w14:paraId="3263F231" w14:textId="4C6745E4" w:rsidR="00D72C84" w:rsidRPr="00303623" w:rsidRDefault="00D72C84" w:rsidP="00F01461">
      <w:pPr>
        <w:jc w:val="both"/>
        <w:rPr>
          <w:rFonts w:ascii="Times New Roman" w:hAnsi="Times New Roman" w:cs="Times New Roman"/>
          <w:highlight w:val="yellow"/>
        </w:rPr>
      </w:pPr>
      <w:r w:rsidRPr="00303623">
        <w:rPr>
          <w:rFonts w:ascii="Times New Roman" w:hAnsi="Times New Roman" w:cs="Times New Roman"/>
          <w:highlight w:val="yellow"/>
        </w:rPr>
        <w:t>Selon IFRS 15 :</w:t>
      </w:r>
    </w:p>
    <w:p w14:paraId="0BD943DE" w14:textId="30F107CF" w:rsidR="00D72C84" w:rsidRPr="00303623" w:rsidRDefault="00D72C84" w:rsidP="00D72C84">
      <w:pPr>
        <w:jc w:val="both"/>
        <w:rPr>
          <w:rFonts w:ascii="Arial" w:hAnsi="Arial" w:cs="Arial"/>
          <w:i/>
          <w:iCs/>
          <w:color w:val="444444"/>
          <w:sz w:val="21"/>
          <w:szCs w:val="21"/>
          <w:highlight w:val="yellow"/>
          <w:shd w:val="clear" w:color="auto" w:fill="FFFFFF"/>
        </w:rPr>
      </w:pPr>
      <w:r w:rsidRPr="00303623">
        <w:rPr>
          <w:rFonts w:ascii="Arial" w:hAnsi="Arial" w:cs="Arial"/>
          <w:i/>
          <w:iCs/>
          <w:color w:val="444444"/>
          <w:sz w:val="21"/>
          <w:szCs w:val="21"/>
          <w:highlight w:val="yellow"/>
          <w:shd w:val="clear" w:color="auto" w:fill="FFFFFF"/>
        </w:rPr>
        <w:t>B30     Si le client n'a pas l'option d'acheter la garantie séparément, l'entité doit comptabiliser celle-ci conformément à </w:t>
      </w:r>
      <w:hyperlink r:id="rId19" w:history="1">
        <w:r w:rsidRPr="00303623">
          <w:rPr>
            <w:rStyle w:val="Lienhypertexte"/>
            <w:rFonts w:ascii="Arial" w:hAnsi="Arial" w:cs="Arial"/>
            <w:i/>
            <w:iCs/>
            <w:color w:val="006FBA"/>
            <w:sz w:val="21"/>
            <w:szCs w:val="21"/>
            <w:highlight w:val="yellow"/>
            <w:shd w:val="clear" w:color="auto" w:fill="FFFFFF"/>
          </w:rPr>
          <w:t>IAS 37</w:t>
        </w:r>
      </w:hyperlink>
      <w:r w:rsidRPr="00303623">
        <w:rPr>
          <w:rFonts w:ascii="Arial" w:hAnsi="Arial" w:cs="Arial"/>
          <w:i/>
          <w:iCs/>
          <w:color w:val="444444"/>
          <w:sz w:val="21"/>
          <w:szCs w:val="21"/>
          <w:highlight w:val="yellow"/>
          <w:shd w:val="clear" w:color="auto" w:fill="FFFFFF"/>
        </w:rPr>
        <w:t> Provisions, passifs éventuels et actifs éventuels, à moins que la garantie promise ou une partie de celle-ci ne procure au client un service en plus de l'assurance que le produit visé est conforme aux spécifications convenues.</w:t>
      </w:r>
    </w:p>
    <w:p w14:paraId="29C54AB8" w14:textId="6E6DFE2D" w:rsidR="00D72C84" w:rsidRPr="00303623" w:rsidRDefault="00D72C84" w:rsidP="00D72C84">
      <w:pPr>
        <w:jc w:val="both"/>
        <w:rPr>
          <w:rFonts w:ascii="Arial" w:hAnsi="Arial" w:cs="Arial"/>
          <w:i/>
          <w:iCs/>
          <w:color w:val="444444"/>
          <w:sz w:val="21"/>
          <w:szCs w:val="21"/>
          <w:highlight w:val="yellow"/>
          <w:shd w:val="clear" w:color="auto" w:fill="FFFFFF"/>
        </w:rPr>
      </w:pPr>
    </w:p>
    <w:p w14:paraId="47A70686" w14:textId="54F8A73F" w:rsidR="00D72C84" w:rsidRPr="00303623" w:rsidRDefault="00D72C84" w:rsidP="00D72C84">
      <w:pPr>
        <w:jc w:val="both"/>
        <w:rPr>
          <w:rFonts w:ascii="Times New Roman" w:hAnsi="Times New Roman" w:cs="Times New Roman"/>
          <w:highlight w:val="yellow"/>
        </w:rPr>
      </w:pPr>
      <w:r w:rsidRPr="00303623">
        <w:rPr>
          <w:rFonts w:ascii="Times New Roman" w:hAnsi="Times New Roman" w:cs="Times New Roman"/>
          <w:highlight w:val="yellow"/>
        </w:rPr>
        <w:t>Selon IAS 37 :</w:t>
      </w:r>
    </w:p>
    <w:p w14:paraId="56CAF9A2" w14:textId="77777777" w:rsidR="005801A0" w:rsidRPr="00303623" w:rsidRDefault="005801A0" w:rsidP="005801A0">
      <w:pPr>
        <w:pStyle w:val="ifrsl6"/>
        <w:shd w:val="clear" w:color="auto" w:fill="FFFFFF"/>
        <w:spacing w:before="65" w:beforeAutospacing="0" w:after="65" w:afterAutospacing="0"/>
        <w:ind w:left="1025"/>
        <w:rPr>
          <w:rFonts w:ascii="Arial" w:hAnsi="Arial" w:cs="Arial"/>
          <w:i/>
          <w:iCs/>
          <w:color w:val="444444"/>
          <w:sz w:val="22"/>
          <w:szCs w:val="22"/>
          <w:highlight w:val="yellow"/>
        </w:rPr>
      </w:pPr>
      <w:r w:rsidRPr="00303623">
        <w:rPr>
          <w:rFonts w:ascii="Arial" w:hAnsi="Arial" w:cs="Arial"/>
          <w:i/>
          <w:iCs/>
          <w:color w:val="444444"/>
          <w:sz w:val="22"/>
          <w:szCs w:val="22"/>
          <w:highlight w:val="yellow"/>
        </w:rPr>
        <w:t>Provisions</w:t>
      </w:r>
    </w:p>
    <w:p w14:paraId="43D797A4" w14:textId="77777777" w:rsidR="005801A0" w:rsidRPr="00303623" w:rsidRDefault="005801A0" w:rsidP="005801A0">
      <w:pPr>
        <w:pStyle w:val="ifrsparagraphbold"/>
        <w:shd w:val="clear" w:color="auto" w:fill="FFFFFF"/>
        <w:spacing w:before="65" w:beforeAutospacing="0" w:after="65" w:afterAutospacing="0"/>
        <w:ind w:left="785" w:hanging="708"/>
        <w:rPr>
          <w:rFonts w:ascii="Arial" w:hAnsi="Arial" w:cs="Arial"/>
          <w:i/>
          <w:iCs/>
          <w:color w:val="444444"/>
          <w:sz w:val="21"/>
          <w:szCs w:val="21"/>
          <w:highlight w:val="yellow"/>
        </w:rPr>
      </w:pPr>
      <w:bookmarkStart w:id="26" w:name="para_61"/>
      <w:bookmarkStart w:id="27" w:name="IAS_37.14"/>
      <w:bookmarkEnd w:id="26"/>
      <w:bookmarkEnd w:id="27"/>
      <w:r w:rsidRPr="00303623">
        <w:rPr>
          <w:rFonts w:ascii="Arial" w:hAnsi="Arial" w:cs="Arial"/>
          <w:i/>
          <w:iCs/>
          <w:color w:val="444444"/>
          <w:sz w:val="21"/>
          <w:szCs w:val="21"/>
          <w:highlight w:val="yellow"/>
        </w:rPr>
        <w:t>14     Une provision doit être comptabilisée lorsque :</w:t>
      </w:r>
    </w:p>
    <w:p w14:paraId="71E5977B" w14:textId="51DF2B61" w:rsidR="005801A0" w:rsidRPr="00303623" w:rsidRDefault="005801A0" w:rsidP="005801A0">
      <w:pPr>
        <w:pStyle w:val="ifrsbulletbold"/>
        <w:numPr>
          <w:ilvl w:val="0"/>
          <w:numId w:val="5"/>
        </w:numPr>
        <w:shd w:val="clear" w:color="auto" w:fill="FFFFFF"/>
        <w:spacing w:before="65" w:beforeAutospacing="0" w:after="65" w:afterAutospacing="0"/>
        <w:rPr>
          <w:rFonts w:ascii="Arial" w:hAnsi="Arial" w:cs="Arial"/>
          <w:i/>
          <w:iCs/>
          <w:color w:val="444444"/>
          <w:sz w:val="21"/>
          <w:szCs w:val="21"/>
          <w:highlight w:val="yellow"/>
        </w:rPr>
      </w:pPr>
      <w:bookmarkStart w:id="28" w:name="para_62"/>
      <w:bookmarkEnd w:id="28"/>
      <w:proofErr w:type="gramStart"/>
      <w:r w:rsidRPr="00303623">
        <w:rPr>
          <w:rFonts w:ascii="Arial" w:hAnsi="Arial" w:cs="Arial"/>
          <w:i/>
          <w:iCs/>
          <w:color w:val="444444"/>
          <w:sz w:val="21"/>
          <w:szCs w:val="21"/>
          <w:highlight w:val="yellow"/>
        </w:rPr>
        <w:t>une</w:t>
      </w:r>
      <w:proofErr w:type="gramEnd"/>
      <w:r w:rsidRPr="00303623">
        <w:rPr>
          <w:rFonts w:ascii="Arial" w:hAnsi="Arial" w:cs="Arial"/>
          <w:i/>
          <w:iCs/>
          <w:color w:val="444444"/>
          <w:sz w:val="21"/>
          <w:szCs w:val="21"/>
          <w:highlight w:val="yellow"/>
        </w:rPr>
        <w:t xml:space="preserve"> entité a une obligation actuelle (juridique ou implicite) résultant d'un événement passé ;</w:t>
      </w:r>
    </w:p>
    <w:p w14:paraId="79900BBD" w14:textId="1BD64E8D" w:rsidR="00D72C84" w:rsidRPr="00303623" w:rsidRDefault="00D72C84" w:rsidP="00D72C84">
      <w:pPr>
        <w:pStyle w:val="ifrsbulletbold"/>
        <w:shd w:val="clear" w:color="auto" w:fill="FFFFFF"/>
        <w:spacing w:before="65" w:beforeAutospacing="0" w:after="65" w:afterAutospacing="0"/>
        <w:ind w:left="1354"/>
        <w:rPr>
          <w:rFonts w:ascii="Arial" w:hAnsi="Arial" w:cs="Arial"/>
          <w:i/>
          <w:iCs/>
          <w:color w:val="444444"/>
          <w:sz w:val="21"/>
          <w:szCs w:val="21"/>
          <w:highlight w:val="yellow"/>
        </w:rPr>
      </w:pPr>
      <w:r w:rsidRPr="00303623">
        <w:rPr>
          <w:sz w:val="20"/>
          <w:highlight w:val="yellow"/>
        </w:rPr>
        <w:t>Oui, HNI a l’obligation actuelle de réparer les sacs brisés résultant de la vente d’une garantie dans le passé.</w:t>
      </w:r>
    </w:p>
    <w:p w14:paraId="3C56922B" w14:textId="77777777" w:rsidR="005801A0" w:rsidRPr="00303623" w:rsidRDefault="005801A0" w:rsidP="005801A0">
      <w:pPr>
        <w:pStyle w:val="ifrsbulletbold"/>
        <w:shd w:val="clear" w:color="auto" w:fill="FFFFFF"/>
        <w:spacing w:before="65" w:beforeAutospacing="0" w:after="65" w:afterAutospacing="0"/>
        <w:ind w:left="1354"/>
        <w:rPr>
          <w:rFonts w:ascii="Arial" w:hAnsi="Arial" w:cs="Arial"/>
          <w:i/>
          <w:iCs/>
          <w:color w:val="444444"/>
          <w:sz w:val="21"/>
          <w:szCs w:val="21"/>
          <w:highlight w:val="yellow"/>
          <w:lang w:val="fr-CA"/>
        </w:rPr>
      </w:pPr>
    </w:p>
    <w:p w14:paraId="1AD28302" w14:textId="23A9FEEB" w:rsidR="005801A0" w:rsidRPr="00303623" w:rsidRDefault="005801A0" w:rsidP="005801A0">
      <w:pPr>
        <w:pStyle w:val="ifrsbulletbold"/>
        <w:numPr>
          <w:ilvl w:val="0"/>
          <w:numId w:val="5"/>
        </w:numPr>
        <w:shd w:val="clear" w:color="auto" w:fill="FFFFFF"/>
        <w:spacing w:before="65" w:beforeAutospacing="0" w:after="65" w:afterAutospacing="0"/>
        <w:rPr>
          <w:rFonts w:ascii="Arial" w:hAnsi="Arial" w:cs="Arial"/>
          <w:i/>
          <w:iCs/>
          <w:color w:val="444444"/>
          <w:sz w:val="21"/>
          <w:szCs w:val="21"/>
          <w:highlight w:val="yellow"/>
        </w:rPr>
      </w:pPr>
      <w:bookmarkStart w:id="29" w:name="para_63"/>
      <w:bookmarkEnd w:id="29"/>
      <w:proofErr w:type="gramStart"/>
      <w:r w:rsidRPr="00303623">
        <w:rPr>
          <w:rFonts w:ascii="Arial" w:hAnsi="Arial" w:cs="Arial"/>
          <w:i/>
          <w:iCs/>
          <w:color w:val="444444"/>
          <w:sz w:val="21"/>
          <w:szCs w:val="21"/>
          <w:highlight w:val="yellow"/>
        </w:rPr>
        <w:lastRenderedPageBreak/>
        <w:t>il</w:t>
      </w:r>
      <w:proofErr w:type="gramEnd"/>
      <w:r w:rsidRPr="00303623">
        <w:rPr>
          <w:rFonts w:ascii="Arial" w:hAnsi="Arial" w:cs="Arial"/>
          <w:i/>
          <w:iCs/>
          <w:color w:val="444444"/>
          <w:sz w:val="21"/>
          <w:szCs w:val="21"/>
          <w:highlight w:val="yellow"/>
        </w:rPr>
        <w:t xml:space="preserve"> est probable qu'une sortie de ressources représentatives d'avantages économiques sera nécessaire pour éteindre l'obligation ; et</w:t>
      </w:r>
    </w:p>
    <w:p w14:paraId="4BA544A1" w14:textId="4E842C3E" w:rsidR="00D72C84" w:rsidRPr="00303623" w:rsidRDefault="00D72C84" w:rsidP="00D72C84">
      <w:pPr>
        <w:pStyle w:val="ifrsbulletbold"/>
        <w:shd w:val="clear" w:color="auto" w:fill="FFFFFF"/>
        <w:spacing w:before="65" w:beforeAutospacing="0" w:after="65" w:afterAutospacing="0"/>
        <w:ind w:left="1354"/>
        <w:rPr>
          <w:rFonts w:ascii="Arial" w:hAnsi="Arial" w:cs="Arial"/>
          <w:i/>
          <w:iCs/>
          <w:color w:val="444444"/>
          <w:sz w:val="21"/>
          <w:szCs w:val="21"/>
          <w:highlight w:val="yellow"/>
        </w:rPr>
      </w:pPr>
      <w:r w:rsidRPr="00303623">
        <w:rPr>
          <w:sz w:val="20"/>
          <w:highlight w:val="yellow"/>
        </w:rPr>
        <w:t>Oui, selon les données de l’industrie il est probable que des clients ramènent des sacs et que HNI doivent défrayer des coûts pour les faire réparer.</w:t>
      </w:r>
    </w:p>
    <w:p w14:paraId="0DC4165B" w14:textId="77777777" w:rsidR="005801A0" w:rsidRPr="00303623" w:rsidRDefault="005801A0" w:rsidP="00D72C84">
      <w:pPr>
        <w:pStyle w:val="ifrsbulletbold"/>
        <w:shd w:val="clear" w:color="auto" w:fill="FFFFFF"/>
        <w:spacing w:before="65" w:beforeAutospacing="0" w:after="65" w:afterAutospacing="0"/>
        <w:ind w:left="1354"/>
        <w:rPr>
          <w:rFonts w:ascii="Arial" w:hAnsi="Arial" w:cs="Arial"/>
          <w:i/>
          <w:iCs/>
          <w:color w:val="444444"/>
          <w:sz w:val="21"/>
          <w:szCs w:val="21"/>
          <w:highlight w:val="yellow"/>
        </w:rPr>
      </w:pPr>
    </w:p>
    <w:p w14:paraId="18F89555" w14:textId="22237370" w:rsidR="005801A0" w:rsidRPr="00303623" w:rsidRDefault="005801A0" w:rsidP="00D72C84">
      <w:pPr>
        <w:pStyle w:val="ifrsbulletbold"/>
        <w:numPr>
          <w:ilvl w:val="0"/>
          <w:numId w:val="5"/>
        </w:numPr>
        <w:shd w:val="clear" w:color="auto" w:fill="FFFFFF"/>
        <w:spacing w:before="65" w:beforeAutospacing="0" w:after="65" w:afterAutospacing="0"/>
        <w:rPr>
          <w:rFonts w:ascii="Arial" w:hAnsi="Arial" w:cs="Arial"/>
          <w:i/>
          <w:iCs/>
          <w:color w:val="444444"/>
          <w:sz w:val="21"/>
          <w:szCs w:val="21"/>
          <w:highlight w:val="yellow"/>
        </w:rPr>
      </w:pPr>
      <w:bookmarkStart w:id="30" w:name="para_64"/>
      <w:bookmarkEnd w:id="30"/>
      <w:proofErr w:type="gramStart"/>
      <w:r w:rsidRPr="00303623">
        <w:rPr>
          <w:rFonts w:ascii="Arial" w:hAnsi="Arial" w:cs="Arial"/>
          <w:i/>
          <w:iCs/>
          <w:color w:val="444444"/>
          <w:sz w:val="21"/>
          <w:szCs w:val="21"/>
          <w:highlight w:val="yellow"/>
        </w:rPr>
        <w:t>le</w:t>
      </w:r>
      <w:proofErr w:type="gramEnd"/>
      <w:r w:rsidRPr="00303623">
        <w:rPr>
          <w:rFonts w:ascii="Arial" w:hAnsi="Arial" w:cs="Arial"/>
          <w:i/>
          <w:iCs/>
          <w:color w:val="444444"/>
          <w:sz w:val="21"/>
          <w:szCs w:val="21"/>
          <w:highlight w:val="yellow"/>
        </w:rPr>
        <w:t xml:space="preserve"> montant de l'obligation peut être estimé de manière fiable.</w:t>
      </w:r>
    </w:p>
    <w:p w14:paraId="15B37F33" w14:textId="0CEA33D9" w:rsidR="00D72C84" w:rsidRPr="00303623" w:rsidRDefault="00D72C84" w:rsidP="00D72C84">
      <w:pPr>
        <w:pStyle w:val="ifrsbulletbold"/>
        <w:shd w:val="clear" w:color="auto" w:fill="FFFFFF"/>
        <w:spacing w:before="65" w:beforeAutospacing="0" w:after="65" w:afterAutospacing="0"/>
        <w:ind w:left="1354"/>
        <w:rPr>
          <w:rFonts w:ascii="Arial" w:hAnsi="Arial" w:cs="Arial"/>
          <w:i/>
          <w:iCs/>
          <w:color w:val="444444"/>
          <w:sz w:val="21"/>
          <w:szCs w:val="21"/>
          <w:highlight w:val="yellow"/>
        </w:rPr>
      </w:pPr>
      <w:r w:rsidRPr="00303623">
        <w:rPr>
          <w:sz w:val="20"/>
          <w:highlight w:val="yellow"/>
        </w:rPr>
        <w:t>Oui, selon l’évaluation de la direction basée sur les données de l’industrie ce montant s’élèverait pour la première année suivant la vente à 5 % du prix de vente et à 2 % pour l’année suivante.</w:t>
      </w:r>
    </w:p>
    <w:p w14:paraId="13859ACC" w14:textId="77777777" w:rsidR="005801A0" w:rsidRDefault="005801A0" w:rsidP="005801A0">
      <w:pPr>
        <w:pStyle w:val="ifrsparagraphbold"/>
        <w:shd w:val="clear" w:color="auto" w:fill="FFFFFF"/>
        <w:spacing w:before="65" w:beforeAutospacing="0" w:after="65" w:afterAutospacing="0"/>
        <w:ind w:left="785" w:hanging="708"/>
        <w:rPr>
          <w:rFonts w:ascii="Arial" w:hAnsi="Arial" w:cs="Arial"/>
          <w:b/>
          <w:bCs/>
          <w:color w:val="444444"/>
          <w:sz w:val="21"/>
          <w:szCs w:val="21"/>
        </w:rPr>
      </w:pPr>
      <w:bookmarkStart w:id="31" w:name="para_65"/>
      <w:bookmarkEnd w:id="31"/>
      <w:r w:rsidRPr="00303623">
        <w:rPr>
          <w:rFonts w:ascii="Arial" w:hAnsi="Arial" w:cs="Arial"/>
          <w:i/>
          <w:iCs/>
          <w:color w:val="444444"/>
          <w:sz w:val="21"/>
          <w:szCs w:val="21"/>
          <w:highlight w:val="yellow"/>
        </w:rPr>
        <w:t>     Si ces conditions ne sont pas réunies, aucune provision ne doit être comptabilisée.</w:t>
      </w:r>
    </w:p>
    <w:p w14:paraId="0EFC227F" w14:textId="207560B5" w:rsidR="008A2781" w:rsidRDefault="008A2781">
      <w:pPr>
        <w:rPr>
          <w:rFonts w:ascii="Times New Roman" w:hAnsi="Times New Roman" w:cs="Times New Roman"/>
          <w:bCs/>
        </w:rPr>
      </w:pPr>
    </w:p>
    <w:p w14:paraId="1423453A" w14:textId="44F42AFB" w:rsidR="00303623" w:rsidRDefault="00303623" w:rsidP="00303623">
      <w:pPr>
        <w:pStyle w:val="NormalWeb"/>
        <w:shd w:val="clear" w:color="auto" w:fill="F5F5F5"/>
        <w:spacing w:before="0" w:beforeAutospacing="0" w:after="150" w:afterAutospacing="0"/>
        <w:rPr>
          <w:rFonts w:ascii="Arial" w:hAnsi="Arial" w:cs="Arial"/>
          <w:color w:val="212121"/>
          <w:sz w:val="21"/>
          <w:szCs w:val="21"/>
        </w:rPr>
      </w:pPr>
      <w:r>
        <w:rPr>
          <w:rFonts w:ascii="Arial" w:hAnsi="Arial" w:cs="Arial"/>
          <w:color w:val="212121"/>
          <w:sz w:val="21"/>
          <w:szCs w:val="21"/>
        </w:rPr>
        <w:t>P</w:t>
      </w:r>
      <w:r>
        <w:rPr>
          <w:rFonts w:ascii="Arial" w:hAnsi="Arial" w:cs="Arial"/>
          <w:color w:val="212121"/>
          <w:sz w:val="21"/>
          <w:szCs w:val="21"/>
        </w:rPr>
        <w:t>rovision légale : lors de la comptabilisation des produits : </w:t>
      </w:r>
    </w:p>
    <w:p w14:paraId="28238D73" w14:textId="33DE4E38" w:rsidR="00303623" w:rsidRDefault="00303623" w:rsidP="00303623">
      <w:pPr>
        <w:pStyle w:val="NormalWeb"/>
        <w:shd w:val="clear" w:color="auto" w:fill="F5F5F5"/>
        <w:spacing w:before="0" w:beforeAutospacing="0" w:after="150" w:afterAutospacing="0"/>
        <w:rPr>
          <w:rFonts w:ascii="Arial" w:hAnsi="Arial" w:cs="Arial"/>
          <w:color w:val="212121"/>
          <w:sz w:val="21"/>
          <w:szCs w:val="21"/>
        </w:rPr>
      </w:pPr>
      <w:r>
        <w:rPr>
          <w:rFonts w:ascii="Arial" w:hAnsi="Arial" w:cs="Arial"/>
          <w:color w:val="212121"/>
          <w:sz w:val="21"/>
          <w:szCs w:val="21"/>
        </w:rPr>
        <w:t>C</w:t>
      </w:r>
      <w:r>
        <w:rPr>
          <w:rFonts w:ascii="Arial" w:hAnsi="Arial" w:cs="Arial"/>
          <w:color w:val="212121"/>
          <w:sz w:val="21"/>
          <w:szCs w:val="21"/>
        </w:rPr>
        <w:t>harge frais garantie</w:t>
      </w:r>
    </w:p>
    <w:p w14:paraId="76F64446" w14:textId="77777777" w:rsidR="00303623" w:rsidRDefault="00303623" w:rsidP="00303623">
      <w:pPr>
        <w:pStyle w:val="NormalWeb"/>
        <w:shd w:val="clear" w:color="auto" w:fill="F5F5F5"/>
        <w:spacing w:before="0" w:beforeAutospacing="0" w:after="150" w:afterAutospacing="0"/>
        <w:rPr>
          <w:rFonts w:ascii="Arial" w:hAnsi="Arial" w:cs="Arial"/>
          <w:color w:val="212121"/>
          <w:sz w:val="21"/>
          <w:szCs w:val="21"/>
        </w:rPr>
      </w:pPr>
      <w:proofErr w:type="gramStart"/>
      <w:r>
        <w:rPr>
          <w:rFonts w:ascii="Arial" w:hAnsi="Arial" w:cs="Arial"/>
          <w:color w:val="212121"/>
          <w:sz w:val="21"/>
          <w:szCs w:val="21"/>
        </w:rPr>
        <w:t>@  Provision</w:t>
      </w:r>
      <w:proofErr w:type="gramEnd"/>
      <w:r>
        <w:rPr>
          <w:rFonts w:ascii="Arial" w:hAnsi="Arial" w:cs="Arial"/>
          <w:color w:val="212121"/>
          <w:sz w:val="21"/>
          <w:szCs w:val="21"/>
        </w:rPr>
        <w:t xml:space="preserve"> garantie</w:t>
      </w:r>
    </w:p>
    <w:p w14:paraId="60A626EA" w14:textId="226BB468" w:rsidR="00303623" w:rsidRDefault="00303623" w:rsidP="00303623">
      <w:pPr>
        <w:pStyle w:val="NormalWeb"/>
        <w:shd w:val="clear" w:color="auto" w:fill="F5F5F5"/>
        <w:spacing w:before="0" w:beforeAutospacing="0" w:after="150" w:afterAutospacing="0"/>
        <w:rPr>
          <w:rFonts w:ascii="Arial" w:hAnsi="Arial" w:cs="Arial"/>
          <w:color w:val="212121"/>
          <w:sz w:val="21"/>
          <w:szCs w:val="21"/>
        </w:rPr>
      </w:pPr>
      <w:proofErr w:type="gramStart"/>
      <w:r>
        <w:rPr>
          <w:rFonts w:ascii="Arial" w:hAnsi="Arial" w:cs="Arial"/>
          <w:color w:val="212121"/>
          <w:sz w:val="21"/>
          <w:szCs w:val="21"/>
        </w:rPr>
        <w:t>quand</w:t>
      </w:r>
      <w:proofErr w:type="gramEnd"/>
      <w:r>
        <w:rPr>
          <w:rFonts w:ascii="Arial" w:hAnsi="Arial" w:cs="Arial"/>
          <w:color w:val="212121"/>
          <w:sz w:val="21"/>
          <w:szCs w:val="21"/>
        </w:rPr>
        <w:t xml:space="preserve"> c'est une obligation distincte, habituellement la garantie optionnelle a lieu après la garantie légale. </w:t>
      </w:r>
      <w:r>
        <w:rPr>
          <w:rFonts w:ascii="Arial" w:hAnsi="Arial" w:cs="Arial"/>
          <w:color w:val="212121"/>
          <w:sz w:val="21"/>
          <w:szCs w:val="21"/>
        </w:rPr>
        <w:t>I</w:t>
      </w:r>
      <w:r>
        <w:rPr>
          <w:rFonts w:ascii="Arial" w:hAnsi="Arial" w:cs="Arial"/>
          <w:color w:val="212121"/>
          <w:sz w:val="21"/>
          <w:szCs w:val="21"/>
        </w:rPr>
        <w:t>l s'agit d'une prestation distincte pour laquelle on ne peut comptabiliser le produit immédiatement</w:t>
      </w:r>
    </w:p>
    <w:p w14:paraId="612FD804" w14:textId="7F7EF96F" w:rsidR="00303623" w:rsidRDefault="00303623" w:rsidP="00303623">
      <w:pPr>
        <w:pStyle w:val="NormalWeb"/>
        <w:shd w:val="clear" w:color="auto" w:fill="F5F5F5"/>
        <w:spacing w:before="0" w:beforeAutospacing="0" w:after="150" w:afterAutospacing="0"/>
        <w:rPr>
          <w:rFonts w:ascii="Arial" w:hAnsi="Arial" w:cs="Arial"/>
          <w:color w:val="212121"/>
          <w:sz w:val="21"/>
          <w:szCs w:val="21"/>
        </w:rPr>
      </w:pPr>
      <w:r>
        <w:rPr>
          <w:rFonts w:ascii="Arial" w:hAnsi="Arial" w:cs="Arial"/>
          <w:color w:val="212121"/>
          <w:sz w:val="21"/>
          <w:szCs w:val="21"/>
        </w:rPr>
        <w:t>E</w:t>
      </w:r>
      <w:r>
        <w:rPr>
          <w:rFonts w:ascii="Arial" w:hAnsi="Arial" w:cs="Arial"/>
          <w:color w:val="212121"/>
          <w:sz w:val="21"/>
          <w:szCs w:val="21"/>
        </w:rPr>
        <w:t>ncaisse / clients</w:t>
      </w:r>
    </w:p>
    <w:p w14:paraId="037EF8B5" w14:textId="77777777" w:rsidR="00303623" w:rsidRDefault="00303623" w:rsidP="00303623">
      <w:pPr>
        <w:pStyle w:val="NormalWeb"/>
        <w:shd w:val="clear" w:color="auto" w:fill="F5F5F5"/>
        <w:spacing w:before="0" w:beforeAutospacing="0" w:after="150" w:afterAutospacing="0"/>
        <w:rPr>
          <w:rFonts w:ascii="Arial" w:hAnsi="Arial" w:cs="Arial"/>
          <w:color w:val="212121"/>
          <w:sz w:val="21"/>
          <w:szCs w:val="21"/>
        </w:rPr>
      </w:pPr>
      <w:proofErr w:type="gramStart"/>
      <w:r>
        <w:rPr>
          <w:rFonts w:ascii="Arial" w:hAnsi="Arial" w:cs="Arial"/>
          <w:color w:val="212121"/>
          <w:sz w:val="21"/>
          <w:szCs w:val="21"/>
        </w:rPr>
        <w:t>@  Produits</w:t>
      </w:r>
      <w:proofErr w:type="gramEnd"/>
      <w:r>
        <w:rPr>
          <w:rFonts w:ascii="Arial" w:hAnsi="Arial" w:cs="Arial"/>
          <w:color w:val="212121"/>
          <w:sz w:val="21"/>
          <w:szCs w:val="21"/>
        </w:rPr>
        <w:t xml:space="preserve"> différés</w:t>
      </w:r>
    </w:p>
    <w:p w14:paraId="520BC00B" w14:textId="77777777" w:rsidR="00303623" w:rsidRPr="00D72C84" w:rsidRDefault="00303623">
      <w:pPr>
        <w:rPr>
          <w:rFonts w:ascii="Times New Roman" w:hAnsi="Times New Roman" w:cs="Times New Roman"/>
          <w:bCs/>
        </w:rPr>
      </w:pPr>
    </w:p>
    <w:p w14:paraId="44638F86" w14:textId="77777777" w:rsidR="00D72C84" w:rsidRDefault="00D72C84">
      <w:pPr>
        <w:rPr>
          <w:rFonts w:ascii="Times New Roman" w:hAnsi="Times New Roman" w:cs="Times New Roman"/>
          <w:b/>
        </w:rPr>
      </w:pPr>
    </w:p>
    <w:p w14:paraId="79C413E3" w14:textId="77777777" w:rsidR="00D93E57" w:rsidRPr="00F146AE" w:rsidRDefault="00D93E57" w:rsidP="00104EB3">
      <w:pPr>
        <w:pBdr>
          <w:top w:val="single" w:sz="4" w:space="1" w:color="auto"/>
          <w:left w:val="single" w:sz="4" w:space="4" w:color="auto"/>
          <w:bottom w:val="single" w:sz="4" w:space="1" w:color="auto"/>
          <w:right w:val="single" w:sz="4" w:space="4" w:color="auto"/>
        </w:pBdr>
        <w:shd w:val="clear" w:color="auto" w:fill="D9D9D9" w:themeFill="background1" w:themeFillShade="D9"/>
        <w:spacing w:after="0"/>
        <w:jc w:val="both"/>
        <w:rPr>
          <w:rFonts w:ascii="Times New Roman" w:hAnsi="Times New Roman" w:cs="Times New Roman"/>
          <w:b/>
        </w:rPr>
      </w:pPr>
      <w:r w:rsidRPr="00F146AE">
        <w:rPr>
          <w:rFonts w:ascii="Times New Roman" w:hAnsi="Times New Roman" w:cs="Times New Roman"/>
          <w:b/>
        </w:rPr>
        <w:t xml:space="preserve">Problématique no 2 </w:t>
      </w:r>
      <w:r w:rsidR="004749A5" w:rsidRPr="00F146AE">
        <w:rPr>
          <w:rFonts w:ascii="Times New Roman" w:hAnsi="Times New Roman" w:cs="Times New Roman"/>
          <w:b/>
        </w:rPr>
        <w:t>–</w:t>
      </w:r>
      <w:r w:rsidRPr="00F146AE">
        <w:rPr>
          <w:rFonts w:ascii="Times New Roman" w:hAnsi="Times New Roman" w:cs="Times New Roman"/>
          <w:b/>
        </w:rPr>
        <w:t xml:space="preserve"> </w:t>
      </w:r>
      <w:r w:rsidR="00CC3B00">
        <w:rPr>
          <w:rFonts w:ascii="Times New Roman" w:hAnsi="Times New Roman" w:cs="Times New Roman"/>
          <w:b/>
        </w:rPr>
        <w:t>STOCK</w:t>
      </w:r>
      <w:r w:rsidR="004749A5" w:rsidRPr="00F146AE">
        <w:rPr>
          <w:rFonts w:ascii="Times New Roman" w:hAnsi="Times New Roman" w:cs="Times New Roman"/>
          <w:b/>
        </w:rPr>
        <w:t xml:space="preserve"> DE SACS À DOS AVEC DÉFAUTS DE FABRICATION</w:t>
      </w:r>
    </w:p>
    <w:p w14:paraId="723BDCAE" w14:textId="77777777" w:rsidR="00F146AE" w:rsidRDefault="00F146AE" w:rsidP="00104EB3">
      <w:pPr>
        <w:pBdr>
          <w:top w:val="single" w:sz="4" w:space="1" w:color="auto"/>
          <w:left w:val="single" w:sz="4" w:space="4" w:color="auto"/>
          <w:bottom w:val="single" w:sz="4" w:space="1" w:color="auto"/>
          <w:right w:val="single" w:sz="4" w:space="4" w:color="auto"/>
        </w:pBdr>
        <w:shd w:val="clear" w:color="auto" w:fill="D9D9D9" w:themeFill="background1" w:themeFillShade="D9"/>
        <w:jc w:val="both"/>
        <w:rPr>
          <w:rFonts w:ascii="Times New Roman" w:hAnsi="Times New Roman" w:cs="Times New Roman"/>
        </w:rPr>
      </w:pPr>
      <w:r>
        <w:rPr>
          <w:rFonts w:ascii="Times New Roman" w:hAnsi="Times New Roman" w:cs="Times New Roman"/>
        </w:rPr>
        <w:t>IAS 2</w:t>
      </w:r>
    </w:p>
    <w:p w14:paraId="7D8DEABB" w14:textId="0D22D949" w:rsidR="00E25E88" w:rsidRDefault="00EF3E9D" w:rsidP="00037D39">
      <w:pPr>
        <w:jc w:val="both"/>
        <w:rPr>
          <w:rFonts w:ascii="Times New Roman" w:hAnsi="Times New Roman" w:cs="Times New Roman"/>
        </w:rPr>
      </w:pPr>
      <w:r>
        <w:rPr>
          <w:rFonts w:ascii="Times New Roman" w:hAnsi="Times New Roman" w:cs="Times New Roman"/>
        </w:rPr>
        <w:t>100 sacs encore en stock au 31 décembre 20</w:t>
      </w:r>
      <w:r w:rsidR="00303623">
        <w:rPr>
          <w:rFonts w:ascii="Times New Roman" w:hAnsi="Times New Roman" w:cs="Times New Roman"/>
        </w:rPr>
        <w:t>20</w:t>
      </w:r>
      <w:r>
        <w:rPr>
          <w:rFonts w:ascii="Times New Roman" w:hAnsi="Times New Roman" w:cs="Times New Roman"/>
        </w:rPr>
        <w:t xml:space="preserve"> se</w:t>
      </w:r>
      <w:r w:rsidR="00037D39">
        <w:rPr>
          <w:rFonts w:ascii="Times New Roman" w:hAnsi="Times New Roman" w:cs="Times New Roman"/>
        </w:rPr>
        <w:t>ront vendus à un prix inférieur</w:t>
      </w:r>
      <w:r w:rsidR="00572B4C">
        <w:rPr>
          <w:rFonts w:ascii="Times New Roman" w:hAnsi="Times New Roman" w:cs="Times New Roman"/>
        </w:rPr>
        <w:t xml:space="preserve"> à </w:t>
      </w:r>
      <w:r>
        <w:rPr>
          <w:rFonts w:ascii="Times New Roman" w:hAnsi="Times New Roman" w:cs="Times New Roman"/>
        </w:rPr>
        <w:t xml:space="preserve">leur prix de vente habituel étant donné leurs défauts de fabrication. Il faut donc </w:t>
      </w:r>
      <w:proofErr w:type="gramStart"/>
      <w:r>
        <w:rPr>
          <w:rFonts w:ascii="Times New Roman" w:hAnsi="Times New Roman" w:cs="Times New Roman"/>
        </w:rPr>
        <w:t>voir</w:t>
      </w:r>
      <w:proofErr w:type="gramEnd"/>
      <w:r>
        <w:rPr>
          <w:rFonts w:ascii="Times New Roman" w:hAnsi="Times New Roman" w:cs="Times New Roman"/>
        </w:rPr>
        <w:t xml:space="preserve"> si une dépréciation devrait être prise sur ces sacs conformément à l’IAS 2 –Stocks :</w:t>
      </w:r>
    </w:p>
    <w:p w14:paraId="41040C33" w14:textId="77777777" w:rsidR="00D72C84" w:rsidRPr="00D72C84" w:rsidRDefault="00D72C84" w:rsidP="00D72C84">
      <w:pPr>
        <w:pStyle w:val="ifrsheader2underline"/>
        <w:pBdr>
          <w:bottom w:val="single" w:sz="18" w:space="0" w:color="auto"/>
        </w:pBdr>
        <w:shd w:val="clear" w:color="auto" w:fill="FFFFFF"/>
        <w:spacing w:before="65" w:beforeAutospacing="0" w:after="65" w:afterAutospacing="0"/>
        <w:rPr>
          <w:rFonts w:ascii="Arial" w:hAnsi="Arial" w:cs="Arial"/>
          <w:i/>
          <w:iCs/>
          <w:color w:val="444444"/>
          <w:sz w:val="22"/>
          <w:szCs w:val="22"/>
        </w:rPr>
      </w:pPr>
      <w:r w:rsidRPr="00D72C84">
        <w:rPr>
          <w:rFonts w:ascii="Arial" w:hAnsi="Arial" w:cs="Arial"/>
          <w:i/>
          <w:iCs/>
          <w:color w:val="444444"/>
          <w:sz w:val="22"/>
          <w:szCs w:val="22"/>
        </w:rPr>
        <w:t>Évaluation des stocks</w:t>
      </w:r>
    </w:p>
    <w:p w14:paraId="5354E17C" w14:textId="77777777" w:rsidR="00D72C84" w:rsidRPr="00D72C84" w:rsidRDefault="00D72C84" w:rsidP="00D72C84">
      <w:pPr>
        <w:pStyle w:val="ifrsparagraphbold"/>
        <w:shd w:val="clear" w:color="auto" w:fill="FFFFFF"/>
        <w:spacing w:before="65" w:beforeAutospacing="0" w:after="65" w:afterAutospacing="0"/>
        <w:ind w:left="785" w:hanging="708"/>
        <w:rPr>
          <w:rFonts w:ascii="Arial" w:hAnsi="Arial" w:cs="Arial"/>
          <w:i/>
          <w:iCs/>
          <w:color w:val="444444"/>
          <w:sz w:val="21"/>
          <w:szCs w:val="21"/>
        </w:rPr>
      </w:pPr>
      <w:bookmarkStart w:id="32" w:name="IAS_2.9"/>
      <w:bookmarkEnd w:id="32"/>
      <w:r w:rsidRPr="00D72C84">
        <w:rPr>
          <w:rFonts w:ascii="Arial" w:hAnsi="Arial" w:cs="Arial"/>
          <w:i/>
          <w:iCs/>
          <w:color w:val="444444"/>
          <w:sz w:val="21"/>
          <w:szCs w:val="21"/>
        </w:rPr>
        <w:t>9     Les stocks doivent être évalués au plus faible du coût et de la valeur nette de réalisation.</w:t>
      </w:r>
    </w:p>
    <w:p w14:paraId="7E120F38" w14:textId="7A5B2D88" w:rsidR="00EF3E9D" w:rsidRPr="007A62A4" w:rsidRDefault="00EF3E9D" w:rsidP="00037D39">
      <w:pPr>
        <w:jc w:val="both"/>
        <w:rPr>
          <w:rFonts w:ascii="Times New Roman" w:hAnsi="Times New Roman" w:cs="Times New Roman"/>
        </w:rPr>
      </w:pPr>
      <w:r>
        <w:rPr>
          <w:rFonts w:ascii="Times New Roman" w:hAnsi="Times New Roman" w:cs="Times New Roman"/>
        </w:rPr>
        <w:t>Il y a donc lieu de se questionner à savoir si la VNR de ces sacs est maintenant inférieur à leur coût de 85</w:t>
      </w:r>
      <w:r w:rsidR="000566A5">
        <w:rPr>
          <w:rFonts w:ascii="Times New Roman" w:hAnsi="Times New Roman" w:cs="Times New Roman"/>
        </w:rPr>
        <w:t xml:space="preserve"> </w:t>
      </w:r>
      <w:r w:rsidR="00572B4C">
        <w:rPr>
          <w:rFonts w:ascii="Times New Roman" w:hAnsi="Times New Roman" w:cs="Times New Roman"/>
        </w:rPr>
        <w:t>$ (</w:t>
      </w:r>
      <w:r>
        <w:rPr>
          <w:rFonts w:ascii="Times New Roman" w:hAnsi="Times New Roman" w:cs="Times New Roman"/>
        </w:rPr>
        <w:t>annexe I).</w:t>
      </w:r>
    </w:p>
    <w:p w14:paraId="15DEDA79" w14:textId="2AE283DC" w:rsidR="007A62A4" w:rsidRDefault="00D72C84" w:rsidP="00037D39">
      <w:pPr>
        <w:jc w:val="both"/>
        <w:rPr>
          <w:rFonts w:ascii="Times New Roman" w:hAnsi="Times New Roman" w:cs="Times New Roman"/>
        </w:rPr>
      </w:pPr>
      <w:r>
        <w:rPr>
          <w:rFonts w:ascii="Times New Roman" w:hAnsi="Times New Roman" w:cs="Times New Roman"/>
        </w:rPr>
        <w:t>Selon le p</w:t>
      </w:r>
      <w:r w:rsidR="00BD7E23">
        <w:rPr>
          <w:rFonts w:ascii="Times New Roman" w:hAnsi="Times New Roman" w:cs="Times New Roman"/>
        </w:rPr>
        <w:t xml:space="preserve">ar. </w:t>
      </w:r>
      <w:r w:rsidR="007A62A4">
        <w:rPr>
          <w:rFonts w:ascii="Times New Roman" w:hAnsi="Times New Roman" w:cs="Times New Roman"/>
        </w:rPr>
        <w:t>6</w:t>
      </w:r>
      <w:r w:rsidR="001D677C">
        <w:rPr>
          <w:rFonts w:ascii="Times New Roman" w:hAnsi="Times New Roman" w:cs="Times New Roman"/>
        </w:rPr>
        <w:t> :</w:t>
      </w:r>
      <w:r w:rsidR="00BD7E23">
        <w:rPr>
          <w:rFonts w:ascii="Times New Roman" w:hAnsi="Times New Roman" w:cs="Times New Roman"/>
        </w:rPr>
        <w:t xml:space="preserve"> </w:t>
      </w:r>
      <w:r w:rsidR="00BD7E23" w:rsidRPr="001D677C">
        <w:rPr>
          <w:rFonts w:ascii="Times New Roman" w:hAnsi="Times New Roman" w:cs="Times New Roman"/>
          <w:i/>
        </w:rPr>
        <w:t>« </w:t>
      </w:r>
      <w:r w:rsidR="007A62A4" w:rsidRPr="001D677C">
        <w:rPr>
          <w:rFonts w:ascii="Times New Roman" w:hAnsi="Times New Roman" w:cs="Times New Roman"/>
          <w:i/>
        </w:rPr>
        <w:t>La valeur nette de réalisation est le prix de vente estimé dans le cours normal de l'activité, diminué des coûts estimés pour l'achèvement et des coûts estimés nécessaires pour réaliser la vente.</w:t>
      </w:r>
      <w:r w:rsidR="00BD7E23" w:rsidRPr="001D677C">
        <w:rPr>
          <w:rFonts w:ascii="Times New Roman" w:hAnsi="Times New Roman" w:cs="Times New Roman"/>
          <w:i/>
        </w:rPr>
        <w:t> »</w:t>
      </w:r>
    </w:p>
    <w:p w14:paraId="217002A4" w14:textId="77777777" w:rsidR="00BD7E23" w:rsidRDefault="00BD7E23" w:rsidP="00037D39">
      <w:pPr>
        <w:jc w:val="both"/>
        <w:rPr>
          <w:rFonts w:ascii="Times New Roman" w:hAnsi="Times New Roman" w:cs="Times New Roman"/>
        </w:rPr>
      </w:pPr>
      <w:r>
        <w:rPr>
          <w:rFonts w:ascii="Times New Roman" w:hAnsi="Times New Roman" w:cs="Times New Roman"/>
        </w:rPr>
        <w:t>Dans ce cas-ci, le prix de vente correspondrait à 25</w:t>
      </w:r>
      <w:r w:rsidR="000566A5">
        <w:rPr>
          <w:rFonts w:ascii="Times New Roman" w:hAnsi="Times New Roman" w:cs="Times New Roman"/>
        </w:rPr>
        <w:t xml:space="preserve"> </w:t>
      </w:r>
      <w:r>
        <w:rPr>
          <w:rFonts w:ascii="Times New Roman" w:hAnsi="Times New Roman" w:cs="Times New Roman"/>
        </w:rPr>
        <w:t>% du prix habituel de 240</w:t>
      </w:r>
      <w:r w:rsidR="00572B4C">
        <w:rPr>
          <w:rFonts w:ascii="Times New Roman" w:hAnsi="Times New Roman" w:cs="Times New Roman"/>
        </w:rPr>
        <w:t xml:space="preserve"> </w:t>
      </w:r>
      <w:r>
        <w:rPr>
          <w:rFonts w:ascii="Times New Roman" w:hAnsi="Times New Roman" w:cs="Times New Roman"/>
        </w:rPr>
        <w:t>$, soit 60</w:t>
      </w:r>
      <w:r w:rsidR="000566A5">
        <w:rPr>
          <w:rFonts w:ascii="Times New Roman" w:hAnsi="Times New Roman" w:cs="Times New Roman"/>
        </w:rPr>
        <w:t xml:space="preserve"> $. Réduit des coûts de la vente, soit une commission de 10 % versée aux vend</w:t>
      </w:r>
      <w:r w:rsidR="00572B4C">
        <w:rPr>
          <w:rFonts w:ascii="Times New Roman" w:hAnsi="Times New Roman" w:cs="Times New Roman"/>
        </w:rPr>
        <w:t>eurs (donc 6 $), la VNR est</w:t>
      </w:r>
      <w:r w:rsidR="000566A5">
        <w:rPr>
          <w:rFonts w:ascii="Times New Roman" w:hAnsi="Times New Roman" w:cs="Times New Roman"/>
        </w:rPr>
        <w:t xml:space="preserve"> de 54 $. La VNR étant</w:t>
      </w:r>
      <w:r>
        <w:rPr>
          <w:rFonts w:ascii="Times New Roman" w:hAnsi="Times New Roman" w:cs="Times New Roman"/>
        </w:rPr>
        <w:t xml:space="preserve"> inférieur</w:t>
      </w:r>
      <w:r w:rsidR="000566A5">
        <w:rPr>
          <w:rFonts w:ascii="Times New Roman" w:hAnsi="Times New Roman" w:cs="Times New Roman"/>
        </w:rPr>
        <w:t>e</w:t>
      </w:r>
      <w:r>
        <w:rPr>
          <w:rFonts w:ascii="Times New Roman" w:hAnsi="Times New Roman" w:cs="Times New Roman"/>
        </w:rPr>
        <w:t xml:space="preserve"> au coût de 85</w:t>
      </w:r>
      <w:r w:rsidR="000566A5">
        <w:rPr>
          <w:rFonts w:ascii="Times New Roman" w:hAnsi="Times New Roman" w:cs="Times New Roman"/>
        </w:rPr>
        <w:t xml:space="preserve"> </w:t>
      </w:r>
      <w:r>
        <w:rPr>
          <w:rFonts w:ascii="Times New Roman" w:hAnsi="Times New Roman" w:cs="Times New Roman"/>
        </w:rPr>
        <w:t>$</w:t>
      </w:r>
      <w:r w:rsidR="000566A5">
        <w:rPr>
          <w:rFonts w:ascii="Times New Roman" w:hAnsi="Times New Roman" w:cs="Times New Roman"/>
        </w:rPr>
        <w:t>, une dépréciation de 31 $ par sac doit être prise</w:t>
      </w:r>
      <w:r>
        <w:rPr>
          <w:rFonts w:ascii="Times New Roman" w:hAnsi="Times New Roman" w:cs="Times New Roman"/>
        </w:rPr>
        <w:t>.</w:t>
      </w:r>
    </w:p>
    <w:p w14:paraId="61220745" w14:textId="149C21CC" w:rsidR="008B1FAF" w:rsidRDefault="00C574A5" w:rsidP="00037D39">
      <w:pPr>
        <w:jc w:val="both"/>
        <w:rPr>
          <w:rFonts w:ascii="Times New Roman" w:hAnsi="Times New Roman" w:cs="Times New Roman"/>
        </w:rPr>
      </w:pPr>
      <w:r>
        <w:rPr>
          <w:rFonts w:ascii="Times New Roman" w:hAnsi="Times New Roman" w:cs="Times New Roman"/>
        </w:rPr>
        <w:lastRenderedPageBreak/>
        <w:t xml:space="preserve">Ainsi, une dépréciation de </w:t>
      </w:r>
      <w:r w:rsidR="000566A5">
        <w:rPr>
          <w:rFonts w:ascii="Times New Roman" w:hAnsi="Times New Roman" w:cs="Times New Roman"/>
        </w:rPr>
        <w:t>3 1</w:t>
      </w:r>
      <w:r>
        <w:rPr>
          <w:rFonts w:ascii="Times New Roman" w:hAnsi="Times New Roman" w:cs="Times New Roman"/>
        </w:rPr>
        <w:t>00</w:t>
      </w:r>
      <w:r w:rsidR="000566A5">
        <w:rPr>
          <w:rFonts w:ascii="Times New Roman" w:hAnsi="Times New Roman" w:cs="Times New Roman"/>
        </w:rPr>
        <w:t xml:space="preserve"> </w:t>
      </w:r>
      <w:r>
        <w:rPr>
          <w:rFonts w:ascii="Times New Roman" w:hAnsi="Times New Roman" w:cs="Times New Roman"/>
        </w:rPr>
        <w:t>$ doit être prise sur les sacs e</w:t>
      </w:r>
      <w:r w:rsidR="000566A5">
        <w:rPr>
          <w:rFonts w:ascii="Times New Roman" w:hAnsi="Times New Roman" w:cs="Times New Roman"/>
        </w:rPr>
        <w:t>n stocks au 31 décembre 20</w:t>
      </w:r>
      <w:r w:rsidR="00303623">
        <w:rPr>
          <w:rFonts w:ascii="Times New Roman" w:hAnsi="Times New Roman" w:cs="Times New Roman"/>
        </w:rPr>
        <w:t>20</w:t>
      </w:r>
      <w:r w:rsidR="000566A5">
        <w:rPr>
          <w:rFonts w:ascii="Times New Roman" w:hAnsi="Times New Roman" w:cs="Times New Roman"/>
        </w:rPr>
        <w:t xml:space="preserve"> (31 </w:t>
      </w:r>
      <w:r>
        <w:rPr>
          <w:rFonts w:ascii="Times New Roman" w:hAnsi="Times New Roman" w:cs="Times New Roman"/>
        </w:rPr>
        <w:t>$ x 100 sacs).</w:t>
      </w:r>
      <w:r w:rsidR="009F0871">
        <w:rPr>
          <w:rFonts w:ascii="Times New Roman" w:hAnsi="Times New Roman" w:cs="Times New Roman"/>
        </w:rPr>
        <w:t xml:space="preserve"> Il faudra </w:t>
      </w:r>
      <w:proofErr w:type="gramStart"/>
      <w:r w:rsidR="009F0871">
        <w:rPr>
          <w:rFonts w:ascii="Times New Roman" w:hAnsi="Times New Roman" w:cs="Times New Roman"/>
        </w:rPr>
        <w:t>comptabiliser  une</w:t>
      </w:r>
      <w:proofErr w:type="gramEnd"/>
      <w:r w:rsidR="009F0871">
        <w:rPr>
          <w:rFonts w:ascii="Times New Roman" w:hAnsi="Times New Roman" w:cs="Times New Roman"/>
        </w:rPr>
        <w:t xml:space="preserve"> charge dans le coût des ventes et réduire le montant des stocks présenté à l’état de la situation financière au 31 décembre 20</w:t>
      </w:r>
      <w:r w:rsidR="00303623">
        <w:rPr>
          <w:rFonts w:ascii="Times New Roman" w:hAnsi="Times New Roman" w:cs="Times New Roman"/>
        </w:rPr>
        <w:t>20</w:t>
      </w:r>
      <w:r w:rsidR="009F0871">
        <w:rPr>
          <w:rFonts w:ascii="Times New Roman" w:hAnsi="Times New Roman" w:cs="Times New Roman"/>
        </w:rPr>
        <w:t>.</w:t>
      </w:r>
    </w:p>
    <w:p w14:paraId="717DDD05" w14:textId="77777777" w:rsidR="008B1FAF" w:rsidRDefault="008B1FAF" w:rsidP="00D93E57">
      <w:pPr>
        <w:jc w:val="both"/>
        <w:rPr>
          <w:rFonts w:ascii="Times New Roman" w:hAnsi="Times New Roman" w:cs="Times New Roman"/>
        </w:rPr>
      </w:pPr>
    </w:p>
    <w:p w14:paraId="04950BCC" w14:textId="77777777" w:rsidR="004749A5" w:rsidRPr="00F146AE" w:rsidRDefault="004749A5" w:rsidP="00F146AE">
      <w:pPr>
        <w:pBdr>
          <w:top w:val="single" w:sz="4" w:space="1" w:color="auto"/>
          <w:left w:val="single" w:sz="4" w:space="4" w:color="auto"/>
          <w:bottom w:val="single" w:sz="4" w:space="1" w:color="auto"/>
          <w:right w:val="single" w:sz="4" w:space="4" w:color="auto"/>
        </w:pBdr>
        <w:shd w:val="clear" w:color="auto" w:fill="D9D9D9" w:themeFill="background1" w:themeFillShade="D9"/>
        <w:spacing w:after="0"/>
        <w:jc w:val="both"/>
        <w:rPr>
          <w:rFonts w:ascii="Times New Roman" w:hAnsi="Times New Roman" w:cs="Times New Roman"/>
          <w:b/>
        </w:rPr>
      </w:pPr>
      <w:r w:rsidRPr="00F146AE">
        <w:rPr>
          <w:rFonts w:ascii="Times New Roman" w:hAnsi="Times New Roman" w:cs="Times New Roman"/>
          <w:b/>
        </w:rPr>
        <w:t>Problématique no 3 – ÉQUIPEMENT DE PRODUCTION À VENDRE</w:t>
      </w:r>
    </w:p>
    <w:p w14:paraId="64F231B4" w14:textId="77777777" w:rsidR="00F146AE" w:rsidRDefault="00F146AE" w:rsidP="008B1FAF">
      <w:pPr>
        <w:pBdr>
          <w:top w:val="single" w:sz="4" w:space="1" w:color="auto"/>
          <w:left w:val="single" w:sz="4" w:space="4" w:color="auto"/>
          <w:bottom w:val="single" w:sz="4" w:space="1" w:color="auto"/>
          <w:right w:val="single" w:sz="4" w:space="4" w:color="auto"/>
        </w:pBdr>
        <w:shd w:val="clear" w:color="auto" w:fill="D9D9D9" w:themeFill="background1" w:themeFillShade="D9"/>
        <w:jc w:val="both"/>
        <w:rPr>
          <w:rFonts w:ascii="Times New Roman" w:hAnsi="Times New Roman" w:cs="Times New Roman"/>
        </w:rPr>
      </w:pPr>
      <w:r>
        <w:rPr>
          <w:rFonts w:ascii="Times New Roman" w:hAnsi="Times New Roman" w:cs="Times New Roman"/>
        </w:rPr>
        <w:t>IFRS 5</w:t>
      </w:r>
    </w:p>
    <w:p w14:paraId="3A69A0C1" w14:textId="77777777" w:rsidR="008B1FAF" w:rsidRDefault="003C3093" w:rsidP="00037D39">
      <w:pPr>
        <w:jc w:val="both"/>
        <w:rPr>
          <w:rFonts w:ascii="Times New Roman" w:hAnsi="Times New Roman" w:cs="Times New Roman"/>
        </w:rPr>
      </w:pPr>
      <w:r>
        <w:rPr>
          <w:rFonts w:ascii="Times New Roman" w:hAnsi="Times New Roman" w:cs="Times New Roman"/>
        </w:rPr>
        <w:t>Depuis le mois de novembre, HNI n’utilise plus une de ses machines de production et un concurre</w:t>
      </w:r>
      <w:r w:rsidR="00572B4C">
        <w:rPr>
          <w:rFonts w:ascii="Times New Roman" w:hAnsi="Times New Roman" w:cs="Times New Roman"/>
        </w:rPr>
        <w:t>nt souhaite potentiellement l’</w:t>
      </w:r>
      <w:r>
        <w:rPr>
          <w:rFonts w:ascii="Times New Roman" w:hAnsi="Times New Roman" w:cs="Times New Roman"/>
        </w:rPr>
        <w:t>acheter. Il y a donc lieu de se questionner à savoir si la machine devrait être reclassée en tant qu’actif détenu en vue de la vente en vertu de l’IFRS 5 :</w:t>
      </w:r>
    </w:p>
    <w:p w14:paraId="2508B67D" w14:textId="77777777" w:rsidR="009F0871" w:rsidRPr="009F0871" w:rsidRDefault="009F0871" w:rsidP="009F0871">
      <w:pPr>
        <w:pStyle w:val="ifrsheader2underline"/>
        <w:pBdr>
          <w:bottom w:val="single" w:sz="18" w:space="0" w:color="auto"/>
        </w:pBdr>
        <w:shd w:val="clear" w:color="auto" w:fill="FFFFFF"/>
        <w:spacing w:before="65" w:beforeAutospacing="0" w:after="65" w:afterAutospacing="0"/>
        <w:rPr>
          <w:rFonts w:ascii="Arial" w:hAnsi="Arial" w:cs="Arial"/>
          <w:i/>
          <w:iCs/>
          <w:color w:val="444444"/>
          <w:sz w:val="22"/>
          <w:szCs w:val="22"/>
        </w:rPr>
      </w:pPr>
      <w:r w:rsidRPr="009F0871">
        <w:rPr>
          <w:rFonts w:ascii="Arial" w:hAnsi="Arial" w:cs="Arial"/>
          <w:i/>
          <w:iCs/>
          <w:color w:val="444444"/>
          <w:sz w:val="22"/>
          <w:szCs w:val="22"/>
        </w:rPr>
        <w:t>Classement d'actifs non courants (ou groupes destinés à être cédés) comme détenus en vue de la vente ou détenus en vue d'une distribution aux propriétaires</w:t>
      </w:r>
    </w:p>
    <w:p w14:paraId="5A4D9E91" w14:textId="77777777" w:rsidR="009F0871" w:rsidRPr="009F0871" w:rsidRDefault="009F0871" w:rsidP="009F0871">
      <w:pPr>
        <w:pStyle w:val="ifrsparagraphbold"/>
        <w:shd w:val="clear" w:color="auto" w:fill="FFFFFF"/>
        <w:spacing w:before="65" w:beforeAutospacing="0" w:after="65" w:afterAutospacing="0"/>
        <w:ind w:left="785" w:hanging="708"/>
        <w:rPr>
          <w:rFonts w:ascii="Arial" w:hAnsi="Arial" w:cs="Arial"/>
          <w:i/>
          <w:iCs/>
          <w:color w:val="444444"/>
          <w:sz w:val="21"/>
          <w:szCs w:val="21"/>
        </w:rPr>
      </w:pPr>
      <w:bookmarkStart w:id="33" w:name="IFRS_5.6"/>
      <w:bookmarkEnd w:id="33"/>
      <w:r w:rsidRPr="009F0871">
        <w:rPr>
          <w:rFonts w:ascii="Arial" w:hAnsi="Arial" w:cs="Arial"/>
          <w:i/>
          <w:iCs/>
          <w:color w:val="444444"/>
          <w:sz w:val="21"/>
          <w:szCs w:val="21"/>
        </w:rPr>
        <w:t>6     Une entité doit classer un actif non courant (ou un groupe destiné à être cédé) comme détenu en vue de la vente si sa valeur comptable est recouvrée principalement par le biais d'une transaction de vente plutôt que par l'utilisation continue.</w:t>
      </w:r>
    </w:p>
    <w:p w14:paraId="1A9F620B" w14:textId="77777777" w:rsidR="009F0871" w:rsidRPr="009F0871" w:rsidRDefault="009F0871" w:rsidP="00037D39">
      <w:pPr>
        <w:jc w:val="both"/>
        <w:rPr>
          <w:rFonts w:ascii="Times New Roman" w:hAnsi="Times New Roman" w:cs="Times New Roman"/>
          <w:lang w:val="fr-FR"/>
        </w:rPr>
      </w:pPr>
    </w:p>
    <w:p w14:paraId="6500CF6E" w14:textId="77777777" w:rsidR="003C3093" w:rsidRDefault="003C3093" w:rsidP="00037D39">
      <w:pPr>
        <w:jc w:val="both"/>
        <w:rPr>
          <w:rFonts w:ascii="Times New Roman" w:hAnsi="Times New Roman" w:cs="Times New Roman"/>
        </w:rPr>
      </w:pPr>
      <w:r>
        <w:rPr>
          <w:rFonts w:ascii="Times New Roman" w:hAnsi="Times New Roman" w:cs="Times New Roman"/>
        </w:rPr>
        <w:t>Les paragraphes 7 et 8 nous indiquent les critères à respecter pour un tel reclassement :</w:t>
      </w:r>
    </w:p>
    <w:p w14:paraId="4EE5AA3D" w14:textId="77777777" w:rsidR="009F0871" w:rsidRDefault="009F0871" w:rsidP="00037D39">
      <w:pPr>
        <w:jc w:val="both"/>
        <w:rPr>
          <w:rFonts w:ascii="Times New Roman" w:hAnsi="Times New Roman" w:cs="Times New Roman"/>
        </w:rPr>
      </w:pPr>
      <w:r w:rsidRPr="009F0871">
        <w:rPr>
          <w:rFonts w:ascii="Arial" w:hAnsi="Arial" w:cs="Arial"/>
          <w:i/>
          <w:iCs/>
          <w:color w:val="444444"/>
          <w:sz w:val="21"/>
          <w:szCs w:val="21"/>
          <w:shd w:val="clear" w:color="auto" w:fill="FFFFFF"/>
        </w:rPr>
        <w:t>7     Pour que tel soit le cas, l'actif (ou le groupe destiné à être cédé) doit être disponible en vue de la vente immédiate dans son état actuel sous réserve uniquement des conditions qui sont habituelles et coutumières pour la vente de tels actifs (ou groupes destinés à être cédés) et sa vente doit être hautement probable.</w:t>
      </w:r>
      <w:r>
        <w:rPr>
          <w:rFonts w:ascii="Times New Roman" w:hAnsi="Times New Roman" w:cs="Times New Roman"/>
        </w:rPr>
        <w:t xml:space="preserve"> </w:t>
      </w:r>
    </w:p>
    <w:p w14:paraId="2B4DCAEA" w14:textId="0E925FE4" w:rsidR="003C3093" w:rsidRDefault="003C3093" w:rsidP="00037D39">
      <w:pPr>
        <w:jc w:val="both"/>
        <w:rPr>
          <w:rFonts w:ascii="Times New Roman" w:hAnsi="Times New Roman" w:cs="Times New Roman"/>
        </w:rPr>
      </w:pPr>
      <w:r>
        <w:rPr>
          <w:rFonts w:ascii="Times New Roman" w:hAnsi="Times New Roman" w:cs="Times New Roman"/>
        </w:rPr>
        <w:t xml:space="preserve">Ici, </w:t>
      </w:r>
      <w:r w:rsidR="009F0871">
        <w:rPr>
          <w:rFonts w:ascii="Times New Roman" w:hAnsi="Times New Roman" w:cs="Times New Roman"/>
        </w:rPr>
        <w:t xml:space="preserve">la vente est hautement probable car une entente a été conclue le 22 décembre </w:t>
      </w:r>
      <w:r w:rsidR="00303623">
        <w:rPr>
          <w:rFonts w:ascii="Times New Roman" w:hAnsi="Times New Roman" w:cs="Times New Roman"/>
        </w:rPr>
        <w:t>2020</w:t>
      </w:r>
      <w:r w:rsidR="009F0871">
        <w:rPr>
          <w:rFonts w:ascii="Times New Roman" w:hAnsi="Times New Roman" w:cs="Times New Roman"/>
        </w:rPr>
        <w:t>. Toutefois,</w:t>
      </w:r>
      <w:r>
        <w:rPr>
          <w:rFonts w:ascii="Times New Roman" w:hAnsi="Times New Roman" w:cs="Times New Roman"/>
        </w:rPr>
        <w:t xml:space="preserve"> la machine doit être ajustée </w:t>
      </w:r>
      <w:r w:rsidR="009F0871">
        <w:rPr>
          <w:rFonts w:ascii="Times New Roman" w:hAnsi="Times New Roman" w:cs="Times New Roman"/>
        </w:rPr>
        <w:t xml:space="preserve">à un coût de 1 500 $, ce qui n’a pas été complété au 31 décembre </w:t>
      </w:r>
      <w:r w:rsidR="00303623">
        <w:rPr>
          <w:rFonts w:ascii="Times New Roman" w:hAnsi="Times New Roman" w:cs="Times New Roman"/>
        </w:rPr>
        <w:t>2020</w:t>
      </w:r>
      <w:r w:rsidR="009F0871">
        <w:rPr>
          <w:rFonts w:ascii="Times New Roman" w:hAnsi="Times New Roman" w:cs="Times New Roman"/>
        </w:rPr>
        <w:t>.</w:t>
      </w:r>
      <w:r>
        <w:rPr>
          <w:rFonts w:ascii="Times New Roman" w:hAnsi="Times New Roman" w:cs="Times New Roman"/>
        </w:rPr>
        <w:t xml:space="preserve"> </w:t>
      </w:r>
      <w:r w:rsidR="009F0871">
        <w:rPr>
          <w:rFonts w:ascii="Times New Roman" w:hAnsi="Times New Roman" w:cs="Times New Roman"/>
        </w:rPr>
        <w:t>N</w:t>
      </w:r>
      <w:r>
        <w:rPr>
          <w:rFonts w:ascii="Times New Roman" w:hAnsi="Times New Roman" w:cs="Times New Roman"/>
        </w:rPr>
        <w:t>ous ne pouvons pas dire que la machine est disponible en vue de la vente dans son état actuel</w:t>
      </w:r>
      <w:r w:rsidR="009F0871">
        <w:rPr>
          <w:rFonts w:ascii="Times New Roman" w:hAnsi="Times New Roman" w:cs="Times New Roman"/>
        </w:rPr>
        <w:t xml:space="preserve"> au 31 décembre </w:t>
      </w:r>
      <w:r w:rsidR="00303623">
        <w:rPr>
          <w:rFonts w:ascii="Times New Roman" w:hAnsi="Times New Roman" w:cs="Times New Roman"/>
        </w:rPr>
        <w:t>2020</w:t>
      </w:r>
      <w:r>
        <w:rPr>
          <w:rFonts w:ascii="Times New Roman" w:hAnsi="Times New Roman" w:cs="Times New Roman"/>
        </w:rPr>
        <w:t>.</w:t>
      </w:r>
      <w:r w:rsidR="009F0871">
        <w:rPr>
          <w:rFonts w:ascii="Times New Roman" w:hAnsi="Times New Roman" w:cs="Times New Roman"/>
        </w:rPr>
        <w:t xml:space="preserve"> (</w:t>
      </w:r>
      <w:proofErr w:type="gramStart"/>
      <w:r w:rsidR="009F0871">
        <w:rPr>
          <w:rFonts w:ascii="Times New Roman" w:hAnsi="Times New Roman" w:cs="Times New Roman"/>
        </w:rPr>
        <w:t>ou</w:t>
      </w:r>
      <w:proofErr w:type="gramEnd"/>
      <w:r w:rsidR="009F0871">
        <w:rPr>
          <w:rFonts w:ascii="Times New Roman" w:hAnsi="Times New Roman" w:cs="Times New Roman"/>
        </w:rPr>
        <w:t xml:space="preserve"> considère que c’est une condition  habituelle, alors il faut appliquer IFRS 5)</w:t>
      </w:r>
    </w:p>
    <w:p w14:paraId="626E4042" w14:textId="77777777" w:rsidR="0057284A" w:rsidRDefault="0057284A" w:rsidP="00037D39">
      <w:pPr>
        <w:jc w:val="both"/>
        <w:rPr>
          <w:rFonts w:ascii="Times New Roman" w:hAnsi="Times New Roman" w:cs="Times New Roman"/>
        </w:rPr>
      </w:pPr>
      <w:r>
        <w:rPr>
          <w:rFonts w:ascii="Times New Roman" w:hAnsi="Times New Roman" w:cs="Times New Roman"/>
        </w:rPr>
        <w:t>Il ne serait donc pas adéquat de reclasser la machine de production comme un actif détenu en vue de la vente.</w:t>
      </w:r>
      <w:r w:rsidR="000D4B56">
        <w:rPr>
          <w:rFonts w:ascii="Times New Roman" w:hAnsi="Times New Roman" w:cs="Times New Roman"/>
        </w:rPr>
        <w:t xml:space="preserve"> Il faut également continuer à l’amortir tant qu’elle n’est pas reclassée comme détenue en vue de la vente tel qu’indiqué par le par. 55 de l’IAS 16 :</w:t>
      </w:r>
    </w:p>
    <w:p w14:paraId="3AA4083B" w14:textId="77777777" w:rsidR="008B1FAF" w:rsidRDefault="000D4B56" w:rsidP="00037D39">
      <w:pPr>
        <w:jc w:val="both"/>
        <w:rPr>
          <w:rFonts w:ascii="Times New Roman" w:hAnsi="Times New Roman" w:cs="Times New Roman"/>
          <w:i/>
        </w:rPr>
      </w:pPr>
      <w:r w:rsidRPr="000D4B56">
        <w:rPr>
          <w:rFonts w:ascii="Times New Roman" w:hAnsi="Times New Roman" w:cs="Times New Roman"/>
          <w:i/>
        </w:rPr>
        <w:t xml:space="preserve">[…] L'amortissement d'un actif doit cesser à la plus rapprochée des dates suivantes : la date à laquelle cet actif est classé comme détenu en vue de la vente (ou inclus dans un groupe destiné à être cédé qui est classé comme détenu en vue de la vente) selon IFRS 5 ou la date à laquelle cet actif est </w:t>
      </w:r>
      <w:proofErr w:type="spellStart"/>
      <w:r w:rsidRPr="000D4B56">
        <w:rPr>
          <w:rFonts w:ascii="Times New Roman" w:hAnsi="Times New Roman" w:cs="Times New Roman"/>
          <w:i/>
        </w:rPr>
        <w:t>décomptabilisé</w:t>
      </w:r>
      <w:proofErr w:type="spellEnd"/>
      <w:r w:rsidRPr="000D4B56">
        <w:rPr>
          <w:rFonts w:ascii="Times New Roman" w:hAnsi="Times New Roman" w:cs="Times New Roman"/>
          <w:i/>
        </w:rPr>
        <w:t>. Par conséquent, l'amortissement ne cesse pas lorsque l'actif est laissé inutilisé ou mis hors service, sauf si l'actif est entièrement amorti. Toutefois, selon le mode d'amortissement fondé sur l'utilisation, la dotation aux amortissements peut être nulle lorsqu'il n'y a aucune production.</w:t>
      </w:r>
    </w:p>
    <w:p w14:paraId="41DC9A9F" w14:textId="51B34668" w:rsidR="00037D39" w:rsidRDefault="00037D39" w:rsidP="00037D39">
      <w:pPr>
        <w:jc w:val="both"/>
        <w:rPr>
          <w:rFonts w:ascii="Times New Roman" w:hAnsi="Times New Roman" w:cs="Times New Roman"/>
        </w:rPr>
      </w:pPr>
      <w:r>
        <w:rPr>
          <w:rFonts w:ascii="Times New Roman" w:hAnsi="Times New Roman" w:cs="Times New Roman"/>
        </w:rPr>
        <w:t>Ainsi, aucun traitement particulier ne doit être effectué quant à l’équipement qui n’est plus utilisé.</w:t>
      </w:r>
    </w:p>
    <w:p w14:paraId="65A0E4A9" w14:textId="68712246" w:rsidR="009F0871" w:rsidRDefault="009F0871" w:rsidP="00037D39">
      <w:pPr>
        <w:jc w:val="both"/>
        <w:rPr>
          <w:rFonts w:ascii="Times New Roman" w:hAnsi="Times New Roman" w:cs="Times New Roman"/>
        </w:rPr>
      </w:pPr>
    </w:p>
    <w:p w14:paraId="573CD36F" w14:textId="0D285245" w:rsidR="009F0871" w:rsidRDefault="009F0871" w:rsidP="00037D39">
      <w:pPr>
        <w:jc w:val="both"/>
        <w:rPr>
          <w:rFonts w:ascii="Times New Roman" w:hAnsi="Times New Roman" w:cs="Times New Roman"/>
        </w:rPr>
      </w:pPr>
      <w:r>
        <w:rPr>
          <w:rFonts w:ascii="Times New Roman" w:hAnsi="Times New Roman" w:cs="Times New Roman"/>
        </w:rPr>
        <w:t xml:space="preserve">Note IFRS 5 : </w:t>
      </w:r>
    </w:p>
    <w:p w14:paraId="5438860E" w14:textId="77777777" w:rsidR="009F0871" w:rsidRPr="009F0871" w:rsidRDefault="009F0871" w:rsidP="009F0871">
      <w:pPr>
        <w:pStyle w:val="ifrsl6"/>
        <w:shd w:val="clear" w:color="auto" w:fill="FFFFFF"/>
        <w:spacing w:before="65" w:beforeAutospacing="0" w:after="65" w:afterAutospacing="0"/>
        <w:ind w:left="1025"/>
        <w:rPr>
          <w:rFonts w:ascii="Arial" w:hAnsi="Arial" w:cs="Arial"/>
          <w:i/>
          <w:iCs/>
          <w:color w:val="444444"/>
          <w:sz w:val="22"/>
          <w:szCs w:val="22"/>
        </w:rPr>
      </w:pPr>
      <w:r w:rsidRPr="009F0871">
        <w:rPr>
          <w:rFonts w:ascii="Arial" w:hAnsi="Arial" w:cs="Arial"/>
          <w:i/>
          <w:iCs/>
          <w:color w:val="444444"/>
          <w:sz w:val="22"/>
          <w:szCs w:val="22"/>
        </w:rPr>
        <w:t>Évaluation d'un actif non courant (ou d'un groupe destiné à être cédé)</w:t>
      </w:r>
    </w:p>
    <w:p w14:paraId="177BABF1" w14:textId="77777777" w:rsidR="009F0871" w:rsidRPr="009F0871" w:rsidRDefault="009F0871" w:rsidP="009F0871">
      <w:pPr>
        <w:pStyle w:val="ifrsparagraphbold"/>
        <w:shd w:val="clear" w:color="auto" w:fill="FFFFFF"/>
        <w:spacing w:before="65" w:beforeAutospacing="0" w:after="65" w:afterAutospacing="0"/>
        <w:ind w:left="785" w:hanging="708"/>
        <w:rPr>
          <w:rFonts w:ascii="Arial" w:hAnsi="Arial" w:cs="Arial"/>
          <w:i/>
          <w:iCs/>
          <w:color w:val="444444"/>
          <w:sz w:val="21"/>
          <w:szCs w:val="21"/>
        </w:rPr>
      </w:pPr>
      <w:bookmarkStart w:id="34" w:name="para_38"/>
      <w:bookmarkStart w:id="35" w:name="IFRS_5.15"/>
      <w:bookmarkEnd w:id="34"/>
      <w:bookmarkEnd w:id="35"/>
      <w:r w:rsidRPr="009F0871">
        <w:rPr>
          <w:rFonts w:ascii="Arial" w:hAnsi="Arial" w:cs="Arial"/>
          <w:i/>
          <w:iCs/>
          <w:color w:val="444444"/>
          <w:sz w:val="21"/>
          <w:szCs w:val="21"/>
        </w:rPr>
        <w:lastRenderedPageBreak/>
        <w:t>15     Une entité doit évaluer un actif non courant (ou un groupe destiné à être cédé) classé comme détenu en vue de la vente au plus faible de sa valeur comptable et de sa juste valeur diminuée des coûts de la vente.</w:t>
      </w:r>
    </w:p>
    <w:p w14:paraId="7E8002C1" w14:textId="77777777" w:rsidR="009F0871" w:rsidRPr="009F0871" w:rsidRDefault="009F0871" w:rsidP="009F0871">
      <w:pPr>
        <w:pStyle w:val="ifrsparagraphbold"/>
        <w:shd w:val="clear" w:color="auto" w:fill="FFFFFF"/>
        <w:spacing w:before="65" w:beforeAutospacing="0" w:after="65" w:afterAutospacing="0"/>
        <w:ind w:left="785" w:hanging="708"/>
        <w:rPr>
          <w:rFonts w:ascii="Arial" w:hAnsi="Arial" w:cs="Arial"/>
          <w:i/>
          <w:iCs/>
          <w:color w:val="444444"/>
          <w:sz w:val="21"/>
          <w:szCs w:val="21"/>
        </w:rPr>
      </w:pPr>
      <w:bookmarkStart w:id="36" w:name="para_39"/>
      <w:bookmarkStart w:id="37" w:name="IFRS_5.15A"/>
      <w:bookmarkEnd w:id="36"/>
      <w:bookmarkEnd w:id="37"/>
      <w:r w:rsidRPr="009F0871">
        <w:rPr>
          <w:rFonts w:ascii="Arial" w:hAnsi="Arial" w:cs="Arial"/>
          <w:i/>
          <w:iCs/>
          <w:color w:val="444444"/>
          <w:sz w:val="21"/>
          <w:szCs w:val="21"/>
        </w:rPr>
        <w:t>15A     Une entité doit évaluer un actif non courant (ou un groupe destiné à être cédé) classé comme détenu en vue d'une distribution aux propriétaires au plus faible de sa valeur comptable et de sa juste valeur diminuée des coûts de distribution </w:t>
      </w:r>
      <w:hyperlink r:id="rId20" w:history="1">
        <w:r w:rsidRPr="009F0871">
          <w:rPr>
            <w:rStyle w:val="Lienhypertexte"/>
            <w:rFonts w:ascii="Arial" w:hAnsi="Arial" w:cs="Arial"/>
            <w:i/>
            <w:iCs/>
            <w:color w:val="BB0038"/>
            <w:sz w:val="16"/>
            <w:szCs w:val="16"/>
            <w:vertAlign w:val="superscript"/>
          </w:rPr>
          <w:t>4</w:t>
        </w:r>
      </w:hyperlink>
      <w:r w:rsidRPr="009F0871">
        <w:rPr>
          <w:rFonts w:ascii="Arial" w:hAnsi="Arial" w:cs="Arial"/>
          <w:i/>
          <w:iCs/>
          <w:color w:val="444444"/>
          <w:sz w:val="21"/>
          <w:szCs w:val="21"/>
        </w:rPr>
        <w:t>.</w:t>
      </w:r>
    </w:p>
    <w:p w14:paraId="5EE8D537" w14:textId="77777777" w:rsidR="009F0871" w:rsidRPr="009F0871" w:rsidRDefault="009F0871" w:rsidP="00037D39">
      <w:pPr>
        <w:jc w:val="both"/>
        <w:rPr>
          <w:rFonts w:ascii="Times New Roman" w:hAnsi="Times New Roman" w:cs="Times New Roman"/>
          <w:lang w:val="fr-FR"/>
        </w:rPr>
      </w:pPr>
    </w:p>
    <w:sectPr w:rsidR="009F0871" w:rsidRPr="009F0871">
      <w:footerReference w:type="default" r:id="rId21"/>
      <w:pgSz w:w="12240" w:h="15840"/>
      <w:pgMar w:top="1440" w:right="1800" w:bottom="1440" w:left="18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D8D06CC" w14:textId="77777777" w:rsidR="00CC6090" w:rsidRDefault="00CC6090" w:rsidP="005E77FB">
      <w:pPr>
        <w:spacing w:after="0" w:line="240" w:lineRule="auto"/>
      </w:pPr>
      <w:r>
        <w:separator/>
      </w:r>
    </w:p>
  </w:endnote>
  <w:endnote w:type="continuationSeparator" w:id="0">
    <w:p w14:paraId="22E7A028" w14:textId="77777777" w:rsidR="00CC6090" w:rsidRDefault="00CC6090" w:rsidP="005E77F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7CD1C7C" w14:textId="5EFF854A" w:rsidR="005E77FB" w:rsidRPr="005E77FB" w:rsidRDefault="00EF6390">
    <w:pPr>
      <w:pStyle w:val="Pieddepage"/>
      <w:rPr>
        <w:rFonts w:ascii="Times New Roman" w:hAnsi="Times New Roman" w:cs="Times New Roman"/>
        <w:i/>
      </w:rPr>
    </w:pPr>
    <w:r>
      <w:rPr>
        <w:rFonts w:ascii="Times New Roman" w:hAnsi="Times New Roman" w:cs="Times New Roman"/>
        <w:i/>
      </w:rPr>
      <w:t>Solution</w:t>
    </w:r>
    <w:r w:rsidR="005E77FB" w:rsidRPr="0009669F">
      <w:rPr>
        <w:rFonts w:ascii="Times New Roman" w:hAnsi="Times New Roman" w:cs="Times New Roman"/>
        <w:i/>
      </w:rPr>
      <w:t xml:space="preserve"> rédigé</w:t>
    </w:r>
    <w:r>
      <w:rPr>
        <w:rFonts w:ascii="Times New Roman" w:hAnsi="Times New Roman" w:cs="Times New Roman"/>
        <w:i/>
      </w:rPr>
      <w:t>e</w:t>
    </w:r>
    <w:r w:rsidR="005E77FB" w:rsidRPr="0009669F">
      <w:rPr>
        <w:rFonts w:ascii="Times New Roman" w:hAnsi="Times New Roman" w:cs="Times New Roman"/>
        <w:i/>
      </w:rPr>
      <w:t xml:space="preserve"> par Frédérique Leblanc, </w:t>
    </w:r>
    <w:r>
      <w:rPr>
        <w:rFonts w:ascii="Times New Roman" w:hAnsi="Times New Roman" w:cs="Times New Roman"/>
        <w:i/>
      </w:rPr>
      <w:t>janvier</w:t>
    </w:r>
    <w:r w:rsidR="005E77FB" w:rsidRPr="0009669F">
      <w:rPr>
        <w:rFonts w:ascii="Times New Roman" w:hAnsi="Times New Roman" w:cs="Times New Roman"/>
        <w:i/>
      </w:rPr>
      <w:t xml:space="preserve"> 2020</w:t>
    </w:r>
    <w:r>
      <w:rPr>
        <w:rFonts w:ascii="Times New Roman" w:hAnsi="Times New Roman" w:cs="Times New Roman"/>
        <w:i/>
      </w:rPr>
      <w:t xml:space="preserve">, révisée par Louise Overbeek, </w:t>
    </w:r>
    <w:r w:rsidR="00303623">
      <w:rPr>
        <w:rFonts w:ascii="Times New Roman" w:hAnsi="Times New Roman" w:cs="Times New Roman"/>
        <w:i/>
      </w:rPr>
      <w:t>janvier</w:t>
    </w:r>
    <w:r>
      <w:rPr>
        <w:rFonts w:ascii="Times New Roman" w:hAnsi="Times New Roman" w:cs="Times New Roman"/>
        <w:i/>
      </w:rPr>
      <w:t xml:space="preserve"> 202</w:t>
    </w:r>
    <w:r w:rsidR="00303623">
      <w:rPr>
        <w:rFonts w:ascii="Times New Roman" w:hAnsi="Times New Roman" w:cs="Times New Roman"/>
        <w:i/>
      </w:rPr>
      <w:t>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10AFB3D" w14:textId="77777777" w:rsidR="00CC6090" w:rsidRDefault="00CC6090" w:rsidP="005E77FB">
      <w:pPr>
        <w:spacing w:after="0" w:line="240" w:lineRule="auto"/>
      </w:pPr>
      <w:r>
        <w:separator/>
      </w:r>
    </w:p>
  </w:footnote>
  <w:footnote w:type="continuationSeparator" w:id="0">
    <w:p w14:paraId="3AE5258E" w14:textId="77777777" w:rsidR="00CC6090" w:rsidRDefault="00CC6090" w:rsidP="005E77FB">
      <w:pPr>
        <w:spacing w:after="0" w:line="240" w:lineRule="auto"/>
      </w:pPr>
      <w:r>
        <w:continuationSeparator/>
      </w:r>
    </w:p>
  </w:footnote>
  <w:footnote w:id="1">
    <w:p w14:paraId="0167C2C7" w14:textId="77777777" w:rsidR="000566A5" w:rsidRPr="000566A5" w:rsidRDefault="000566A5">
      <w:pPr>
        <w:pStyle w:val="Notedebasdepage"/>
        <w:rPr>
          <w:rFonts w:ascii="Times New Roman" w:hAnsi="Times New Roman" w:cs="Times New Roman"/>
        </w:rPr>
      </w:pPr>
      <w:r w:rsidRPr="000566A5">
        <w:rPr>
          <w:rStyle w:val="Appelnotedebasdep"/>
          <w:rFonts w:ascii="Times New Roman" w:hAnsi="Times New Roman" w:cs="Times New Roman"/>
        </w:rPr>
        <w:footnoteRef/>
      </w:r>
      <w:r w:rsidRPr="000566A5">
        <w:rPr>
          <w:rFonts w:ascii="Times New Roman" w:hAnsi="Times New Roman" w:cs="Times New Roman"/>
        </w:rPr>
        <w:t xml:space="preserve"> En assumant que les ventes sont réparties de façon similaire sur toute l’année, on prend comme hypothèse pour le calcul</w:t>
      </w:r>
      <w:r w:rsidR="008B132B">
        <w:rPr>
          <w:rFonts w:ascii="Times New Roman" w:hAnsi="Times New Roman" w:cs="Times New Roman"/>
        </w:rPr>
        <w:t xml:space="preserve"> qu’elles</w:t>
      </w:r>
      <w:r w:rsidRPr="000566A5">
        <w:rPr>
          <w:rFonts w:ascii="Times New Roman" w:hAnsi="Times New Roman" w:cs="Times New Roman"/>
        </w:rPr>
        <w:t xml:space="preserve"> ont eu lieu au milieu de l’exercice</w:t>
      </w:r>
      <w:r>
        <w:rPr>
          <w:rFonts w:ascii="Times New Roman" w:hAnsi="Times New Roman" w:cs="Times New Roman"/>
        </w:rPr>
        <w:t xml:space="preserve"> ce qui correspond à 25</w:t>
      </w:r>
      <w:r w:rsidR="00572B4C">
        <w:rPr>
          <w:rFonts w:ascii="Times New Roman" w:hAnsi="Times New Roman" w:cs="Times New Roman"/>
        </w:rPr>
        <w:t xml:space="preserve"> % de la durée de la garantie (six</w:t>
      </w:r>
      <w:r w:rsidR="008B132B">
        <w:rPr>
          <w:rFonts w:ascii="Times New Roman" w:hAnsi="Times New Roman" w:cs="Times New Roman"/>
        </w:rPr>
        <w:t xml:space="preserve"> mois sur deux ans</w:t>
      </w:r>
      <w:r>
        <w:rPr>
          <w:rFonts w:ascii="Times New Roman" w:hAnsi="Times New Roman" w:cs="Times New Roman"/>
        </w:rPr>
        <w:t>)</w:t>
      </w:r>
      <w:r w:rsidRPr="000566A5">
        <w:rPr>
          <w:rFonts w:ascii="Times New Roman" w:hAnsi="Times New Roman" w:cs="Times New Roman"/>
        </w:rPr>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3063019"/>
    <w:multiLevelType w:val="hybridMultilevel"/>
    <w:tmpl w:val="DAC8CF9E"/>
    <w:lvl w:ilvl="0" w:tplc="0C0C0001">
      <w:start w:val="1"/>
      <w:numFmt w:val="bullet"/>
      <w:lvlText w:val=""/>
      <w:lvlJc w:val="left"/>
      <w:pPr>
        <w:ind w:left="720" w:hanging="360"/>
      </w:pPr>
      <w:rPr>
        <w:rFonts w:ascii="Symbol" w:hAnsi="Symbol" w:hint="default"/>
      </w:rPr>
    </w:lvl>
    <w:lvl w:ilvl="1" w:tplc="0C0C0003">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 w15:restartNumberingAfterBreak="0">
    <w:nsid w:val="1B0C5877"/>
    <w:multiLevelType w:val="hybridMultilevel"/>
    <w:tmpl w:val="B9A8DB66"/>
    <w:lvl w:ilvl="0" w:tplc="C284F716">
      <w:start w:val="1"/>
      <w:numFmt w:val="lowerLetter"/>
      <w:lvlText w:val="(%1)"/>
      <w:lvlJc w:val="left"/>
      <w:pPr>
        <w:ind w:left="1354" w:hanging="550"/>
      </w:pPr>
      <w:rPr>
        <w:rFonts w:hint="default"/>
      </w:rPr>
    </w:lvl>
    <w:lvl w:ilvl="1" w:tplc="040C0019">
      <w:start w:val="1"/>
      <w:numFmt w:val="lowerLetter"/>
      <w:lvlText w:val="%2."/>
      <w:lvlJc w:val="left"/>
      <w:pPr>
        <w:ind w:left="1884" w:hanging="360"/>
      </w:pPr>
    </w:lvl>
    <w:lvl w:ilvl="2" w:tplc="040C001B" w:tentative="1">
      <w:start w:val="1"/>
      <w:numFmt w:val="lowerRoman"/>
      <w:lvlText w:val="%3."/>
      <w:lvlJc w:val="right"/>
      <w:pPr>
        <w:ind w:left="2604" w:hanging="180"/>
      </w:pPr>
    </w:lvl>
    <w:lvl w:ilvl="3" w:tplc="040C000F" w:tentative="1">
      <w:start w:val="1"/>
      <w:numFmt w:val="decimal"/>
      <w:lvlText w:val="%4."/>
      <w:lvlJc w:val="left"/>
      <w:pPr>
        <w:ind w:left="3324" w:hanging="360"/>
      </w:pPr>
    </w:lvl>
    <w:lvl w:ilvl="4" w:tplc="040C0019" w:tentative="1">
      <w:start w:val="1"/>
      <w:numFmt w:val="lowerLetter"/>
      <w:lvlText w:val="%5."/>
      <w:lvlJc w:val="left"/>
      <w:pPr>
        <w:ind w:left="4044" w:hanging="360"/>
      </w:pPr>
    </w:lvl>
    <w:lvl w:ilvl="5" w:tplc="040C001B" w:tentative="1">
      <w:start w:val="1"/>
      <w:numFmt w:val="lowerRoman"/>
      <w:lvlText w:val="%6."/>
      <w:lvlJc w:val="right"/>
      <w:pPr>
        <w:ind w:left="4764" w:hanging="180"/>
      </w:pPr>
    </w:lvl>
    <w:lvl w:ilvl="6" w:tplc="040C000F" w:tentative="1">
      <w:start w:val="1"/>
      <w:numFmt w:val="decimal"/>
      <w:lvlText w:val="%7."/>
      <w:lvlJc w:val="left"/>
      <w:pPr>
        <w:ind w:left="5484" w:hanging="360"/>
      </w:pPr>
    </w:lvl>
    <w:lvl w:ilvl="7" w:tplc="040C0019" w:tentative="1">
      <w:start w:val="1"/>
      <w:numFmt w:val="lowerLetter"/>
      <w:lvlText w:val="%8."/>
      <w:lvlJc w:val="left"/>
      <w:pPr>
        <w:ind w:left="6204" w:hanging="360"/>
      </w:pPr>
    </w:lvl>
    <w:lvl w:ilvl="8" w:tplc="040C001B" w:tentative="1">
      <w:start w:val="1"/>
      <w:numFmt w:val="lowerRoman"/>
      <w:lvlText w:val="%9."/>
      <w:lvlJc w:val="right"/>
      <w:pPr>
        <w:ind w:left="6924" w:hanging="180"/>
      </w:pPr>
    </w:lvl>
  </w:abstractNum>
  <w:abstractNum w:abstractNumId="2" w15:restartNumberingAfterBreak="0">
    <w:nsid w:val="36755DF6"/>
    <w:multiLevelType w:val="hybridMultilevel"/>
    <w:tmpl w:val="B1BAD24C"/>
    <w:lvl w:ilvl="0" w:tplc="9B64D59E">
      <w:start w:val="1"/>
      <w:numFmt w:val="lowerLetter"/>
      <w:lvlText w:val="(%1)"/>
      <w:lvlJc w:val="left"/>
      <w:pPr>
        <w:ind w:left="1354" w:hanging="550"/>
      </w:pPr>
      <w:rPr>
        <w:rFonts w:hint="default"/>
      </w:rPr>
    </w:lvl>
    <w:lvl w:ilvl="1" w:tplc="040C0019" w:tentative="1">
      <w:start w:val="1"/>
      <w:numFmt w:val="lowerLetter"/>
      <w:lvlText w:val="%2."/>
      <w:lvlJc w:val="left"/>
      <w:pPr>
        <w:ind w:left="1884" w:hanging="360"/>
      </w:pPr>
    </w:lvl>
    <w:lvl w:ilvl="2" w:tplc="040C001B" w:tentative="1">
      <w:start w:val="1"/>
      <w:numFmt w:val="lowerRoman"/>
      <w:lvlText w:val="%3."/>
      <w:lvlJc w:val="right"/>
      <w:pPr>
        <w:ind w:left="2604" w:hanging="180"/>
      </w:pPr>
    </w:lvl>
    <w:lvl w:ilvl="3" w:tplc="040C000F" w:tentative="1">
      <w:start w:val="1"/>
      <w:numFmt w:val="decimal"/>
      <w:lvlText w:val="%4."/>
      <w:lvlJc w:val="left"/>
      <w:pPr>
        <w:ind w:left="3324" w:hanging="360"/>
      </w:pPr>
    </w:lvl>
    <w:lvl w:ilvl="4" w:tplc="040C0019" w:tentative="1">
      <w:start w:val="1"/>
      <w:numFmt w:val="lowerLetter"/>
      <w:lvlText w:val="%5."/>
      <w:lvlJc w:val="left"/>
      <w:pPr>
        <w:ind w:left="4044" w:hanging="360"/>
      </w:pPr>
    </w:lvl>
    <w:lvl w:ilvl="5" w:tplc="040C001B" w:tentative="1">
      <w:start w:val="1"/>
      <w:numFmt w:val="lowerRoman"/>
      <w:lvlText w:val="%6."/>
      <w:lvlJc w:val="right"/>
      <w:pPr>
        <w:ind w:left="4764" w:hanging="180"/>
      </w:pPr>
    </w:lvl>
    <w:lvl w:ilvl="6" w:tplc="040C000F" w:tentative="1">
      <w:start w:val="1"/>
      <w:numFmt w:val="decimal"/>
      <w:lvlText w:val="%7."/>
      <w:lvlJc w:val="left"/>
      <w:pPr>
        <w:ind w:left="5484" w:hanging="360"/>
      </w:pPr>
    </w:lvl>
    <w:lvl w:ilvl="7" w:tplc="040C0019" w:tentative="1">
      <w:start w:val="1"/>
      <w:numFmt w:val="lowerLetter"/>
      <w:lvlText w:val="%8."/>
      <w:lvlJc w:val="left"/>
      <w:pPr>
        <w:ind w:left="6204" w:hanging="360"/>
      </w:pPr>
    </w:lvl>
    <w:lvl w:ilvl="8" w:tplc="040C001B" w:tentative="1">
      <w:start w:val="1"/>
      <w:numFmt w:val="lowerRoman"/>
      <w:lvlText w:val="%9."/>
      <w:lvlJc w:val="right"/>
      <w:pPr>
        <w:ind w:left="6924" w:hanging="180"/>
      </w:pPr>
    </w:lvl>
  </w:abstractNum>
  <w:abstractNum w:abstractNumId="3" w15:restartNumberingAfterBreak="0">
    <w:nsid w:val="3E835EEF"/>
    <w:multiLevelType w:val="hybridMultilevel"/>
    <w:tmpl w:val="978088AC"/>
    <w:lvl w:ilvl="0" w:tplc="0C0C0011">
      <w:start w:val="1"/>
      <w:numFmt w:val="decimal"/>
      <w:lvlText w:val="%1)"/>
      <w:lvlJc w:val="left"/>
      <w:pPr>
        <w:ind w:left="720" w:hanging="360"/>
      </w:pPr>
      <w:rPr>
        <w:rFonts w:hint="default"/>
      </w:rPr>
    </w:lvl>
    <w:lvl w:ilvl="1" w:tplc="0C0C0019">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4" w15:restartNumberingAfterBreak="0">
    <w:nsid w:val="724A4609"/>
    <w:multiLevelType w:val="hybridMultilevel"/>
    <w:tmpl w:val="F216D0D6"/>
    <w:lvl w:ilvl="0" w:tplc="0C0C0001">
      <w:start w:val="1"/>
      <w:numFmt w:val="bullet"/>
      <w:lvlText w:val=""/>
      <w:lvlJc w:val="left"/>
      <w:pPr>
        <w:ind w:left="720" w:hanging="360"/>
      </w:pPr>
      <w:rPr>
        <w:rFonts w:ascii="Symbol" w:hAnsi="Symbol" w:hint="default"/>
      </w:rPr>
    </w:lvl>
    <w:lvl w:ilvl="1" w:tplc="0C0C0003">
      <w:start w:val="1"/>
      <w:numFmt w:val="bullet"/>
      <w:lvlText w:val="o"/>
      <w:lvlJc w:val="left"/>
      <w:pPr>
        <w:ind w:left="1440" w:hanging="360"/>
      </w:pPr>
      <w:rPr>
        <w:rFonts w:ascii="Courier New" w:hAnsi="Courier New" w:cs="Courier New" w:hint="default"/>
      </w:rPr>
    </w:lvl>
    <w:lvl w:ilvl="2" w:tplc="0C0C0005">
      <w:start w:val="1"/>
      <w:numFmt w:val="bullet"/>
      <w:lvlText w:val=""/>
      <w:lvlJc w:val="left"/>
      <w:pPr>
        <w:ind w:left="2160" w:hanging="360"/>
      </w:pPr>
      <w:rPr>
        <w:rFonts w:ascii="Wingdings" w:hAnsi="Wingdings" w:hint="default"/>
      </w:rPr>
    </w:lvl>
    <w:lvl w:ilvl="3" w:tplc="0C0C000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num w:numId="1">
    <w:abstractNumId w:val="3"/>
  </w:num>
  <w:num w:numId="2">
    <w:abstractNumId w:val="0"/>
  </w:num>
  <w:num w:numId="3">
    <w:abstractNumId w:val="4"/>
  </w:num>
  <w:num w:numId="4">
    <w:abstractNumId w:val="1"/>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2B4D"/>
    <w:rsid w:val="00021052"/>
    <w:rsid w:val="00037D39"/>
    <w:rsid w:val="00055106"/>
    <w:rsid w:val="000566A5"/>
    <w:rsid w:val="000D4B56"/>
    <w:rsid w:val="00104EB3"/>
    <w:rsid w:val="00121B49"/>
    <w:rsid w:val="001843D1"/>
    <w:rsid w:val="001D677C"/>
    <w:rsid w:val="00254B7C"/>
    <w:rsid w:val="00303623"/>
    <w:rsid w:val="00321F35"/>
    <w:rsid w:val="003C1663"/>
    <w:rsid w:val="003C3093"/>
    <w:rsid w:val="004749A5"/>
    <w:rsid w:val="004A0BA5"/>
    <w:rsid w:val="004E68C3"/>
    <w:rsid w:val="00523A8F"/>
    <w:rsid w:val="005259CC"/>
    <w:rsid w:val="00540EDD"/>
    <w:rsid w:val="0057284A"/>
    <w:rsid w:val="00572B4C"/>
    <w:rsid w:val="005801A0"/>
    <w:rsid w:val="005E005E"/>
    <w:rsid w:val="005E77FB"/>
    <w:rsid w:val="00600E39"/>
    <w:rsid w:val="00635344"/>
    <w:rsid w:val="00644025"/>
    <w:rsid w:val="0067494D"/>
    <w:rsid w:val="006A7936"/>
    <w:rsid w:val="006D238C"/>
    <w:rsid w:val="007875E3"/>
    <w:rsid w:val="007A62A4"/>
    <w:rsid w:val="007F6004"/>
    <w:rsid w:val="00843CD5"/>
    <w:rsid w:val="00852187"/>
    <w:rsid w:val="00870484"/>
    <w:rsid w:val="00876D4A"/>
    <w:rsid w:val="0089156E"/>
    <w:rsid w:val="008A2781"/>
    <w:rsid w:val="008B132B"/>
    <w:rsid w:val="008B1FAF"/>
    <w:rsid w:val="008E636A"/>
    <w:rsid w:val="009C260C"/>
    <w:rsid w:val="009D1237"/>
    <w:rsid w:val="009F0871"/>
    <w:rsid w:val="00A72656"/>
    <w:rsid w:val="00A955C8"/>
    <w:rsid w:val="00AC67A2"/>
    <w:rsid w:val="00B52ABE"/>
    <w:rsid w:val="00BB3232"/>
    <w:rsid w:val="00BD7E23"/>
    <w:rsid w:val="00C574A5"/>
    <w:rsid w:val="00CC3B00"/>
    <w:rsid w:val="00CC6090"/>
    <w:rsid w:val="00D0695A"/>
    <w:rsid w:val="00D30D3C"/>
    <w:rsid w:val="00D72C84"/>
    <w:rsid w:val="00D93E57"/>
    <w:rsid w:val="00D95A2A"/>
    <w:rsid w:val="00E25E88"/>
    <w:rsid w:val="00E62B4D"/>
    <w:rsid w:val="00EF3E9D"/>
    <w:rsid w:val="00EF6390"/>
    <w:rsid w:val="00F01461"/>
    <w:rsid w:val="00F01C9C"/>
    <w:rsid w:val="00F12507"/>
    <w:rsid w:val="00F12607"/>
    <w:rsid w:val="00F146AE"/>
    <w:rsid w:val="00F2570C"/>
    <w:rsid w:val="00FA714F"/>
    <w:rsid w:val="00FD036B"/>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588BEC"/>
  <w15:chartTrackingRefBased/>
  <w15:docId w15:val="{B83CEB0E-202B-444C-97A6-3CED211594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fr-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2B4D"/>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8B1FAF"/>
    <w:pPr>
      <w:ind w:left="720"/>
      <w:contextualSpacing/>
    </w:pPr>
  </w:style>
  <w:style w:type="paragraph" w:styleId="En-tte">
    <w:name w:val="header"/>
    <w:basedOn w:val="Normal"/>
    <w:link w:val="En-tteCar"/>
    <w:uiPriority w:val="99"/>
    <w:unhideWhenUsed/>
    <w:rsid w:val="005E77FB"/>
    <w:pPr>
      <w:tabs>
        <w:tab w:val="center" w:pos="4320"/>
        <w:tab w:val="right" w:pos="8640"/>
      </w:tabs>
      <w:spacing w:after="0" w:line="240" w:lineRule="auto"/>
    </w:pPr>
  </w:style>
  <w:style w:type="character" w:customStyle="1" w:styleId="En-tteCar">
    <w:name w:val="En-tête Car"/>
    <w:basedOn w:val="Policepardfaut"/>
    <w:link w:val="En-tte"/>
    <w:uiPriority w:val="99"/>
    <w:rsid w:val="005E77FB"/>
  </w:style>
  <w:style w:type="paragraph" w:styleId="Pieddepage">
    <w:name w:val="footer"/>
    <w:basedOn w:val="Normal"/>
    <w:link w:val="PieddepageCar"/>
    <w:uiPriority w:val="99"/>
    <w:unhideWhenUsed/>
    <w:rsid w:val="005E77FB"/>
    <w:pPr>
      <w:tabs>
        <w:tab w:val="center" w:pos="4320"/>
        <w:tab w:val="right" w:pos="8640"/>
      </w:tabs>
      <w:spacing w:after="0" w:line="240" w:lineRule="auto"/>
    </w:pPr>
  </w:style>
  <w:style w:type="character" w:customStyle="1" w:styleId="PieddepageCar">
    <w:name w:val="Pied de page Car"/>
    <w:basedOn w:val="Policepardfaut"/>
    <w:link w:val="Pieddepage"/>
    <w:uiPriority w:val="99"/>
    <w:rsid w:val="005E77FB"/>
  </w:style>
  <w:style w:type="paragraph" w:styleId="Notedebasdepage">
    <w:name w:val="footnote text"/>
    <w:basedOn w:val="Normal"/>
    <w:link w:val="NotedebasdepageCar"/>
    <w:uiPriority w:val="99"/>
    <w:semiHidden/>
    <w:unhideWhenUsed/>
    <w:rsid w:val="000566A5"/>
    <w:pPr>
      <w:spacing w:after="0" w:line="240" w:lineRule="auto"/>
    </w:pPr>
    <w:rPr>
      <w:sz w:val="20"/>
      <w:szCs w:val="20"/>
    </w:rPr>
  </w:style>
  <w:style w:type="character" w:customStyle="1" w:styleId="NotedebasdepageCar">
    <w:name w:val="Note de bas de page Car"/>
    <w:basedOn w:val="Policepardfaut"/>
    <w:link w:val="Notedebasdepage"/>
    <w:uiPriority w:val="99"/>
    <w:semiHidden/>
    <w:rsid w:val="000566A5"/>
    <w:rPr>
      <w:sz w:val="20"/>
      <w:szCs w:val="20"/>
    </w:rPr>
  </w:style>
  <w:style w:type="character" w:styleId="Appelnotedebasdep">
    <w:name w:val="footnote reference"/>
    <w:basedOn w:val="Policepardfaut"/>
    <w:uiPriority w:val="99"/>
    <w:semiHidden/>
    <w:unhideWhenUsed/>
    <w:rsid w:val="000566A5"/>
    <w:rPr>
      <w:vertAlign w:val="superscript"/>
    </w:rPr>
  </w:style>
  <w:style w:type="paragraph" w:customStyle="1" w:styleId="ifrsl6">
    <w:name w:val="ifrsl6"/>
    <w:basedOn w:val="Normal"/>
    <w:rsid w:val="00EF6390"/>
    <w:pPr>
      <w:spacing w:before="100" w:beforeAutospacing="1" w:after="100" w:afterAutospacing="1" w:line="240" w:lineRule="auto"/>
    </w:pPr>
    <w:rPr>
      <w:rFonts w:ascii="Times New Roman" w:eastAsia="Times New Roman" w:hAnsi="Times New Roman" w:cs="Times New Roman"/>
      <w:sz w:val="24"/>
      <w:szCs w:val="24"/>
      <w:lang w:val="fr-FR" w:eastAsia="fr-FR"/>
    </w:rPr>
  </w:style>
  <w:style w:type="paragraph" w:customStyle="1" w:styleId="ifrsparagraphbold">
    <w:name w:val="ifrsparagraphbold"/>
    <w:basedOn w:val="Normal"/>
    <w:rsid w:val="00EF6390"/>
    <w:pPr>
      <w:spacing w:before="100" w:beforeAutospacing="1" w:after="100" w:afterAutospacing="1" w:line="240" w:lineRule="auto"/>
    </w:pPr>
    <w:rPr>
      <w:rFonts w:ascii="Times New Roman" w:eastAsia="Times New Roman" w:hAnsi="Times New Roman" w:cs="Times New Roman"/>
      <w:sz w:val="24"/>
      <w:szCs w:val="24"/>
      <w:lang w:val="fr-FR" w:eastAsia="fr-FR"/>
    </w:rPr>
  </w:style>
  <w:style w:type="paragraph" w:customStyle="1" w:styleId="ifrsboldbullet">
    <w:name w:val="ifrsboldbullet"/>
    <w:basedOn w:val="Normal"/>
    <w:rsid w:val="00EF6390"/>
    <w:pPr>
      <w:spacing w:before="100" w:beforeAutospacing="1" w:after="100" w:afterAutospacing="1" w:line="240" w:lineRule="auto"/>
    </w:pPr>
    <w:rPr>
      <w:rFonts w:ascii="Times New Roman" w:eastAsia="Times New Roman" w:hAnsi="Times New Roman" w:cs="Times New Roman"/>
      <w:sz w:val="24"/>
      <w:szCs w:val="24"/>
      <w:lang w:val="fr-FR" w:eastAsia="fr-FR"/>
    </w:rPr>
  </w:style>
  <w:style w:type="character" w:styleId="Lienhypertexte">
    <w:name w:val="Hyperlink"/>
    <w:basedOn w:val="Policepardfaut"/>
    <w:uiPriority w:val="99"/>
    <w:semiHidden/>
    <w:unhideWhenUsed/>
    <w:rsid w:val="00EF6390"/>
    <w:rPr>
      <w:color w:val="0000FF"/>
      <w:u w:val="single"/>
    </w:rPr>
  </w:style>
  <w:style w:type="paragraph" w:customStyle="1" w:styleId="l5ifrs">
    <w:name w:val="l5ifrs"/>
    <w:basedOn w:val="Normal"/>
    <w:rsid w:val="00EF6390"/>
    <w:pPr>
      <w:spacing w:before="100" w:beforeAutospacing="1" w:after="100" w:afterAutospacing="1" w:line="240" w:lineRule="auto"/>
    </w:pPr>
    <w:rPr>
      <w:rFonts w:ascii="Times New Roman" w:eastAsia="Times New Roman" w:hAnsi="Times New Roman" w:cs="Times New Roman"/>
      <w:sz w:val="24"/>
      <w:szCs w:val="24"/>
      <w:lang w:val="fr-FR" w:eastAsia="fr-FR"/>
    </w:rPr>
  </w:style>
  <w:style w:type="paragraph" w:customStyle="1" w:styleId="paragraph">
    <w:name w:val="paragraph"/>
    <w:basedOn w:val="Normal"/>
    <w:rsid w:val="00EF6390"/>
    <w:pPr>
      <w:spacing w:before="100" w:beforeAutospacing="1" w:after="100" w:afterAutospacing="1" w:line="240" w:lineRule="auto"/>
    </w:pPr>
    <w:rPr>
      <w:rFonts w:ascii="Times New Roman" w:eastAsia="Times New Roman" w:hAnsi="Times New Roman" w:cs="Times New Roman"/>
      <w:sz w:val="24"/>
      <w:szCs w:val="24"/>
      <w:lang w:val="fr-FR" w:eastAsia="fr-FR"/>
    </w:rPr>
  </w:style>
  <w:style w:type="paragraph" w:customStyle="1" w:styleId="bullet">
    <w:name w:val="bullet"/>
    <w:basedOn w:val="Normal"/>
    <w:rsid w:val="00EF6390"/>
    <w:pPr>
      <w:spacing w:before="100" w:beforeAutospacing="1" w:after="100" w:afterAutospacing="1" w:line="240" w:lineRule="auto"/>
    </w:pPr>
    <w:rPr>
      <w:rFonts w:ascii="Times New Roman" w:eastAsia="Times New Roman" w:hAnsi="Times New Roman" w:cs="Times New Roman"/>
      <w:sz w:val="24"/>
      <w:szCs w:val="24"/>
      <w:lang w:val="fr-FR" w:eastAsia="fr-FR"/>
    </w:rPr>
  </w:style>
  <w:style w:type="paragraph" w:customStyle="1" w:styleId="ifrsitalicheader">
    <w:name w:val="ifrsitalicheader"/>
    <w:basedOn w:val="Normal"/>
    <w:rsid w:val="005801A0"/>
    <w:pPr>
      <w:spacing w:before="100" w:beforeAutospacing="1" w:after="100" w:afterAutospacing="1" w:line="240" w:lineRule="auto"/>
    </w:pPr>
    <w:rPr>
      <w:rFonts w:ascii="Times New Roman" w:eastAsia="Times New Roman" w:hAnsi="Times New Roman" w:cs="Times New Roman"/>
      <w:sz w:val="24"/>
      <w:szCs w:val="24"/>
      <w:lang w:val="fr-FR" w:eastAsia="fr-FR"/>
    </w:rPr>
  </w:style>
  <w:style w:type="paragraph" w:customStyle="1" w:styleId="ifrsbulletbold">
    <w:name w:val="ifrsbulletbold"/>
    <w:basedOn w:val="Normal"/>
    <w:rsid w:val="005801A0"/>
    <w:pPr>
      <w:spacing w:before="100" w:beforeAutospacing="1" w:after="100" w:afterAutospacing="1" w:line="240" w:lineRule="auto"/>
    </w:pPr>
    <w:rPr>
      <w:rFonts w:ascii="Times New Roman" w:eastAsia="Times New Roman" w:hAnsi="Times New Roman" w:cs="Times New Roman"/>
      <w:sz w:val="24"/>
      <w:szCs w:val="24"/>
      <w:lang w:val="fr-FR" w:eastAsia="fr-FR"/>
    </w:rPr>
  </w:style>
  <w:style w:type="paragraph" w:customStyle="1" w:styleId="ifrsheader2underline">
    <w:name w:val="ifrsheader2underline"/>
    <w:basedOn w:val="Normal"/>
    <w:rsid w:val="00D72C84"/>
    <w:pPr>
      <w:spacing w:before="100" w:beforeAutospacing="1" w:after="100" w:afterAutospacing="1" w:line="240" w:lineRule="auto"/>
    </w:pPr>
    <w:rPr>
      <w:rFonts w:ascii="Times New Roman" w:eastAsia="Times New Roman" w:hAnsi="Times New Roman" w:cs="Times New Roman"/>
      <w:sz w:val="24"/>
      <w:szCs w:val="24"/>
      <w:lang w:val="fr-FR" w:eastAsia="fr-FR"/>
    </w:rPr>
  </w:style>
  <w:style w:type="paragraph" w:customStyle="1" w:styleId="paragraphlong">
    <w:name w:val="paragraphlong"/>
    <w:basedOn w:val="Normal"/>
    <w:rsid w:val="00FD036B"/>
    <w:pPr>
      <w:spacing w:before="100" w:beforeAutospacing="1" w:after="100" w:afterAutospacing="1" w:line="240" w:lineRule="auto"/>
    </w:pPr>
    <w:rPr>
      <w:rFonts w:ascii="Times New Roman" w:eastAsia="Times New Roman" w:hAnsi="Times New Roman" w:cs="Times New Roman"/>
      <w:sz w:val="24"/>
      <w:szCs w:val="24"/>
      <w:lang w:val="fr-FR" w:eastAsia="fr-FR"/>
    </w:rPr>
  </w:style>
  <w:style w:type="paragraph" w:styleId="NormalWeb">
    <w:name w:val="Normal (Web)"/>
    <w:basedOn w:val="Normal"/>
    <w:uiPriority w:val="99"/>
    <w:semiHidden/>
    <w:unhideWhenUsed/>
    <w:rsid w:val="00303623"/>
    <w:pPr>
      <w:spacing w:before="100" w:beforeAutospacing="1" w:after="100" w:afterAutospacing="1" w:line="240" w:lineRule="auto"/>
    </w:pPr>
    <w:rPr>
      <w:rFonts w:ascii="Times New Roman" w:eastAsia="Times New Roman" w:hAnsi="Times New Roman" w:cs="Times New Roman"/>
      <w:sz w:val="24"/>
      <w:szCs w:val="24"/>
      <w:lang w:val="fr-FR" w:eastAsia="fr-FR"/>
    </w:rPr>
  </w:style>
  <w:style w:type="character" w:styleId="Accentuation">
    <w:name w:val="Emphasis"/>
    <w:basedOn w:val="Policepardfaut"/>
    <w:uiPriority w:val="20"/>
    <w:qFormat/>
    <w:rsid w:val="00F2570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5013417">
      <w:bodyDiv w:val="1"/>
      <w:marLeft w:val="0"/>
      <w:marRight w:val="0"/>
      <w:marTop w:val="0"/>
      <w:marBottom w:val="0"/>
      <w:divBdr>
        <w:top w:val="none" w:sz="0" w:space="0" w:color="auto"/>
        <w:left w:val="none" w:sz="0" w:space="0" w:color="auto"/>
        <w:bottom w:val="none" w:sz="0" w:space="0" w:color="auto"/>
        <w:right w:val="none" w:sz="0" w:space="0" w:color="auto"/>
      </w:divBdr>
      <w:divsChild>
        <w:div w:id="233320362">
          <w:marLeft w:val="0"/>
          <w:marRight w:val="0"/>
          <w:marTop w:val="0"/>
          <w:marBottom w:val="0"/>
          <w:divBdr>
            <w:top w:val="none" w:sz="0" w:space="0" w:color="auto"/>
            <w:left w:val="none" w:sz="0" w:space="0" w:color="auto"/>
            <w:bottom w:val="none" w:sz="0" w:space="0" w:color="auto"/>
            <w:right w:val="none" w:sz="0" w:space="0" w:color="auto"/>
          </w:divBdr>
        </w:div>
        <w:div w:id="612596841">
          <w:marLeft w:val="0"/>
          <w:marRight w:val="0"/>
          <w:marTop w:val="0"/>
          <w:marBottom w:val="0"/>
          <w:divBdr>
            <w:top w:val="none" w:sz="0" w:space="0" w:color="auto"/>
            <w:left w:val="none" w:sz="0" w:space="0" w:color="auto"/>
            <w:bottom w:val="none" w:sz="0" w:space="0" w:color="auto"/>
            <w:right w:val="none" w:sz="0" w:space="0" w:color="auto"/>
          </w:divBdr>
        </w:div>
      </w:divsChild>
    </w:div>
    <w:div w:id="5791765">
      <w:bodyDiv w:val="1"/>
      <w:marLeft w:val="0"/>
      <w:marRight w:val="0"/>
      <w:marTop w:val="0"/>
      <w:marBottom w:val="0"/>
      <w:divBdr>
        <w:top w:val="none" w:sz="0" w:space="0" w:color="auto"/>
        <w:left w:val="none" w:sz="0" w:space="0" w:color="auto"/>
        <w:bottom w:val="none" w:sz="0" w:space="0" w:color="auto"/>
        <w:right w:val="none" w:sz="0" w:space="0" w:color="auto"/>
      </w:divBdr>
      <w:divsChild>
        <w:div w:id="636643960">
          <w:marLeft w:val="0"/>
          <w:marRight w:val="0"/>
          <w:marTop w:val="0"/>
          <w:marBottom w:val="0"/>
          <w:divBdr>
            <w:top w:val="none" w:sz="0" w:space="0" w:color="auto"/>
            <w:left w:val="none" w:sz="0" w:space="0" w:color="auto"/>
            <w:bottom w:val="none" w:sz="0" w:space="0" w:color="auto"/>
            <w:right w:val="none" w:sz="0" w:space="0" w:color="auto"/>
          </w:divBdr>
        </w:div>
        <w:div w:id="854656549">
          <w:marLeft w:val="0"/>
          <w:marRight w:val="0"/>
          <w:marTop w:val="0"/>
          <w:marBottom w:val="0"/>
          <w:divBdr>
            <w:top w:val="none" w:sz="0" w:space="0" w:color="auto"/>
            <w:left w:val="none" w:sz="0" w:space="0" w:color="auto"/>
            <w:bottom w:val="none" w:sz="0" w:space="0" w:color="auto"/>
            <w:right w:val="none" w:sz="0" w:space="0" w:color="auto"/>
          </w:divBdr>
        </w:div>
        <w:div w:id="846939260">
          <w:marLeft w:val="0"/>
          <w:marRight w:val="0"/>
          <w:marTop w:val="0"/>
          <w:marBottom w:val="0"/>
          <w:divBdr>
            <w:top w:val="none" w:sz="0" w:space="0" w:color="auto"/>
            <w:left w:val="none" w:sz="0" w:space="0" w:color="auto"/>
            <w:bottom w:val="none" w:sz="0" w:space="0" w:color="auto"/>
            <w:right w:val="none" w:sz="0" w:space="0" w:color="auto"/>
          </w:divBdr>
        </w:div>
        <w:div w:id="1904833908">
          <w:marLeft w:val="0"/>
          <w:marRight w:val="0"/>
          <w:marTop w:val="0"/>
          <w:marBottom w:val="0"/>
          <w:divBdr>
            <w:top w:val="none" w:sz="0" w:space="0" w:color="auto"/>
            <w:left w:val="none" w:sz="0" w:space="0" w:color="auto"/>
            <w:bottom w:val="none" w:sz="0" w:space="0" w:color="auto"/>
            <w:right w:val="none" w:sz="0" w:space="0" w:color="auto"/>
          </w:divBdr>
        </w:div>
      </w:divsChild>
    </w:div>
    <w:div w:id="44331688">
      <w:bodyDiv w:val="1"/>
      <w:marLeft w:val="0"/>
      <w:marRight w:val="0"/>
      <w:marTop w:val="0"/>
      <w:marBottom w:val="0"/>
      <w:divBdr>
        <w:top w:val="none" w:sz="0" w:space="0" w:color="auto"/>
        <w:left w:val="none" w:sz="0" w:space="0" w:color="auto"/>
        <w:bottom w:val="none" w:sz="0" w:space="0" w:color="auto"/>
        <w:right w:val="none" w:sz="0" w:space="0" w:color="auto"/>
      </w:divBdr>
      <w:divsChild>
        <w:div w:id="1047922848">
          <w:marLeft w:val="0"/>
          <w:marRight w:val="0"/>
          <w:marTop w:val="0"/>
          <w:marBottom w:val="0"/>
          <w:divBdr>
            <w:top w:val="none" w:sz="0" w:space="0" w:color="auto"/>
            <w:left w:val="none" w:sz="0" w:space="0" w:color="auto"/>
            <w:bottom w:val="none" w:sz="0" w:space="0" w:color="auto"/>
            <w:right w:val="none" w:sz="0" w:space="0" w:color="auto"/>
          </w:divBdr>
        </w:div>
        <w:div w:id="2077699642">
          <w:marLeft w:val="0"/>
          <w:marRight w:val="0"/>
          <w:marTop w:val="0"/>
          <w:marBottom w:val="0"/>
          <w:divBdr>
            <w:top w:val="none" w:sz="0" w:space="0" w:color="auto"/>
            <w:left w:val="none" w:sz="0" w:space="0" w:color="auto"/>
            <w:bottom w:val="none" w:sz="0" w:space="0" w:color="auto"/>
            <w:right w:val="none" w:sz="0" w:space="0" w:color="auto"/>
          </w:divBdr>
        </w:div>
        <w:div w:id="225728932">
          <w:marLeft w:val="0"/>
          <w:marRight w:val="0"/>
          <w:marTop w:val="0"/>
          <w:marBottom w:val="0"/>
          <w:divBdr>
            <w:top w:val="none" w:sz="0" w:space="0" w:color="auto"/>
            <w:left w:val="none" w:sz="0" w:space="0" w:color="auto"/>
            <w:bottom w:val="none" w:sz="0" w:space="0" w:color="auto"/>
            <w:right w:val="none" w:sz="0" w:space="0" w:color="auto"/>
          </w:divBdr>
        </w:div>
        <w:div w:id="92037">
          <w:marLeft w:val="0"/>
          <w:marRight w:val="0"/>
          <w:marTop w:val="0"/>
          <w:marBottom w:val="0"/>
          <w:divBdr>
            <w:top w:val="none" w:sz="0" w:space="0" w:color="auto"/>
            <w:left w:val="none" w:sz="0" w:space="0" w:color="auto"/>
            <w:bottom w:val="none" w:sz="0" w:space="0" w:color="auto"/>
            <w:right w:val="none" w:sz="0" w:space="0" w:color="auto"/>
          </w:divBdr>
        </w:div>
      </w:divsChild>
    </w:div>
    <w:div w:id="66272313">
      <w:bodyDiv w:val="1"/>
      <w:marLeft w:val="0"/>
      <w:marRight w:val="0"/>
      <w:marTop w:val="0"/>
      <w:marBottom w:val="0"/>
      <w:divBdr>
        <w:top w:val="none" w:sz="0" w:space="0" w:color="auto"/>
        <w:left w:val="none" w:sz="0" w:space="0" w:color="auto"/>
        <w:bottom w:val="none" w:sz="0" w:space="0" w:color="auto"/>
        <w:right w:val="none" w:sz="0" w:space="0" w:color="auto"/>
      </w:divBdr>
      <w:divsChild>
        <w:div w:id="1728341109">
          <w:marLeft w:val="0"/>
          <w:marRight w:val="0"/>
          <w:marTop w:val="0"/>
          <w:marBottom w:val="0"/>
          <w:divBdr>
            <w:top w:val="none" w:sz="0" w:space="0" w:color="auto"/>
            <w:left w:val="none" w:sz="0" w:space="0" w:color="auto"/>
            <w:bottom w:val="none" w:sz="0" w:space="0" w:color="auto"/>
            <w:right w:val="none" w:sz="0" w:space="0" w:color="auto"/>
          </w:divBdr>
        </w:div>
        <w:div w:id="68231475">
          <w:marLeft w:val="0"/>
          <w:marRight w:val="0"/>
          <w:marTop w:val="0"/>
          <w:marBottom w:val="0"/>
          <w:divBdr>
            <w:top w:val="none" w:sz="0" w:space="0" w:color="auto"/>
            <w:left w:val="none" w:sz="0" w:space="0" w:color="auto"/>
            <w:bottom w:val="none" w:sz="0" w:space="0" w:color="auto"/>
            <w:right w:val="none" w:sz="0" w:space="0" w:color="auto"/>
          </w:divBdr>
        </w:div>
        <w:div w:id="682436197">
          <w:marLeft w:val="0"/>
          <w:marRight w:val="0"/>
          <w:marTop w:val="0"/>
          <w:marBottom w:val="0"/>
          <w:divBdr>
            <w:top w:val="none" w:sz="0" w:space="0" w:color="auto"/>
            <w:left w:val="none" w:sz="0" w:space="0" w:color="auto"/>
            <w:bottom w:val="none" w:sz="0" w:space="0" w:color="auto"/>
            <w:right w:val="none" w:sz="0" w:space="0" w:color="auto"/>
          </w:divBdr>
        </w:div>
      </w:divsChild>
    </w:div>
    <w:div w:id="322664289">
      <w:bodyDiv w:val="1"/>
      <w:marLeft w:val="0"/>
      <w:marRight w:val="0"/>
      <w:marTop w:val="0"/>
      <w:marBottom w:val="0"/>
      <w:divBdr>
        <w:top w:val="none" w:sz="0" w:space="0" w:color="auto"/>
        <w:left w:val="none" w:sz="0" w:space="0" w:color="auto"/>
        <w:bottom w:val="none" w:sz="0" w:space="0" w:color="auto"/>
        <w:right w:val="none" w:sz="0" w:space="0" w:color="auto"/>
      </w:divBdr>
    </w:div>
    <w:div w:id="412363642">
      <w:bodyDiv w:val="1"/>
      <w:marLeft w:val="0"/>
      <w:marRight w:val="0"/>
      <w:marTop w:val="0"/>
      <w:marBottom w:val="0"/>
      <w:divBdr>
        <w:top w:val="none" w:sz="0" w:space="0" w:color="auto"/>
        <w:left w:val="none" w:sz="0" w:space="0" w:color="auto"/>
        <w:bottom w:val="none" w:sz="0" w:space="0" w:color="auto"/>
        <w:right w:val="none" w:sz="0" w:space="0" w:color="auto"/>
      </w:divBdr>
      <w:divsChild>
        <w:div w:id="1259942020">
          <w:marLeft w:val="0"/>
          <w:marRight w:val="0"/>
          <w:marTop w:val="0"/>
          <w:marBottom w:val="0"/>
          <w:divBdr>
            <w:top w:val="none" w:sz="0" w:space="0" w:color="auto"/>
            <w:left w:val="none" w:sz="0" w:space="0" w:color="auto"/>
            <w:bottom w:val="none" w:sz="0" w:space="0" w:color="auto"/>
            <w:right w:val="none" w:sz="0" w:space="0" w:color="auto"/>
          </w:divBdr>
        </w:div>
        <w:div w:id="1523083862">
          <w:marLeft w:val="0"/>
          <w:marRight w:val="0"/>
          <w:marTop w:val="0"/>
          <w:marBottom w:val="0"/>
          <w:divBdr>
            <w:top w:val="none" w:sz="0" w:space="0" w:color="auto"/>
            <w:left w:val="none" w:sz="0" w:space="0" w:color="auto"/>
            <w:bottom w:val="none" w:sz="0" w:space="0" w:color="auto"/>
            <w:right w:val="none" w:sz="0" w:space="0" w:color="auto"/>
          </w:divBdr>
        </w:div>
      </w:divsChild>
    </w:div>
    <w:div w:id="421612898">
      <w:bodyDiv w:val="1"/>
      <w:marLeft w:val="0"/>
      <w:marRight w:val="0"/>
      <w:marTop w:val="0"/>
      <w:marBottom w:val="0"/>
      <w:divBdr>
        <w:top w:val="none" w:sz="0" w:space="0" w:color="auto"/>
        <w:left w:val="none" w:sz="0" w:space="0" w:color="auto"/>
        <w:bottom w:val="none" w:sz="0" w:space="0" w:color="auto"/>
        <w:right w:val="none" w:sz="0" w:space="0" w:color="auto"/>
      </w:divBdr>
      <w:divsChild>
        <w:div w:id="2018002096">
          <w:marLeft w:val="0"/>
          <w:marRight w:val="0"/>
          <w:marTop w:val="0"/>
          <w:marBottom w:val="0"/>
          <w:divBdr>
            <w:top w:val="none" w:sz="0" w:space="0" w:color="auto"/>
            <w:left w:val="none" w:sz="0" w:space="0" w:color="auto"/>
            <w:bottom w:val="none" w:sz="0" w:space="0" w:color="auto"/>
            <w:right w:val="none" w:sz="0" w:space="0" w:color="auto"/>
          </w:divBdr>
        </w:div>
        <w:div w:id="812405910">
          <w:marLeft w:val="0"/>
          <w:marRight w:val="0"/>
          <w:marTop w:val="0"/>
          <w:marBottom w:val="0"/>
          <w:divBdr>
            <w:top w:val="none" w:sz="0" w:space="0" w:color="auto"/>
            <w:left w:val="none" w:sz="0" w:space="0" w:color="auto"/>
            <w:bottom w:val="none" w:sz="0" w:space="0" w:color="auto"/>
            <w:right w:val="none" w:sz="0" w:space="0" w:color="auto"/>
          </w:divBdr>
        </w:div>
      </w:divsChild>
    </w:div>
    <w:div w:id="611589838">
      <w:bodyDiv w:val="1"/>
      <w:marLeft w:val="0"/>
      <w:marRight w:val="0"/>
      <w:marTop w:val="0"/>
      <w:marBottom w:val="0"/>
      <w:divBdr>
        <w:top w:val="none" w:sz="0" w:space="0" w:color="auto"/>
        <w:left w:val="none" w:sz="0" w:space="0" w:color="auto"/>
        <w:bottom w:val="none" w:sz="0" w:space="0" w:color="auto"/>
        <w:right w:val="none" w:sz="0" w:space="0" w:color="auto"/>
      </w:divBdr>
    </w:div>
    <w:div w:id="1017345246">
      <w:bodyDiv w:val="1"/>
      <w:marLeft w:val="0"/>
      <w:marRight w:val="0"/>
      <w:marTop w:val="0"/>
      <w:marBottom w:val="0"/>
      <w:divBdr>
        <w:top w:val="none" w:sz="0" w:space="0" w:color="auto"/>
        <w:left w:val="none" w:sz="0" w:space="0" w:color="auto"/>
        <w:bottom w:val="none" w:sz="0" w:space="0" w:color="auto"/>
        <w:right w:val="none" w:sz="0" w:space="0" w:color="auto"/>
      </w:divBdr>
      <w:divsChild>
        <w:div w:id="1390883359">
          <w:marLeft w:val="0"/>
          <w:marRight w:val="0"/>
          <w:marTop w:val="0"/>
          <w:marBottom w:val="0"/>
          <w:divBdr>
            <w:top w:val="none" w:sz="0" w:space="0" w:color="auto"/>
            <w:left w:val="none" w:sz="0" w:space="0" w:color="auto"/>
            <w:bottom w:val="none" w:sz="0" w:space="0" w:color="auto"/>
            <w:right w:val="none" w:sz="0" w:space="0" w:color="auto"/>
          </w:divBdr>
        </w:div>
        <w:div w:id="1335457053">
          <w:marLeft w:val="0"/>
          <w:marRight w:val="0"/>
          <w:marTop w:val="0"/>
          <w:marBottom w:val="0"/>
          <w:divBdr>
            <w:top w:val="none" w:sz="0" w:space="0" w:color="auto"/>
            <w:left w:val="none" w:sz="0" w:space="0" w:color="auto"/>
            <w:bottom w:val="none" w:sz="0" w:space="0" w:color="auto"/>
            <w:right w:val="none" w:sz="0" w:space="0" w:color="auto"/>
          </w:divBdr>
        </w:div>
        <w:div w:id="1457867052">
          <w:marLeft w:val="0"/>
          <w:marRight w:val="0"/>
          <w:marTop w:val="0"/>
          <w:marBottom w:val="0"/>
          <w:divBdr>
            <w:top w:val="none" w:sz="0" w:space="0" w:color="auto"/>
            <w:left w:val="none" w:sz="0" w:space="0" w:color="auto"/>
            <w:bottom w:val="none" w:sz="0" w:space="0" w:color="auto"/>
            <w:right w:val="none" w:sz="0" w:space="0" w:color="auto"/>
          </w:divBdr>
        </w:div>
      </w:divsChild>
    </w:div>
    <w:div w:id="1030110441">
      <w:bodyDiv w:val="1"/>
      <w:marLeft w:val="0"/>
      <w:marRight w:val="0"/>
      <w:marTop w:val="0"/>
      <w:marBottom w:val="0"/>
      <w:divBdr>
        <w:top w:val="none" w:sz="0" w:space="0" w:color="auto"/>
        <w:left w:val="none" w:sz="0" w:space="0" w:color="auto"/>
        <w:bottom w:val="none" w:sz="0" w:space="0" w:color="auto"/>
        <w:right w:val="none" w:sz="0" w:space="0" w:color="auto"/>
      </w:divBdr>
      <w:divsChild>
        <w:div w:id="1280718101">
          <w:marLeft w:val="0"/>
          <w:marRight w:val="0"/>
          <w:marTop w:val="0"/>
          <w:marBottom w:val="0"/>
          <w:divBdr>
            <w:top w:val="none" w:sz="0" w:space="0" w:color="auto"/>
            <w:left w:val="none" w:sz="0" w:space="0" w:color="auto"/>
            <w:bottom w:val="none" w:sz="0" w:space="0" w:color="auto"/>
            <w:right w:val="none" w:sz="0" w:space="0" w:color="auto"/>
          </w:divBdr>
        </w:div>
        <w:div w:id="1961106488">
          <w:marLeft w:val="0"/>
          <w:marRight w:val="0"/>
          <w:marTop w:val="0"/>
          <w:marBottom w:val="0"/>
          <w:divBdr>
            <w:top w:val="none" w:sz="0" w:space="0" w:color="auto"/>
            <w:left w:val="none" w:sz="0" w:space="0" w:color="auto"/>
            <w:bottom w:val="none" w:sz="0" w:space="0" w:color="auto"/>
            <w:right w:val="none" w:sz="0" w:space="0" w:color="auto"/>
          </w:divBdr>
        </w:div>
        <w:div w:id="651908133">
          <w:marLeft w:val="0"/>
          <w:marRight w:val="0"/>
          <w:marTop w:val="0"/>
          <w:marBottom w:val="0"/>
          <w:divBdr>
            <w:top w:val="none" w:sz="0" w:space="0" w:color="auto"/>
            <w:left w:val="none" w:sz="0" w:space="0" w:color="auto"/>
            <w:bottom w:val="none" w:sz="0" w:space="0" w:color="auto"/>
            <w:right w:val="none" w:sz="0" w:space="0" w:color="auto"/>
          </w:divBdr>
        </w:div>
        <w:div w:id="919143013">
          <w:marLeft w:val="0"/>
          <w:marRight w:val="0"/>
          <w:marTop w:val="0"/>
          <w:marBottom w:val="0"/>
          <w:divBdr>
            <w:top w:val="none" w:sz="0" w:space="0" w:color="auto"/>
            <w:left w:val="none" w:sz="0" w:space="0" w:color="auto"/>
            <w:bottom w:val="none" w:sz="0" w:space="0" w:color="auto"/>
            <w:right w:val="none" w:sz="0" w:space="0" w:color="auto"/>
          </w:divBdr>
        </w:div>
        <w:div w:id="2009819925">
          <w:marLeft w:val="0"/>
          <w:marRight w:val="0"/>
          <w:marTop w:val="0"/>
          <w:marBottom w:val="0"/>
          <w:divBdr>
            <w:top w:val="none" w:sz="0" w:space="0" w:color="auto"/>
            <w:left w:val="none" w:sz="0" w:space="0" w:color="auto"/>
            <w:bottom w:val="none" w:sz="0" w:space="0" w:color="auto"/>
            <w:right w:val="none" w:sz="0" w:space="0" w:color="auto"/>
          </w:divBdr>
        </w:div>
        <w:div w:id="574900463">
          <w:marLeft w:val="0"/>
          <w:marRight w:val="0"/>
          <w:marTop w:val="0"/>
          <w:marBottom w:val="0"/>
          <w:divBdr>
            <w:top w:val="none" w:sz="0" w:space="0" w:color="auto"/>
            <w:left w:val="none" w:sz="0" w:space="0" w:color="auto"/>
            <w:bottom w:val="none" w:sz="0" w:space="0" w:color="auto"/>
            <w:right w:val="none" w:sz="0" w:space="0" w:color="auto"/>
          </w:divBdr>
        </w:div>
        <w:div w:id="604657612">
          <w:marLeft w:val="0"/>
          <w:marRight w:val="0"/>
          <w:marTop w:val="0"/>
          <w:marBottom w:val="0"/>
          <w:divBdr>
            <w:top w:val="none" w:sz="0" w:space="0" w:color="auto"/>
            <w:left w:val="none" w:sz="0" w:space="0" w:color="auto"/>
            <w:bottom w:val="none" w:sz="0" w:space="0" w:color="auto"/>
            <w:right w:val="none" w:sz="0" w:space="0" w:color="auto"/>
          </w:divBdr>
        </w:div>
      </w:divsChild>
    </w:div>
    <w:div w:id="1101410002">
      <w:bodyDiv w:val="1"/>
      <w:marLeft w:val="0"/>
      <w:marRight w:val="0"/>
      <w:marTop w:val="0"/>
      <w:marBottom w:val="0"/>
      <w:divBdr>
        <w:top w:val="none" w:sz="0" w:space="0" w:color="auto"/>
        <w:left w:val="none" w:sz="0" w:space="0" w:color="auto"/>
        <w:bottom w:val="none" w:sz="0" w:space="0" w:color="auto"/>
        <w:right w:val="none" w:sz="0" w:space="0" w:color="auto"/>
      </w:divBdr>
      <w:divsChild>
        <w:div w:id="1906984604">
          <w:marLeft w:val="0"/>
          <w:marRight w:val="0"/>
          <w:marTop w:val="0"/>
          <w:marBottom w:val="0"/>
          <w:divBdr>
            <w:top w:val="none" w:sz="0" w:space="0" w:color="auto"/>
            <w:left w:val="none" w:sz="0" w:space="0" w:color="auto"/>
            <w:bottom w:val="none" w:sz="0" w:space="0" w:color="auto"/>
            <w:right w:val="none" w:sz="0" w:space="0" w:color="auto"/>
          </w:divBdr>
        </w:div>
        <w:div w:id="1807702401">
          <w:marLeft w:val="0"/>
          <w:marRight w:val="0"/>
          <w:marTop w:val="0"/>
          <w:marBottom w:val="0"/>
          <w:divBdr>
            <w:top w:val="none" w:sz="0" w:space="0" w:color="auto"/>
            <w:left w:val="none" w:sz="0" w:space="0" w:color="auto"/>
            <w:bottom w:val="none" w:sz="0" w:space="0" w:color="auto"/>
            <w:right w:val="none" w:sz="0" w:space="0" w:color="auto"/>
          </w:divBdr>
        </w:div>
      </w:divsChild>
    </w:div>
    <w:div w:id="1111781394">
      <w:bodyDiv w:val="1"/>
      <w:marLeft w:val="0"/>
      <w:marRight w:val="0"/>
      <w:marTop w:val="0"/>
      <w:marBottom w:val="0"/>
      <w:divBdr>
        <w:top w:val="none" w:sz="0" w:space="0" w:color="auto"/>
        <w:left w:val="none" w:sz="0" w:space="0" w:color="auto"/>
        <w:bottom w:val="none" w:sz="0" w:space="0" w:color="auto"/>
        <w:right w:val="none" w:sz="0" w:space="0" w:color="auto"/>
      </w:divBdr>
      <w:divsChild>
        <w:div w:id="66727533">
          <w:marLeft w:val="0"/>
          <w:marRight w:val="0"/>
          <w:marTop w:val="0"/>
          <w:marBottom w:val="0"/>
          <w:divBdr>
            <w:top w:val="none" w:sz="0" w:space="0" w:color="auto"/>
            <w:left w:val="none" w:sz="0" w:space="0" w:color="auto"/>
            <w:bottom w:val="none" w:sz="0" w:space="0" w:color="auto"/>
            <w:right w:val="none" w:sz="0" w:space="0" w:color="auto"/>
          </w:divBdr>
        </w:div>
        <w:div w:id="853499392">
          <w:marLeft w:val="0"/>
          <w:marRight w:val="0"/>
          <w:marTop w:val="0"/>
          <w:marBottom w:val="0"/>
          <w:divBdr>
            <w:top w:val="none" w:sz="0" w:space="0" w:color="auto"/>
            <w:left w:val="none" w:sz="0" w:space="0" w:color="auto"/>
            <w:bottom w:val="none" w:sz="0" w:space="0" w:color="auto"/>
            <w:right w:val="none" w:sz="0" w:space="0" w:color="auto"/>
          </w:divBdr>
        </w:div>
      </w:divsChild>
    </w:div>
    <w:div w:id="1138956077">
      <w:bodyDiv w:val="1"/>
      <w:marLeft w:val="0"/>
      <w:marRight w:val="0"/>
      <w:marTop w:val="0"/>
      <w:marBottom w:val="0"/>
      <w:divBdr>
        <w:top w:val="none" w:sz="0" w:space="0" w:color="auto"/>
        <w:left w:val="none" w:sz="0" w:space="0" w:color="auto"/>
        <w:bottom w:val="none" w:sz="0" w:space="0" w:color="auto"/>
        <w:right w:val="none" w:sz="0" w:space="0" w:color="auto"/>
      </w:divBdr>
      <w:divsChild>
        <w:div w:id="2141682764">
          <w:marLeft w:val="0"/>
          <w:marRight w:val="0"/>
          <w:marTop w:val="0"/>
          <w:marBottom w:val="0"/>
          <w:divBdr>
            <w:top w:val="none" w:sz="0" w:space="0" w:color="auto"/>
            <w:left w:val="none" w:sz="0" w:space="0" w:color="auto"/>
            <w:bottom w:val="none" w:sz="0" w:space="0" w:color="auto"/>
            <w:right w:val="none" w:sz="0" w:space="0" w:color="auto"/>
          </w:divBdr>
        </w:div>
        <w:div w:id="641497965">
          <w:marLeft w:val="0"/>
          <w:marRight w:val="0"/>
          <w:marTop w:val="0"/>
          <w:marBottom w:val="0"/>
          <w:divBdr>
            <w:top w:val="none" w:sz="0" w:space="0" w:color="auto"/>
            <w:left w:val="none" w:sz="0" w:space="0" w:color="auto"/>
            <w:bottom w:val="none" w:sz="0" w:space="0" w:color="auto"/>
            <w:right w:val="none" w:sz="0" w:space="0" w:color="auto"/>
          </w:divBdr>
        </w:div>
        <w:div w:id="779639832">
          <w:marLeft w:val="0"/>
          <w:marRight w:val="0"/>
          <w:marTop w:val="0"/>
          <w:marBottom w:val="0"/>
          <w:divBdr>
            <w:top w:val="none" w:sz="0" w:space="0" w:color="auto"/>
            <w:left w:val="none" w:sz="0" w:space="0" w:color="auto"/>
            <w:bottom w:val="none" w:sz="0" w:space="0" w:color="auto"/>
            <w:right w:val="none" w:sz="0" w:space="0" w:color="auto"/>
          </w:divBdr>
        </w:div>
        <w:div w:id="608391265">
          <w:marLeft w:val="0"/>
          <w:marRight w:val="0"/>
          <w:marTop w:val="0"/>
          <w:marBottom w:val="0"/>
          <w:divBdr>
            <w:top w:val="none" w:sz="0" w:space="0" w:color="auto"/>
            <w:left w:val="none" w:sz="0" w:space="0" w:color="auto"/>
            <w:bottom w:val="none" w:sz="0" w:space="0" w:color="auto"/>
            <w:right w:val="none" w:sz="0" w:space="0" w:color="auto"/>
          </w:divBdr>
        </w:div>
        <w:div w:id="754323369">
          <w:marLeft w:val="0"/>
          <w:marRight w:val="0"/>
          <w:marTop w:val="0"/>
          <w:marBottom w:val="0"/>
          <w:divBdr>
            <w:top w:val="none" w:sz="0" w:space="0" w:color="auto"/>
            <w:left w:val="none" w:sz="0" w:space="0" w:color="auto"/>
            <w:bottom w:val="none" w:sz="0" w:space="0" w:color="auto"/>
            <w:right w:val="none" w:sz="0" w:space="0" w:color="auto"/>
          </w:divBdr>
        </w:div>
      </w:divsChild>
    </w:div>
    <w:div w:id="1225991193">
      <w:bodyDiv w:val="1"/>
      <w:marLeft w:val="0"/>
      <w:marRight w:val="0"/>
      <w:marTop w:val="0"/>
      <w:marBottom w:val="0"/>
      <w:divBdr>
        <w:top w:val="none" w:sz="0" w:space="0" w:color="auto"/>
        <w:left w:val="none" w:sz="0" w:space="0" w:color="auto"/>
        <w:bottom w:val="none" w:sz="0" w:space="0" w:color="auto"/>
        <w:right w:val="none" w:sz="0" w:space="0" w:color="auto"/>
      </w:divBdr>
      <w:divsChild>
        <w:div w:id="2036079529">
          <w:marLeft w:val="0"/>
          <w:marRight w:val="0"/>
          <w:marTop w:val="0"/>
          <w:marBottom w:val="0"/>
          <w:divBdr>
            <w:top w:val="none" w:sz="0" w:space="0" w:color="auto"/>
            <w:left w:val="none" w:sz="0" w:space="0" w:color="auto"/>
            <w:bottom w:val="none" w:sz="0" w:space="0" w:color="auto"/>
            <w:right w:val="none" w:sz="0" w:space="0" w:color="auto"/>
          </w:divBdr>
        </w:div>
      </w:divsChild>
    </w:div>
    <w:div w:id="1263342264">
      <w:bodyDiv w:val="1"/>
      <w:marLeft w:val="0"/>
      <w:marRight w:val="0"/>
      <w:marTop w:val="0"/>
      <w:marBottom w:val="0"/>
      <w:divBdr>
        <w:top w:val="none" w:sz="0" w:space="0" w:color="auto"/>
        <w:left w:val="none" w:sz="0" w:space="0" w:color="auto"/>
        <w:bottom w:val="none" w:sz="0" w:space="0" w:color="auto"/>
        <w:right w:val="none" w:sz="0" w:space="0" w:color="auto"/>
      </w:divBdr>
      <w:divsChild>
        <w:div w:id="35275293">
          <w:marLeft w:val="0"/>
          <w:marRight w:val="0"/>
          <w:marTop w:val="0"/>
          <w:marBottom w:val="0"/>
          <w:divBdr>
            <w:top w:val="none" w:sz="0" w:space="0" w:color="auto"/>
            <w:left w:val="none" w:sz="0" w:space="0" w:color="auto"/>
            <w:bottom w:val="none" w:sz="0" w:space="0" w:color="auto"/>
            <w:right w:val="none" w:sz="0" w:space="0" w:color="auto"/>
          </w:divBdr>
        </w:div>
        <w:div w:id="1667787213">
          <w:marLeft w:val="0"/>
          <w:marRight w:val="0"/>
          <w:marTop w:val="0"/>
          <w:marBottom w:val="0"/>
          <w:divBdr>
            <w:top w:val="none" w:sz="0" w:space="0" w:color="auto"/>
            <w:left w:val="none" w:sz="0" w:space="0" w:color="auto"/>
            <w:bottom w:val="none" w:sz="0" w:space="0" w:color="auto"/>
            <w:right w:val="none" w:sz="0" w:space="0" w:color="auto"/>
          </w:divBdr>
        </w:div>
        <w:div w:id="1963413591">
          <w:marLeft w:val="0"/>
          <w:marRight w:val="0"/>
          <w:marTop w:val="0"/>
          <w:marBottom w:val="0"/>
          <w:divBdr>
            <w:top w:val="none" w:sz="0" w:space="0" w:color="auto"/>
            <w:left w:val="none" w:sz="0" w:space="0" w:color="auto"/>
            <w:bottom w:val="none" w:sz="0" w:space="0" w:color="auto"/>
            <w:right w:val="none" w:sz="0" w:space="0" w:color="auto"/>
          </w:divBdr>
        </w:div>
      </w:divsChild>
    </w:div>
    <w:div w:id="1340692592">
      <w:bodyDiv w:val="1"/>
      <w:marLeft w:val="0"/>
      <w:marRight w:val="0"/>
      <w:marTop w:val="0"/>
      <w:marBottom w:val="0"/>
      <w:divBdr>
        <w:top w:val="none" w:sz="0" w:space="0" w:color="auto"/>
        <w:left w:val="none" w:sz="0" w:space="0" w:color="auto"/>
        <w:bottom w:val="none" w:sz="0" w:space="0" w:color="auto"/>
        <w:right w:val="none" w:sz="0" w:space="0" w:color="auto"/>
      </w:divBdr>
      <w:divsChild>
        <w:div w:id="615598144">
          <w:marLeft w:val="0"/>
          <w:marRight w:val="0"/>
          <w:marTop w:val="0"/>
          <w:marBottom w:val="0"/>
          <w:divBdr>
            <w:top w:val="none" w:sz="0" w:space="0" w:color="auto"/>
            <w:left w:val="none" w:sz="0" w:space="0" w:color="auto"/>
            <w:bottom w:val="none" w:sz="0" w:space="0" w:color="auto"/>
            <w:right w:val="none" w:sz="0" w:space="0" w:color="auto"/>
          </w:divBdr>
        </w:div>
        <w:div w:id="1368026001">
          <w:marLeft w:val="0"/>
          <w:marRight w:val="0"/>
          <w:marTop w:val="0"/>
          <w:marBottom w:val="0"/>
          <w:divBdr>
            <w:top w:val="none" w:sz="0" w:space="0" w:color="auto"/>
            <w:left w:val="none" w:sz="0" w:space="0" w:color="auto"/>
            <w:bottom w:val="none" w:sz="0" w:space="0" w:color="auto"/>
            <w:right w:val="none" w:sz="0" w:space="0" w:color="auto"/>
          </w:divBdr>
        </w:div>
        <w:div w:id="880478083">
          <w:marLeft w:val="0"/>
          <w:marRight w:val="0"/>
          <w:marTop w:val="0"/>
          <w:marBottom w:val="0"/>
          <w:divBdr>
            <w:top w:val="none" w:sz="0" w:space="0" w:color="auto"/>
            <w:left w:val="none" w:sz="0" w:space="0" w:color="auto"/>
            <w:bottom w:val="none" w:sz="0" w:space="0" w:color="auto"/>
            <w:right w:val="none" w:sz="0" w:space="0" w:color="auto"/>
          </w:divBdr>
        </w:div>
        <w:div w:id="761995608">
          <w:marLeft w:val="0"/>
          <w:marRight w:val="0"/>
          <w:marTop w:val="0"/>
          <w:marBottom w:val="0"/>
          <w:divBdr>
            <w:top w:val="none" w:sz="0" w:space="0" w:color="auto"/>
            <w:left w:val="none" w:sz="0" w:space="0" w:color="auto"/>
            <w:bottom w:val="none" w:sz="0" w:space="0" w:color="auto"/>
            <w:right w:val="none" w:sz="0" w:space="0" w:color="auto"/>
          </w:divBdr>
        </w:div>
      </w:divsChild>
    </w:div>
    <w:div w:id="1512254632">
      <w:bodyDiv w:val="1"/>
      <w:marLeft w:val="0"/>
      <w:marRight w:val="0"/>
      <w:marTop w:val="0"/>
      <w:marBottom w:val="0"/>
      <w:divBdr>
        <w:top w:val="none" w:sz="0" w:space="0" w:color="auto"/>
        <w:left w:val="none" w:sz="0" w:space="0" w:color="auto"/>
        <w:bottom w:val="none" w:sz="0" w:space="0" w:color="auto"/>
        <w:right w:val="none" w:sz="0" w:space="0" w:color="auto"/>
      </w:divBdr>
      <w:divsChild>
        <w:div w:id="351539577">
          <w:marLeft w:val="0"/>
          <w:marRight w:val="0"/>
          <w:marTop w:val="0"/>
          <w:marBottom w:val="0"/>
          <w:divBdr>
            <w:top w:val="none" w:sz="0" w:space="0" w:color="auto"/>
            <w:left w:val="none" w:sz="0" w:space="0" w:color="auto"/>
            <w:bottom w:val="none" w:sz="0" w:space="0" w:color="auto"/>
            <w:right w:val="none" w:sz="0" w:space="0" w:color="auto"/>
          </w:divBdr>
        </w:div>
        <w:div w:id="1537885297">
          <w:marLeft w:val="0"/>
          <w:marRight w:val="0"/>
          <w:marTop w:val="0"/>
          <w:marBottom w:val="0"/>
          <w:divBdr>
            <w:top w:val="none" w:sz="0" w:space="0" w:color="auto"/>
            <w:left w:val="none" w:sz="0" w:space="0" w:color="auto"/>
            <w:bottom w:val="none" w:sz="0" w:space="0" w:color="auto"/>
            <w:right w:val="none" w:sz="0" w:space="0" w:color="auto"/>
          </w:divBdr>
        </w:div>
        <w:div w:id="800195288">
          <w:marLeft w:val="0"/>
          <w:marRight w:val="0"/>
          <w:marTop w:val="0"/>
          <w:marBottom w:val="0"/>
          <w:divBdr>
            <w:top w:val="none" w:sz="0" w:space="0" w:color="auto"/>
            <w:left w:val="none" w:sz="0" w:space="0" w:color="auto"/>
            <w:bottom w:val="none" w:sz="0" w:space="0" w:color="auto"/>
            <w:right w:val="none" w:sz="0" w:space="0" w:color="auto"/>
          </w:divBdr>
        </w:div>
        <w:div w:id="641154195">
          <w:marLeft w:val="0"/>
          <w:marRight w:val="0"/>
          <w:marTop w:val="0"/>
          <w:marBottom w:val="0"/>
          <w:divBdr>
            <w:top w:val="none" w:sz="0" w:space="0" w:color="auto"/>
            <w:left w:val="none" w:sz="0" w:space="0" w:color="auto"/>
            <w:bottom w:val="none" w:sz="0" w:space="0" w:color="auto"/>
            <w:right w:val="none" w:sz="0" w:space="0" w:color="auto"/>
          </w:divBdr>
        </w:div>
        <w:div w:id="1536886857">
          <w:marLeft w:val="0"/>
          <w:marRight w:val="0"/>
          <w:marTop w:val="0"/>
          <w:marBottom w:val="0"/>
          <w:divBdr>
            <w:top w:val="none" w:sz="0" w:space="0" w:color="auto"/>
            <w:left w:val="none" w:sz="0" w:space="0" w:color="auto"/>
            <w:bottom w:val="none" w:sz="0" w:space="0" w:color="auto"/>
            <w:right w:val="none" w:sz="0" w:space="0" w:color="auto"/>
          </w:divBdr>
        </w:div>
        <w:div w:id="1568219878">
          <w:marLeft w:val="0"/>
          <w:marRight w:val="0"/>
          <w:marTop w:val="0"/>
          <w:marBottom w:val="0"/>
          <w:divBdr>
            <w:top w:val="none" w:sz="0" w:space="0" w:color="auto"/>
            <w:left w:val="none" w:sz="0" w:space="0" w:color="auto"/>
            <w:bottom w:val="none" w:sz="0" w:space="0" w:color="auto"/>
            <w:right w:val="none" w:sz="0" w:space="0" w:color="auto"/>
          </w:divBdr>
        </w:div>
      </w:divsChild>
    </w:div>
    <w:div w:id="1530407694">
      <w:bodyDiv w:val="1"/>
      <w:marLeft w:val="0"/>
      <w:marRight w:val="0"/>
      <w:marTop w:val="0"/>
      <w:marBottom w:val="0"/>
      <w:divBdr>
        <w:top w:val="none" w:sz="0" w:space="0" w:color="auto"/>
        <w:left w:val="none" w:sz="0" w:space="0" w:color="auto"/>
        <w:bottom w:val="none" w:sz="0" w:space="0" w:color="auto"/>
        <w:right w:val="none" w:sz="0" w:space="0" w:color="auto"/>
      </w:divBdr>
      <w:divsChild>
        <w:div w:id="167647046">
          <w:marLeft w:val="0"/>
          <w:marRight w:val="0"/>
          <w:marTop w:val="0"/>
          <w:marBottom w:val="0"/>
          <w:divBdr>
            <w:top w:val="none" w:sz="0" w:space="0" w:color="auto"/>
            <w:left w:val="none" w:sz="0" w:space="0" w:color="auto"/>
            <w:bottom w:val="none" w:sz="0" w:space="0" w:color="auto"/>
            <w:right w:val="none" w:sz="0" w:space="0" w:color="auto"/>
          </w:divBdr>
        </w:div>
      </w:divsChild>
    </w:div>
    <w:div w:id="1637104856">
      <w:bodyDiv w:val="1"/>
      <w:marLeft w:val="0"/>
      <w:marRight w:val="0"/>
      <w:marTop w:val="0"/>
      <w:marBottom w:val="0"/>
      <w:divBdr>
        <w:top w:val="none" w:sz="0" w:space="0" w:color="auto"/>
        <w:left w:val="none" w:sz="0" w:space="0" w:color="auto"/>
        <w:bottom w:val="none" w:sz="0" w:space="0" w:color="auto"/>
        <w:right w:val="none" w:sz="0" w:space="0" w:color="auto"/>
      </w:divBdr>
      <w:divsChild>
        <w:div w:id="683094005">
          <w:marLeft w:val="0"/>
          <w:marRight w:val="0"/>
          <w:marTop w:val="0"/>
          <w:marBottom w:val="0"/>
          <w:divBdr>
            <w:top w:val="none" w:sz="0" w:space="0" w:color="auto"/>
            <w:left w:val="none" w:sz="0" w:space="0" w:color="auto"/>
            <w:bottom w:val="none" w:sz="0" w:space="0" w:color="auto"/>
            <w:right w:val="none" w:sz="0" w:space="0" w:color="auto"/>
          </w:divBdr>
        </w:div>
      </w:divsChild>
    </w:div>
    <w:div w:id="1727802783">
      <w:bodyDiv w:val="1"/>
      <w:marLeft w:val="0"/>
      <w:marRight w:val="0"/>
      <w:marTop w:val="0"/>
      <w:marBottom w:val="0"/>
      <w:divBdr>
        <w:top w:val="none" w:sz="0" w:space="0" w:color="auto"/>
        <w:left w:val="none" w:sz="0" w:space="0" w:color="auto"/>
        <w:bottom w:val="none" w:sz="0" w:space="0" w:color="auto"/>
        <w:right w:val="none" w:sz="0" w:space="0" w:color="auto"/>
      </w:divBdr>
      <w:divsChild>
        <w:div w:id="665398530">
          <w:marLeft w:val="0"/>
          <w:marRight w:val="0"/>
          <w:marTop w:val="0"/>
          <w:marBottom w:val="0"/>
          <w:divBdr>
            <w:top w:val="none" w:sz="0" w:space="0" w:color="auto"/>
            <w:left w:val="none" w:sz="0" w:space="0" w:color="auto"/>
            <w:bottom w:val="none" w:sz="0" w:space="0" w:color="auto"/>
            <w:right w:val="none" w:sz="0" w:space="0" w:color="auto"/>
          </w:divBdr>
        </w:div>
        <w:div w:id="919994501">
          <w:marLeft w:val="0"/>
          <w:marRight w:val="0"/>
          <w:marTop w:val="0"/>
          <w:marBottom w:val="0"/>
          <w:divBdr>
            <w:top w:val="none" w:sz="0" w:space="0" w:color="auto"/>
            <w:left w:val="none" w:sz="0" w:space="0" w:color="auto"/>
            <w:bottom w:val="none" w:sz="0" w:space="0" w:color="auto"/>
            <w:right w:val="none" w:sz="0" w:space="0" w:color="auto"/>
          </w:divBdr>
        </w:div>
      </w:divsChild>
    </w:div>
    <w:div w:id="1861778930">
      <w:bodyDiv w:val="1"/>
      <w:marLeft w:val="0"/>
      <w:marRight w:val="0"/>
      <w:marTop w:val="0"/>
      <w:marBottom w:val="0"/>
      <w:divBdr>
        <w:top w:val="none" w:sz="0" w:space="0" w:color="auto"/>
        <w:left w:val="none" w:sz="0" w:space="0" w:color="auto"/>
        <w:bottom w:val="none" w:sz="0" w:space="0" w:color="auto"/>
        <w:right w:val="none" w:sz="0" w:space="0" w:color="auto"/>
      </w:divBdr>
      <w:divsChild>
        <w:div w:id="658535132">
          <w:marLeft w:val="0"/>
          <w:marRight w:val="0"/>
          <w:marTop w:val="0"/>
          <w:marBottom w:val="0"/>
          <w:divBdr>
            <w:top w:val="none" w:sz="0" w:space="0" w:color="auto"/>
            <w:left w:val="none" w:sz="0" w:space="0" w:color="auto"/>
            <w:bottom w:val="none" w:sz="0" w:space="0" w:color="auto"/>
            <w:right w:val="none" w:sz="0" w:space="0" w:color="auto"/>
          </w:divBdr>
        </w:div>
        <w:div w:id="2041856682">
          <w:marLeft w:val="0"/>
          <w:marRight w:val="0"/>
          <w:marTop w:val="0"/>
          <w:marBottom w:val="0"/>
          <w:divBdr>
            <w:top w:val="none" w:sz="0" w:space="0" w:color="auto"/>
            <w:left w:val="none" w:sz="0" w:space="0" w:color="auto"/>
            <w:bottom w:val="none" w:sz="0" w:space="0" w:color="auto"/>
            <w:right w:val="none" w:sz="0" w:space="0" w:color="auto"/>
          </w:divBdr>
        </w:div>
        <w:div w:id="133915262">
          <w:marLeft w:val="0"/>
          <w:marRight w:val="0"/>
          <w:marTop w:val="0"/>
          <w:marBottom w:val="0"/>
          <w:divBdr>
            <w:top w:val="none" w:sz="0" w:space="0" w:color="auto"/>
            <w:left w:val="none" w:sz="0" w:space="0" w:color="auto"/>
            <w:bottom w:val="none" w:sz="0" w:space="0" w:color="auto"/>
            <w:right w:val="none" w:sz="0" w:space="0" w:color="auto"/>
          </w:divBdr>
        </w:div>
        <w:div w:id="863176076">
          <w:marLeft w:val="0"/>
          <w:marRight w:val="0"/>
          <w:marTop w:val="0"/>
          <w:marBottom w:val="0"/>
          <w:divBdr>
            <w:top w:val="none" w:sz="0" w:space="0" w:color="auto"/>
            <w:left w:val="none" w:sz="0" w:space="0" w:color="auto"/>
            <w:bottom w:val="none" w:sz="0" w:space="0" w:color="auto"/>
            <w:right w:val="none" w:sz="0" w:space="0" w:color="auto"/>
          </w:divBdr>
        </w:div>
        <w:div w:id="1715040529">
          <w:marLeft w:val="0"/>
          <w:marRight w:val="0"/>
          <w:marTop w:val="0"/>
          <w:marBottom w:val="0"/>
          <w:divBdr>
            <w:top w:val="none" w:sz="0" w:space="0" w:color="auto"/>
            <w:left w:val="none" w:sz="0" w:space="0" w:color="auto"/>
            <w:bottom w:val="none" w:sz="0" w:space="0" w:color="auto"/>
            <w:right w:val="none" w:sz="0" w:space="0" w:color="auto"/>
          </w:divBdr>
        </w:div>
        <w:div w:id="1281448295">
          <w:marLeft w:val="0"/>
          <w:marRight w:val="0"/>
          <w:marTop w:val="0"/>
          <w:marBottom w:val="0"/>
          <w:divBdr>
            <w:top w:val="none" w:sz="0" w:space="0" w:color="auto"/>
            <w:left w:val="none" w:sz="0" w:space="0" w:color="auto"/>
            <w:bottom w:val="none" w:sz="0" w:space="0" w:color="auto"/>
            <w:right w:val="none" w:sz="0" w:space="0" w:color="auto"/>
          </w:divBdr>
        </w:div>
      </w:divsChild>
    </w:div>
    <w:div w:id="1882017329">
      <w:bodyDiv w:val="1"/>
      <w:marLeft w:val="0"/>
      <w:marRight w:val="0"/>
      <w:marTop w:val="0"/>
      <w:marBottom w:val="0"/>
      <w:divBdr>
        <w:top w:val="none" w:sz="0" w:space="0" w:color="auto"/>
        <w:left w:val="none" w:sz="0" w:space="0" w:color="auto"/>
        <w:bottom w:val="none" w:sz="0" w:space="0" w:color="auto"/>
        <w:right w:val="none" w:sz="0" w:space="0" w:color="auto"/>
      </w:divBdr>
      <w:divsChild>
        <w:div w:id="1440639491">
          <w:marLeft w:val="0"/>
          <w:marRight w:val="0"/>
          <w:marTop w:val="0"/>
          <w:marBottom w:val="0"/>
          <w:divBdr>
            <w:top w:val="none" w:sz="0" w:space="0" w:color="auto"/>
            <w:left w:val="none" w:sz="0" w:space="0" w:color="auto"/>
            <w:bottom w:val="none" w:sz="0" w:space="0" w:color="auto"/>
            <w:right w:val="none" w:sz="0" w:space="0" w:color="auto"/>
          </w:divBdr>
        </w:div>
        <w:div w:id="703749845">
          <w:marLeft w:val="0"/>
          <w:marRight w:val="0"/>
          <w:marTop w:val="0"/>
          <w:marBottom w:val="0"/>
          <w:divBdr>
            <w:top w:val="none" w:sz="0" w:space="0" w:color="auto"/>
            <w:left w:val="none" w:sz="0" w:space="0" w:color="auto"/>
            <w:bottom w:val="none" w:sz="0" w:space="0" w:color="auto"/>
            <w:right w:val="none" w:sz="0" w:space="0" w:color="auto"/>
          </w:divBdr>
        </w:div>
        <w:div w:id="731923120">
          <w:marLeft w:val="0"/>
          <w:marRight w:val="0"/>
          <w:marTop w:val="0"/>
          <w:marBottom w:val="0"/>
          <w:divBdr>
            <w:top w:val="none" w:sz="0" w:space="0" w:color="auto"/>
            <w:left w:val="none" w:sz="0" w:space="0" w:color="auto"/>
            <w:bottom w:val="none" w:sz="0" w:space="0" w:color="auto"/>
            <w:right w:val="none" w:sz="0" w:space="0" w:color="auto"/>
          </w:divBdr>
        </w:div>
        <w:div w:id="1811442174">
          <w:marLeft w:val="0"/>
          <w:marRight w:val="0"/>
          <w:marTop w:val="0"/>
          <w:marBottom w:val="0"/>
          <w:divBdr>
            <w:top w:val="none" w:sz="0" w:space="0" w:color="auto"/>
            <w:left w:val="none" w:sz="0" w:space="0" w:color="auto"/>
            <w:bottom w:val="none" w:sz="0" w:space="0" w:color="auto"/>
            <w:right w:val="none" w:sz="0" w:space="0" w:color="auto"/>
          </w:divBdr>
        </w:div>
        <w:div w:id="1858230065">
          <w:marLeft w:val="0"/>
          <w:marRight w:val="0"/>
          <w:marTop w:val="0"/>
          <w:marBottom w:val="0"/>
          <w:divBdr>
            <w:top w:val="none" w:sz="0" w:space="0" w:color="auto"/>
            <w:left w:val="none" w:sz="0" w:space="0" w:color="auto"/>
            <w:bottom w:val="none" w:sz="0" w:space="0" w:color="auto"/>
            <w:right w:val="none" w:sz="0" w:space="0" w:color="auto"/>
          </w:divBdr>
        </w:div>
        <w:div w:id="592053781">
          <w:marLeft w:val="0"/>
          <w:marRight w:val="0"/>
          <w:marTop w:val="0"/>
          <w:marBottom w:val="0"/>
          <w:divBdr>
            <w:top w:val="none" w:sz="0" w:space="0" w:color="auto"/>
            <w:left w:val="none" w:sz="0" w:space="0" w:color="auto"/>
            <w:bottom w:val="none" w:sz="0" w:space="0" w:color="auto"/>
            <w:right w:val="none" w:sz="0" w:space="0" w:color="auto"/>
          </w:divBdr>
        </w:div>
      </w:divsChild>
    </w:div>
    <w:div w:id="1888637064">
      <w:bodyDiv w:val="1"/>
      <w:marLeft w:val="0"/>
      <w:marRight w:val="0"/>
      <w:marTop w:val="0"/>
      <w:marBottom w:val="0"/>
      <w:divBdr>
        <w:top w:val="none" w:sz="0" w:space="0" w:color="auto"/>
        <w:left w:val="none" w:sz="0" w:space="0" w:color="auto"/>
        <w:bottom w:val="none" w:sz="0" w:space="0" w:color="auto"/>
        <w:right w:val="none" w:sz="0" w:space="0" w:color="auto"/>
      </w:divBdr>
      <w:divsChild>
        <w:div w:id="1058824449">
          <w:marLeft w:val="0"/>
          <w:marRight w:val="0"/>
          <w:marTop w:val="0"/>
          <w:marBottom w:val="0"/>
          <w:divBdr>
            <w:top w:val="none" w:sz="0" w:space="0" w:color="auto"/>
            <w:left w:val="none" w:sz="0" w:space="0" w:color="auto"/>
            <w:bottom w:val="none" w:sz="0" w:space="0" w:color="auto"/>
            <w:right w:val="none" w:sz="0" w:space="0" w:color="auto"/>
          </w:divBdr>
        </w:div>
        <w:div w:id="304244840">
          <w:marLeft w:val="0"/>
          <w:marRight w:val="0"/>
          <w:marTop w:val="0"/>
          <w:marBottom w:val="0"/>
          <w:divBdr>
            <w:top w:val="none" w:sz="0" w:space="0" w:color="auto"/>
            <w:left w:val="none" w:sz="0" w:space="0" w:color="auto"/>
            <w:bottom w:val="none" w:sz="0" w:space="0" w:color="auto"/>
            <w:right w:val="none" w:sz="0" w:space="0" w:color="auto"/>
          </w:divBdr>
        </w:div>
        <w:div w:id="26824134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du.knotia.ca/Knowledge/Home.aspx?productID=114" TargetMode="External"/><Relationship Id="rId13" Type="http://schemas.openxmlformats.org/officeDocument/2006/relationships/hyperlink" Target="https://edu.knotia.ca/Knowledge/Home.aspx?productID=114" TargetMode="External"/><Relationship Id="rId18" Type="http://schemas.openxmlformats.org/officeDocument/2006/relationships/hyperlink" Target="https://www.knotia.ca/Knowledge/Home.aspx?productID=80" TargetMode="External"/><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hyperlink" Target="https://edu.knotia.ca/Knowledge/Home.aspx?productID=114" TargetMode="External"/><Relationship Id="rId17" Type="http://schemas.openxmlformats.org/officeDocument/2006/relationships/hyperlink" Target="https://www.knotia.ca/Knowledge/Home.aspx?productID=80" TargetMode="External"/><Relationship Id="rId2" Type="http://schemas.openxmlformats.org/officeDocument/2006/relationships/numbering" Target="numbering.xml"/><Relationship Id="rId16" Type="http://schemas.openxmlformats.org/officeDocument/2006/relationships/hyperlink" Target="https://edu.knotia.ca/Knowledge/Home.aspx?productID=114" TargetMode="External"/><Relationship Id="rId20" Type="http://schemas.openxmlformats.org/officeDocument/2006/relationships/hyperlink" Target="javascript:popupFootnote(918,15,41)"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javascript:document.k5doc.loadDocumentByGotoString(114,%20'IFRS%2015.73',%200,%20null,%20false,%20200104918)" TargetMode="External"/><Relationship Id="rId5" Type="http://schemas.openxmlformats.org/officeDocument/2006/relationships/webSettings" Target="webSettings.xml"/><Relationship Id="rId15" Type="http://schemas.openxmlformats.org/officeDocument/2006/relationships/hyperlink" Target="https://edu.knotia.ca/Knowledge/Home.aspx?productID=114" TargetMode="External"/><Relationship Id="rId23" Type="http://schemas.openxmlformats.org/officeDocument/2006/relationships/theme" Target="theme/theme1.xml"/><Relationship Id="rId10" Type="http://schemas.openxmlformats.org/officeDocument/2006/relationships/hyperlink" Target="https://edu.knotia.ca/Knowledge/Home.aspx?productID=114" TargetMode="External"/><Relationship Id="rId19" Type="http://schemas.openxmlformats.org/officeDocument/2006/relationships/hyperlink" Target="javascript:document.k5doc.loadDocumentByGotoString(114,%20'IAS%2037',%200,%20null,%20false,%20200104918)" TargetMode="External"/><Relationship Id="rId4" Type="http://schemas.openxmlformats.org/officeDocument/2006/relationships/settings" Target="settings.xml"/><Relationship Id="rId9" Type="http://schemas.openxmlformats.org/officeDocument/2006/relationships/hyperlink" Target="https://edu.knotia.ca/Knowledge/Home.aspx?productID=114" TargetMode="External"/><Relationship Id="rId14" Type="http://schemas.openxmlformats.org/officeDocument/2006/relationships/hyperlink" Target="https://edu.knotia.ca/Knowledge/Home.aspx?productID=114" TargetMode="External"/><Relationship Id="rId22"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B20D0A5-18D8-4E64-AB1E-B0BCC42E40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78</TotalTime>
  <Pages>8</Pages>
  <Words>3033</Words>
  <Characters>16684</Characters>
  <Application>Microsoft Office Word</Application>
  <DocSecurity>0</DocSecurity>
  <Lines>139</Lines>
  <Paragraphs>39</Paragraphs>
  <ScaleCrop>false</ScaleCrop>
  <HeadingPairs>
    <vt:vector size="2" baseType="variant">
      <vt:variant>
        <vt:lpstr>Titre</vt:lpstr>
      </vt:variant>
      <vt:variant>
        <vt:i4>1</vt:i4>
      </vt:variant>
    </vt:vector>
  </HeadingPairs>
  <TitlesOfParts>
    <vt:vector size="1" baseType="lpstr">
      <vt:lpstr/>
    </vt:vector>
  </TitlesOfParts>
  <Company>HEC Montréal</Company>
  <LinksUpToDate>false</LinksUpToDate>
  <CharactersWithSpaces>19678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frederique leblanc</dc:creator>
  <cp:keywords/>
  <dc:description/>
  <cp:lastModifiedBy>louise overbeek</cp:lastModifiedBy>
  <cp:revision>5</cp:revision>
  <cp:lastPrinted>2020-02-12T23:30:00Z</cp:lastPrinted>
  <dcterms:created xsi:type="dcterms:W3CDTF">2020-02-12T22:51:00Z</dcterms:created>
  <dcterms:modified xsi:type="dcterms:W3CDTF">2021-01-11T16:41:00Z</dcterms:modified>
</cp:coreProperties>
</file>