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FABEEE" w14:textId="77777777" w:rsidR="009D7FAF" w:rsidRPr="009D7FAF" w:rsidRDefault="009D7FAF" w:rsidP="009D7FAF">
      <w:pPr>
        <w:jc w:val="both"/>
        <w:rPr>
          <w:b/>
          <w:bCs/>
        </w:rPr>
      </w:pPr>
      <w:r w:rsidRPr="009D7FAF">
        <w:rPr>
          <w:b/>
          <w:bCs/>
        </w:rPr>
        <w:t>Cas Pièces Extra – exemple de réponse</w:t>
      </w:r>
    </w:p>
    <w:p w14:paraId="107B7CBE" w14:textId="77777777" w:rsidR="009D7FAF" w:rsidRDefault="009D7FAF" w:rsidP="009D7FAF">
      <w:pPr>
        <w:jc w:val="both"/>
      </w:pPr>
    </w:p>
    <w:p w14:paraId="6C6D350D" w14:textId="77777777" w:rsidR="008A3349" w:rsidRDefault="008A3349" w:rsidP="009D7FAF">
      <w:pPr>
        <w:jc w:val="both"/>
      </w:pPr>
      <w:r>
        <w:t xml:space="preserve">A : </w:t>
      </w:r>
      <w:r>
        <w:tab/>
        <w:t>Associé</w:t>
      </w:r>
    </w:p>
    <w:p w14:paraId="34991E1F" w14:textId="77777777" w:rsidR="008A3349" w:rsidRDefault="008A3349" w:rsidP="009D7FAF">
      <w:pPr>
        <w:jc w:val="both"/>
      </w:pPr>
      <w:r>
        <w:t xml:space="preserve">De : </w:t>
      </w:r>
      <w:r>
        <w:tab/>
        <w:t>CPA</w:t>
      </w:r>
    </w:p>
    <w:p w14:paraId="71256267" w14:textId="77777777" w:rsidR="008A3349" w:rsidRDefault="008A3349" w:rsidP="009D7FAF">
      <w:pPr>
        <w:jc w:val="both"/>
      </w:pPr>
      <w:r>
        <w:t>Objet :</w:t>
      </w:r>
      <w:r>
        <w:tab/>
        <w:t>Pièces Extra – enjeux comptables et correctifs</w:t>
      </w:r>
    </w:p>
    <w:p w14:paraId="423CECC6" w14:textId="77777777" w:rsidR="008A3349" w:rsidRDefault="008A3349" w:rsidP="009D7FAF">
      <w:pPr>
        <w:jc w:val="both"/>
        <w:rPr>
          <w:b/>
        </w:rPr>
      </w:pPr>
    </w:p>
    <w:p w14:paraId="36543C60" w14:textId="77777777" w:rsidR="008A3349" w:rsidRDefault="008A3349" w:rsidP="009D7FAF">
      <w:pPr>
        <w:jc w:val="both"/>
      </w:pPr>
      <w:r>
        <w:t xml:space="preserve">Mandat d’audit </w:t>
      </w:r>
      <w:proofErr w:type="gramStart"/>
      <w:r>
        <w:t>suite à une</w:t>
      </w:r>
      <w:proofErr w:type="gramEnd"/>
      <w:r>
        <w:t xml:space="preserve"> exigence de la banque : premier mandat</w:t>
      </w:r>
    </w:p>
    <w:p w14:paraId="589CFD8C" w14:textId="77777777" w:rsidR="008A3349" w:rsidRDefault="008A3349" w:rsidP="009D7FAF">
      <w:pPr>
        <w:jc w:val="both"/>
      </w:pPr>
      <w:r>
        <w:t>Adoption des NCECF : certains traitements actuels peut-être pas conformes aux NCECF</w:t>
      </w:r>
    </w:p>
    <w:p w14:paraId="19B7D96D" w14:textId="77777777" w:rsidR="008A3349" w:rsidRDefault="008A3349" w:rsidP="009D7FAF">
      <w:pPr>
        <w:jc w:val="both"/>
      </w:pPr>
    </w:p>
    <w:p w14:paraId="3D1CDDD9" w14:textId="77777777" w:rsidR="008A3349" w:rsidRDefault="008A3349" w:rsidP="009D7FAF">
      <w:pPr>
        <w:jc w:val="both"/>
      </w:pPr>
      <w:r>
        <w:t xml:space="preserve">Utilisateurs des EF : </w:t>
      </w:r>
    </w:p>
    <w:p w14:paraId="1777B0F7" w14:textId="77777777" w:rsidR="008A3349" w:rsidRDefault="008A3349" w:rsidP="009D7FAF">
      <w:pPr>
        <w:pStyle w:val="Paragraphedeliste"/>
        <w:numPr>
          <w:ilvl w:val="0"/>
          <w:numId w:val="3"/>
        </w:numPr>
        <w:jc w:val="both"/>
      </w:pPr>
      <w:proofErr w:type="gramStart"/>
      <w:r>
        <w:t>les</w:t>
      </w:r>
      <w:proofErr w:type="gramEnd"/>
      <w:r>
        <w:t xml:space="preserve"> deux actionnaires : voudront satisfaire la banque, présenter un bénéfice élevé</w:t>
      </w:r>
    </w:p>
    <w:p w14:paraId="65CCB31E" w14:textId="77777777" w:rsidR="008A3349" w:rsidRDefault="008A3349" w:rsidP="009D7FAF">
      <w:pPr>
        <w:pStyle w:val="Paragraphedeliste"/>
        <w:numPr>
          <w:ilvl w:val="0"/>
          <w:numId w:val="3"/>
        </w:numPr>
        <w:jc w:val="both"/>
      </w:pPr>
      <w:proofErr w:type="gramStart"/>
      <w:r>
        <w:t>la</w:t>
      </w:r>
      <w:proofErr w:type="gramEnd"/>
      <w:r>
        <w:t xml:space="preserve"> banque : respect des NCECF, portrait santé et performance financières réelles</w:t>
      </w:r>
    </w:p>
    <w:p w14:paraId="7900795C" w14:textId="532EF5CD" w:rsidR="008A3349" w:rsidRPr="00466D9E" w:rsidRDefault="00C21C88" w:rsidP="009D7FAF">
      <w:pPr>
        <w:jc w:val="both"/>
        <w:rPr>
          <w:b/>
          <w:i/>
          <w:iCs/>
        </w:rPr>
      </w:pPr>
      <w:r>
        <w:rPr>
          <w:b/>
          <w:i/>
          <w:iCs/>
        </w:rPr>
        <w:t xml:space="preserve">Il faut </w:t>
      </w:r>
      <w:r w:rsidR="00466D9E">
        <w:rPr>
          <w:b/>
          <w:i/>
          <w:iCs/>
        </w:rPr>
        <w:t>intégrer les utilisateurs (besoins, biais) dans l’analyse des enjeux comptables pour y accorder de la valeur</w:t>
      </w:r>
      <w:r w:rsidR="00C6002F">
        <w:rPr>
          <w:b/>
          <w:i/>
          <w:iCs/>
        </w:rPr>
        <w:t>.</w:t>
      </w:r>
    </w:p>
    <w:p w14:paraId="223CBB1B" w14:textId="77777777" w:rsidR="008A3349" w:rsidRDefault="008A3349" w:rsidP="009D7FAF">
      <w:pPr>
        <w:jc w:val="both"/>
        <w:rPr>
          <w:b/>
        </w:rPr>
      </w:pPr>
    </w:p>
    <w:p w14:paraId="0EE2B7E1" w14:textId="77777777" w:rsidR="0058571F" w:rsidRDefault="008A3349" w:rsidP="009D7FAF">
      <w:pPr>
        <w:jc w:val="both"/>
        <w:rPr>
          <w:b/>
        </w:rPr>
      </w:pPr>
      <w:r w:rsidRPr="00534009">
        <w:rPr>
          <w:b/>
          <w:u w:val="single"/>
        </w:rPr>
        <w:t>Mauvaise créance</w:t>
      </w:r>
      <w:r>
        <w:rPr>
          <w:b/>
          <w:u w:val="single"/>
        </w:rPr>
        <w:t xml:space="preserve"> -</w:t>
      </w:r>
      <w:r w:rsidR="0058571F">
        <w:rPr>
          <w:b/>
        </w:rPr>
        <w:t xml:space="preserve"> Mécanique</w:t>
      </w:r>
    </w:p>
    <w:p w14:paraId="2AB4E7A4" w14:textId="05690F46" w:rsidR="008A3349" w:rsidRDefault="008A3349" w:rsidP="009D7FAF">
      <w:pPr>
        <w:jc w:val="both"/>
      </w:pPr>
      <w:r>
        <w:t>Le 4 janvier 202</w:t>
      </w:r>
      <w:r w:rsidR="008E310F">
        <w:t>3</w:t>
      </w:r>
      <w:r>
        <w:t>, PEI a reçu un avis que client Mécanique a fait faillite et peu probable qu’un montant soit récupérable.</w:t>
      </w:r>
    </w:p>
    <w:p w14:paraId="79273B31" w14:textId="77777777" w:rsidR="008A3349" w:rsidRDefault="008A3349" w:rsidP="009D7FAF">
      <w:pPr>
        <w:jc w:val="both"/>
      </w:pPr>
      <w:r>
        <w:t>Avis reçu après la date de clôture et avant la mise au point des EF (4 jours après la clôture), donc événement postérieur à la date du bilan.</w:t>
      </w:r>
    </w:p>
    <w:p w14:paraId="7116C4FA" w14:textId="77777777" w:rsidR="008A3349" w:rsidRDefault="008A3349" w:rsidP="009D7FAF">
      <w:pPr>
        <w:jc w:val="both"/>
      </w:pPr>
      <w:r>
        <w:t xml:space="preserve">Selon 3820, par 07 : </w:t>
      </w:r>
    </w:p>
    <w:p w14:paraId="118FA688" w14:textId="77777777" w:rsidR="0058571F" w:rsidRPr="00D3583F" w:rsidRDefault="0058571F" w:rsidP="009D7FAF">
      <w:pPr>
        <w:jc w:val="both"/>
        <w:rPr>
          <w:rFonts w:ascii="Arial" w:hAnsi="Arial" w:cs="Arial"/>
          <w:i/>
          <w:iCs/>
          <w:color w:val="444444"/>
          <w:sz w:val="21"/>
          <w:szCs w:val="21"/>
          <w:shd w:val="clear" w:color="auto" w:fill="FFFFFF"/>
        </w:rPr>
      </w:pPr>
      <w:r>
        <w:rPr>
          <w:rFonts w:ascii="Arial" w:hAnsi="Arial" w:cs="Arial"/>
          <w:color w:val="444444"/>
          <w:sz w:val="21"/>
          <w:szCs w:val="21"/>
          <w:shd w:val="clear" w:color="auto" w:fill="FFFFFF"/>
        </w:rPr>
        <w:t>.07     </w:t>
      </w:r>
      <w:r>
        <w:rPr>
          <w:rFonts w:ascii="Arial" w:hAnsi="Arial" w:cs="Arial"/>
          <w:i/>
          <w:iCs/>
          <w:color w:val="444444"/>
          <w:sz w:val="21"/>
          <w:szCs w:val="21"/>
          <w:shd w:val="clear" w:color="auto" w:fill="FFFFFF"/>
        </w:rPr>
        <w:t>On doit ajuster les états financiers lorsque des événements survenus entre la date du bilan et la date de la mise au point définitive des états financiers fournissent un supplément d'information à l'égard de situations qui existaient à la date du bilan.</w:t>
      </w:r>
    </w:p>
    <w:p w14:paraId="4EF45EAF" w14:textId="7B674AB4" w:rsidR="008A3349" w:rsidRDefault="0058571F" w:rsidP="009D7FAF">
      <w:pPr>
        <w:jc w:val="both"/>
      </w:pPr>
      <w:r>
        <w:t xml:space="preserve">Les livraisons des 3 derniers mois n’avaient pas été payées et être mis sous la loi de la protection de la faillite n’est pas un événement qui survient instantanément, donc les difficultés financières de Mécanique existaient déjà au 31 décembre. </w:t>
      </w:r>
      <w:r w:rsidR="005727DC">
        <w:t>/ Le</w:t>
      </w:r>
      <w:r w:rsidR="008A3349" w:rsidRPr="00320F8A">
        <w:t xml:space="preserve"> fait que </w:t>
      </w:r>
      <w:r w:rsidR="008A3349">
        <w:t>le client ait fait faillite le 4 janvier 202</w:t>
      </w:r>
      <w:r w:rsidR="008E310F">
        <w:t>3</w:t>
      </w:r>
      <w:r w:rsidR="008A3349">
        <w:t xml:space="preserve">, soit seulement 4 jours après la clôture, supporte que la situation </w:t>
      </w:r>
      <w:proofErr w:type="gramStart"/>
      <w:r w:rsidR="008A3349">
        <w:t>existait</w:t>
      </w:r>
      <w:proofErr w:type="gramEnd"/>
      <w:r w:rsidR="008A3349">
        <w:t xml:space="preserve"> au 31 décembre 20</w:t>
      </w:r>
      <w:r w:rsidR="005727DC">
        <w:t>2</w:t>
      </w:r>
      <w:r w:rsidR="008E310F">
        <w:t>2</w:t>
      </w:r>
      <w:r w:rsidR="008A3349">
        <w:t>, la situation financière du client ne s’étant pas détériorée de façon aussi importante en seulement 4 jours.</w:t>
      </w:r>
      <w:r w:rsidR="00C911EB">
        <w:t xml:space="preserve"> Il faut donc corriger les états financiers du 31 décembre.</w:t>
      </w:r>
    </w:p>
    <w:p w14:paraId="50164638" w14:textId="0190B4BB" w:rsidR="00C911EB" w:rsidRDefault="00C911EB" w:rsidP="009D7FAF">
      <w:pPr>
        <w:jc w:val="both"/>
      </w:pPr>
    </w:p>
    <w:p w14:paraId="27720A01" w14:textId="58E067F2" w:rsidR="00C911EB" w:rsidRDefault="00C911EB" w:rsidP="009D7FAF">
      <w:pPr>
        <w:jc w:val="both"/>
      </w:pPr>
      <w:r>
        <w:t>Selon chap. 3856 :</w:t>
      </w:r>
    </w:p>
    <w:p w14:paraId="6F523378" w14:textId="77777777" w:rsidR="00C911EB" w:rsidRPr="008E310F" w:rsidRDefault="00C911EB" w:rsidP="00C911EB">
      <w:pPr>
        <w:pStyle w:val="NormalWeb"/>
        <w:spacing w:after="195" w:afterAutospacing="0"/>
        <w:rPr>
          <w:color w:val="0070C0"/>
        </w:rPr>
      </w:pPr>
      <w:r w:rsidRPr="008E310F">
        <w:rPr>
          <w:rFonts w:ascii="Arial" w:hAnsi="Arial" w:cs="Arial"/>
          <w:color w:val="0070C0"/>
          <w:sz w:val="22"/>
          <w:szCs w:val="22"/>
          <w:lang w:val="fr-CA"/>
        </w:rPr>
        <w:lastRenderedPageBreak/>
        <w:t>17     Sauf dans les cas précisés aux paragraphes 3856.17A et .17B, l'entreprise qui observe un changement défavorable important dans le calendrier ou le montant prévu des flux de trésorerie futurs d'un actif financier ou d'un groupe d'actifs financiers semblables doit réduire la valeur comptable de l'actif ou du groupe d'actifs au plus élevé des trois montants suivants : </w:t>
      </w:r>
    </w:p>
    <w:p w14:paraId="3F8D8498" w14:textId="77777777" w:rsidR="00C911EB" w:rsidRPr="008E310F" w:rsidRDefault="00C911EB" w:rsidP="00C911EB">
      <w:pPr>
        <w:pStyle w:val="NormalWeb"/>
        <w:spacing w:after="195" w:afterAutospacing="0"/>
        <w:rPr>
          <w:color w:val="0070C0"/>
        </w:rPr>
      </w:pPr>
      <w:r w:rsidRPr="008E310F">
        <w:rPr>
          <w:rFonts w:ascii="Arial" w:hAnsi="Arial" w:cs="Arial"/>
          <w:color w:val="0070C0"/>
          <w:sz w:val="22"/>
          <w:szCs w:val="22"/>
          <w:lang w:val="fr-CA"/>
        </w:rPr>
        <w:t>a)     la valeur actualisée des flux de trésorerie attendus de l'actif ou du groupe d'actifs, calculée au moyen d'un taux d'intérêt actuel du marché, approprié à cet actif ou à ce groupe d'actifs; </w:t>
      </w:r>
    </w:p>
    <w:p w14:paraId="33249AC1" w14:textId="77777777" w:rsidR="00C911EB" w:rsidRPr="008E310F" w:rsidRDefault="00C911EB" w:rsidP="00C911EB">
      <w:pPr>
        <w:pStyle w:val="NormalWeb"/>
        <w:spacing w:after="195" w:afterAutospacing="0"/>
        <w:rPr>
          <w:color w:val="0070C0"/>
        </w:rPr>
      </w:pPr>
      <w:r w:rsidRPr="008E310F">
        <w:rPr>
          <w:rFonts w:ascii="Arial" w:hAnsi="Arial" w:cs="Arial"/>
          <w:color w:val="0070C0"/>
          <w:sz w:val="22"/>
          <w:szCs w:val="22"/>
          <w:lang w:val="fr-CA"/>
        </w:rPr>
        <w:t>b)     le prix qu'elle pourrait obtenir de la vente de l'actif ou du groupe d'actifs à la date de clôture; </w:t>
      </w:r>
    </w:p>
    <w:p w14:paraId="1E51A84B" w14:textId="77777777" w:rsidR="00C911EB" w:rsidRDefault="00C911EB" w:rsidP="00C911EB">
      <w:pPr>
        <w:pStyle w:val="NormalWeb"/>
        <w:spacing w:after="195" w:afterAutospacing="0"/>
      </w:pPr>
      <w:r w:rsidRPr="008E310F">
        <w:rPr>
          <w:rFonts w:ascii="Arial" w:hAnsi="Arial" w:cs="Arial"/>
          <w:color w:val="0070C0"/>
          <w:sz w:val="22"/>
          <w:szCs w:val="22"/>
          <w:lang w:val="fr-CA"/>
        </w:rPr>
        <w:t>c)     la valeur de réalisation attendue de tout bien affecté en garantie du remboursement de l'actif ou du groupe d'actifs, nette de l'ensemble des coûts nécessaires à l'exercice de la garantie. </w:t>
      </w:r>
    </w:p>
    <w:p w14:paraId="3DB21858" w14:textId="77777777" w:rsidR="00C911EB" w:rsidRPr="008E310F" w:rsidRDefault="00C911EB" w:rsidP="008E310F">
      <w:pPr>
        <w:pStyle w:val="NormalWeb"/>
        <w:spacing w:after="195" w:afterAutospacing="0"/>
        <w:jc w:val="both"/>
        <w:rPr>
          <w:color w:val="0070C0"/>
        </w:rPr>
      </w:pPr>
      <w:r w:rsidRPr="008E310F">
        <w:rPr>
          <w:rFonts w:ascii="Arial" w:hAnsi="Arial" w:cs="Arial"/>
          <w:color w:val="0070C0"/>
          <w:sz w:val="22"/>
          <w:szCs w:val="22"/>
          <w:lang w:val="fr-CA"/>
        </w:rPr>
        <w:t xml:space="preserve">La valeur comptable de l'actif ou du groupe d'actifs doit être réduite, soit directement, soit par l'intermédiaire d'un compte de provision. </w:t>
      </w:r>
      <w:r w:rsidRPr="008E310F">
        <w:rPr>
          <w:rStyle w:val="lev"/>
          <w:rFonts w:ascii="Arial" w:hAnsi="Arial" w:cs="Arial"/>
          <w:color w:val="0070C0"/>
          <w:sz w:val="22"/>
          <w:szCs w:val="22"/>
          <w:lang w:val="fr-CA"/>
        </w:rPr>
        <w:t>Le montant de la réduction doit être comptabilisé en résultat net, à titre de moins-value. </w:t>
      </w:r>
    </w:p>
    <w:p w14:paraId="3B795FD6" w14:textId="3633CCA3" w:rsidR="00C911EB" w:rsidRDefault="00C911EB" w:rsidP="00C911EB">
      <w:pPr>
        <w:jc w:val="both"/>
      </w:pPr>
      <w:r>
        <w:t>L’information du syndic nous donne donc davantage d’informations relativement au montant recouvrable. Le syndic estime qu’il est peu probable qu’un montant soit récupérable, donc le compte à recevoir devrait être provisionné à 100 % / doit être radié. Il faudra corriger les états financiers 202</w:t>
      </w:r>
      <w:r w:rsidR="008E310F">
        <w:t>2</w:t>
      </w:r>
      <w:r>
        <w:t xml:space="preserve"> pour provisionner / radier le compte client de Mécanique et passer en charge à titre de mauvaise créance le montant de 25 000 $.</w:t>
      </w:r>
    </w:p>
    <w:p w14:paraId="50FDAA0A" w14:textId="77777777" w:rsidR="00C911EB" w:rsidRPr="00C911EB" w:rsidRDefault="00C911EB" w:rsidP="009D7FAF">
      <w:pPr>
        <w:jc w:val="both"/>
      </w:pPr>
    </w:p>
    <w:p w14:paraId="51EDE071" w14:textId="77777777" w:rsidR="008A3349" w:rsidRPr="008A3349" w:rsidRDefault="008A3349" w:rsidP="009D7FAF">
      <w:pPr>
        <w:jc w:val="both"/>
        <w:rPr>
          <w:b/>
          <w:u w:val="single"/>
        </w:rPr>
      </w:pPr>
      <w:r w:rsidRPr="008A3349">
        <w:rPr>
          <w:b/>
          <w:u w:val="single"/>
        </w:rPr>
        <w:t>Coût des stocks</w:t>
      </w:r>
    </w:p>
    <w:p w14:paraId="2DC82EA9" w14:textId="77777777" w:rsidR="0058571F" w:rsidRPr="008A3349" w:rsidRDefault="0058571F" w:rsidP="009D7FAF">
      <w:pPr>
        <w:jc w:val="both"/>
        <w:rPr>
          <w:i/>
          <w:iCs/>
          <w:u w:val="single"/>
        </w:rPr>
      </w:pPr>
      <w:r w:rsidRPr="008A3349">
        <w:rPr>
          <w:i/>
          <w:iCs/>
          <w:u w:val="single"/>
        </w:rPr>
        <w:t>Imputation des frais de location</w:t>
      </w:r>
    </w:p>
    <w:p w14:paraId="73B2DA8A" w14:textId="77777777" w:rsidR="0058571F" w:rsidRDefault="008A3349" w:rsidP="009D7FAF">
      <w:pPr>
        <w:jc w:val="both"/>
      </w:pPr>
      <w:r>
        <w:t>Selon chap.</w:t>
      </w:r>
      <w:r w:rsidR="0058571F">
        <w:t xml:space="preserve"> 3031</w:t>
      </w:r>
      <w:r>
        <w:t xml:space="preserve"> : </w:t>
      </w:r>
    </w:p>
    <w:p w14:paraId="2F76D579" w14:textId="77777777" w:rsidR="0058571F" w:rsidRPr="008E310F" w:rsidRDefault="0058571F" w:rsidP="009D7FAF">
      <w:pPr>
        <w:jc w:val="both"/>
        <w:rPr>
          <w:rFonts w:ascii="Arial" w:hAnsi="Arial" w:cs="Arial"/>
          <w:color w:val="0070C0"/>
          <w:sz w:val="21"/>
          <w:szCs w:val="21"/>
          <w:shd w:val="clear" w:color="auto" w:fill="FFFFFF"/>
        </w:rPr>
      </w:pPr>
      <w:r w:rsidRPr="008E310F">
        <w:rPr>
          <w:rFonts w:ascii="Arial" w:hAnsi="Arial" w:cs="Arial"/>
          <w:color w:val="0070C0"/>
          <w:sz w:val="21"/>
          <w:szCs w:val="21"/>
          <w:shd w:val="clear" w:color="auto" w:fill="FFFFFF"/>
        </w:rPr>
        <w:t>.13     Les coûts de transformation des stocks comprennent les coûts directement liés aux unités produites, tels que la main-d’œuvre directe. Ils comprennent également l'affectation systématique des frais généraux de production fixes et variables qui sont engagés pour transformer les matières premières en produits finis. Les frais généraux de production fixes sont les coûts indirects de production qui demeurent relativement constants indépendamment du volume de production, tels que l'amortissement et l'entretien des bâtiments et de l'équipement industriels, et les frais de gestion et d'administration de l'usine. </w:t>
      </w:r>
    </w:p>
    <w:p w14:paraId="7CE847D0" w14:textId="201BFE70" w:rsidR="0058571F" w:rsidRDefault="008A3349" w:rsidP="009D7FAF">
      <w:pPr>
        <w:jc w:val="both"/>
      </w:pPr>
      <w:r>
        <w:t>Les frais de location constituent des frais généraux de production, couverts par le par</w:t>
      </w:r>
      <w:r w:rsidR="005727DC">
        <w:t>.</w:t>
      </w:r>
      <w:r>
        <w:t xml:space="preserve"> 13. </w:t>
      </w:r>
      <w:r w:rsidR="0058571F">
        <w:t xml:space="preserve">Puisque le tiers </w:t>
      </w:r>
      <w:r w:rsidR="009D7FAF">
        <w:t>de l’espace du bâtiment</w:t>
      </w:r>
      <w:r w:rsidR="0058571F">
        <w:t xml:space="preserve"> de PEI est rattaché à la production, un montant mensuel de 1 000</w:t>
      </w:r>
      <w:r w:rsidR="005727DC">
        <w:t> </w:t>
      </w:r>
      <w:r w:rsidR="0058571F">
        <w:t xml:space="preserve">$ devrait être imputé aux coûts des fabrication des stocks. </w:t>
      </w:r>
      <w:r w:rsidR="009D7FAF">
        <w:t>Il faut donc ajuster le montant des stocks au bilan pour la portion non vendue des stocks fabriqués en date de fin de période, et présenter le solde dans le coût des ventes.</w:t>
      </w:r>
    </w:p>
    <w:p w14:paraId="7617F3FD" w14:textId="77777777" w:rsidR="0058571F" w:rsidRDefault="0058571F" w:rsidP="009D7FAF">
      <w:pPr>
        <w:jc w:val="both"/>
      </w:pPr>
    </w:p>
    <w:p w14:paraId="0FF833D0" w14:textId="77777777" w:rsidR="0058571F" w:rsidRDefault="0058571F" w:rsidP="009D7FAF">
      <w:pPr>
        <w:jc w:val="both"/>
        <w:rPr>
          <w:i/>
          <w:iCs/>
          <w:u w:val="single"/>
        </w:rPr>
      </w:pPr>
      <w:r w:rsidRPr="009D7FAF">
        <w:rPr>
          <w:i/>
          <w:iCs/>
          <w:u w:val="single"/>
        </w:rPr>
        <w:lastRenderedPageBreak/>
        <w:t>Fabrication pour Prévenant</w:t>
      </w:r>
    </w:p>
    <w:p w14:paraId="3FE872A0" w14:textId="77777777" w:rsidR="009D7FAF" w:rsidRDefault="009D7FAF" w:rsidP="009D7FAF">
      <w:pPr>
        <w:jc w:val="both"/>
      </w:pPr>
      <w:r>
        <w:t xml:space="preserve">Selon chap. 3031 : </w:t>
      </w:r>
    </w:p>
    <w:p w14:paraId="53824994" w14:textId="77777777" w:rsidR="009D7FAF" w:rsidRPr="008E310F" w:rsidRDefault="009D7FAF" w:rsidP="009D7FAF">
      <w:pPr>
        <w:pStyle w:val="paragraph"/>
        <w:spacing w:before="57" w:beforeAutospacing="0" w:after="57" w:afterAutospacing="0"/>
        <w:ind w:left="687" w:hanging="620"/>
        <w:jc w:val="both"/>
        <w:rPr>
          <w:rFonts w:ascii="&amp;quot" w:hAnsi="&amp;quot"/>
          <w:color w:val="0070C0"/>
          <w:sz w:val="21"/>
          <w:szCs w:val="21"/>
        </w:rPr>
      </w:pPr>
      <w:r w:rsidRPr="008E310F">
        <w:rPr>
          <w:rFonts w:ascii="&amp;quot" w:hAnsi="&amp;quot"/>
          <w:color w:val="0070C0"/>
          <w:sz w:val="21"/>
          <w:szCs w:val="21"/>
        </w:rPr>
        <w:t>.17     Exemples de coûts exclus du coût des stocks et comptabilisés en charges de la période au cours de laquelle ils sont engagés :</w:t>
      </w:r>
    </w:p>
    <w:p w14:paraId="484D8A5B" w14:textId="77777777" w:rsidR="009D7FAF" w:rsidRPr="008E310F" w:rsidRDefault="009D7FAF" w:rsidP="009D7FAF">
      <w:pPr>
        <w:pStyle w:val="bullet"/>
        <w:spacing w:before="57" w:beforeAutospacing="0" w:after="57" w:afterAutospacing="0"/>
        <w:ind w:left="1302" w:hanging="598"/>
        <w:jc w:val="both"/>
        <w:rPr>
          <w:rFonts w:ascii="&amp;quot" w:hAnsi="&amp;quot"/>
          <w:color w:val="0070C0"/>
          <w:sz w:val="21"/>
          <w:szCs w:val="21"/>
        </w:rPr>
      </w:pPr>
      <w:bookmarkStart w:id="0" w:name="para_39"/>
      <w:bookmarkEnd w:id="0"/>
      <w:r w:rsidRPr="008E310F">
        <w:rPr>
          <w:rFonts w:ascii="&amp;quot" w:hAnsi="&amp;quot"/>
          <w:color w:val="0070C0"/>
          <w:sz w:val="21"/>
          <w:szCs w:val="21"/>
        </w:rPr>
        <w:t xml:space="preserve">a)     montants anormaux de gaspillage de matières premières, de </w:t>
      </w:r>
      <w:proofErr w:type="spellStart"/>
      <w:r w:rsidRPr="008E310F">
        <w:rPr>
          <w:rFonts w:ascii="&amp;quot" w:hAnsi="&amp;quot"/>
          <w:color w:val="0070C0"/>
          <w:sz w:val="21"/>
          <w:szCs w:val="21"/>
        </w:rPr>
        <w:t>main-d'oeuvre</w:t>
      </w:r>
      <w:proofErr w:type="spellEnd"/>
      <w:r w:rsidRPr="008E310F">
        <w:rPr>
          <w:rFonts w:ascii="&amp;quot" w:hAnsi="&amp;quot"/>
          <w:color w:val="0070C0"/>
          <w:sz w:val="21"/>
          <w:szCs w:val="21"/>
        </w:rPr>
        <w:t xml:space="preserve"> ou d'autres facteurs de production;</w:t>
      </w:r>
    </w:p>
    <w:p w14:paraId="61C1ABDC" w14:textId="77777777" w:rsidR="009D7FAF" w:rsidRPr="008E310F" w:rsidRDefault="009D7FAF" w:rsidP="009D7FAF">
      <w:pPr>
        <w:pStyle w:val="bullet"/>
        <w:spacing w:before="57" w:beforeAutospacing="0" w:after="57" w:afterAutospacing="0"/>
        <w:ind w:left="1302" w:hanging="598"/>
        <w:jc w:val="both"/>
        <w:rPr>
          <w:rFonts w:ascii="&amp;quot" w:hAnsi="&amp;quot"/>
          <w:color w:val="0070C0"/>
          <w:sz w:val="21"/>
          <w:szCs w:val="21"/>
        </w:rPr>
      </w:pPr>
      <w:bookmarkStart w:id="1" w:name="para_40"/>
      <w:bookmarkEnd w:id="1"/>
      <w:r w:rsidRPr="008E310F">
        <w:rPr>
          <w:rFonts w:ascii="&amp;quot" w:hAnsi="&amp;quot"/>
          <w:color w:val="0070C0"/>
          <w:sz w:val="21"/>
          <w:szCs w:val="21"/>
        </w:rPr>
        <w:t>b)     coûts de stockage, à moins que ces coûts soient nécessaires au processus de production préalablement à une nouvelle étape de la production;</w:t>
      </w:r>
    </w:p>
    <w:p w14:paraId="5DEAF8DA" w14:textId="77777777" w:rsidR="009D7FAF" w:rsidRPr="008E310F" w:rsidRDefault="009D7FAF" w:rsidP="009D7FAF">
      <w:pPr>
        <w:pStyle w:val="bullet"/>
        <w:spacing w:before="57" w:beforeAutospacing="0" w:after="57" w:afterAutospacing="0"/>
        <w:ind w:left="1302" w:hanging="598"/>
        <w:jc w:val="both"/>
        <w:rPr>
          <w:rFonts w:ascii="&amp;quot" w:hAnsi="&amp;quot"/>
          <w:color w:val="0070C0"/>
          <w:sz w:val="21"/>
          <w:szCs w:val="21"/>
        </w:rPr>
      </w:pPr>
      <w:bookmarkStart w:id="2" w:name="para_41"/>
      <w:bookmarkEnd w:id="2"/>
      <w:r w:rsidRPr="008E310F">
        <w:rPr>
          <w:rFonts w:ascii="&amp;quot" w:hAnsi="&amp;quot"/>
          <w:color w:val="0070C0"/>
          <w:sz w:val="21"/>
          <w:szCs w:val="21"/>
        </w:rPr>
        <w:t>c)     frais généraux administratifs qui ne contribuent pas à amener les stocks à l'endroit et dans l'état où ils se trouvent; et</w:t>
      </w:r>
    </w:p>
    <w:p w14:paraId="1A59AC8C" w14:textId="77777777" w:rsidR="009D7FAF" w:rsidRPr="008E310F" w:rsidRDefault="009D7FAF" w:rsidP="009D7FAF">
      <w:pPr>
        <w:pStyle w:val="bullet"/>
        <w:spacing w:before="57" w:beforeAutospacing="0" w:after="57" w:afterAutospacing="0"/>
        <w:ind w:left="1302" w:hanging="598"/>
        <w:jc w:val="both"/>
        <w:rPr>
          <w:rFonts w:ascii="&amp;quot" w:hAnsi="&amp;quot"/>
          <w:color w:val="0070C0"/>
          <w:sz w:val="21"/>
          <w:szCs w:val="21"/>
        </w:rPr>
      </w:pPr>
      <w:bookmarkStart w:id="3" w:name="para_42"/>
      <w:bookmarkEnd w:id="3"/>
      <w:r w:rsidRPr="008E310F">
        <w:rPr>
          <w:rFonts w:ascii="&amp;quot" w:hAnsi="&amp;quot"/>
          <w:color w:val="0070C0"/>
          <w:sz w:val="21"/>
          <w:szCs w:val="21"/>
        </w:rPr>
        <w:t>d)     frais de commercialisation.</w:t>
      </w:r>
    </w:p>
    <w:p w14:paraId="7D3D392B" w14:textId="77777777" w:rsidR="009D7FAF" w:rsidRDefault="009D7FAF" w:rsidP="009D7FAF">
      <w:pPr>
        <w:jc w:val="both"/>
      </w:pPr>
      <w:r>
        <w:t>Selon 3131 par 17b, les frais d’entreposage de produits finis doivent être passés en charge et donc ne pas être capitalisés dans le coût des stocks. Or la pièce entreposée au coût de 800 $ était complétée et prête à être livrée, donc au stage de produit fini.</w:t>
      </w:r>
    </w:p>
    <w:p w14:paraId="30C71D4F" w14:textId="149F3E9C" w:rsidR="009D7FAF" w:rsidRDefault="009D7FAF" w:rsidP="009D7FAF">
      <w:pPr>
        <w:jc w:val="both"/>
      </w:pPr>
      <w:r>
        <w:t xml:space="preserve">Il faut donc corriger les </w:t>
      </w:r>
      <w:r w:rsidR="005727DC">
        <w:t>états financiers</w:t>
      </w:r>
      <w:r>
        <w:t xml:space="preserve"> 20</w:t>
      </w:r>
      <w:r w:rsidR="005727DC">
        <w:t>2</w:t>
      </w:r>
      <w:r w:rsidR="008E310F">
        <w:t>2</w:t>
      </w:r>
      <w:r>
        <w:t xml:space="preserve"> pour réduire les stocks de 800 $ et passer en charge dans le coût des ventes un montant de 400 $ pour le mois de décembre 20</w:t>
      </w:r>
      <w:r w:rsidR="005727DC">
        <w:t>2</w:t>
      </w:r>
      <w:r w:rsidR="008E310F">
        <w:t>2</w:t>
      </w:r>
      <w:r>
        <w:t xml:space="preserve"> ainsi qu’un montant de 400 $ dans les frais payés d’avance pour le mois de janvier 202</w:t>
      </w:r>
      <w:r w:rsidR="008E310F">
        <w:t>3</w:t>
      </w:r>
      <w:r>
        <w:t>.</w:t>
      </w:r>
    </w:p>
    <w:p w14:paraId="61BC2EBF" w14:textId="77777777" w:rsidR="009D7FAF" w:rsidRDefault="009D7FAF" w:rsidP="009D7FAF">
      <w:pPr>
        <w:jc w:val="both"/>
      </w:pPr>
    </w:p>
    <w:p w14:paraId="0B5A476E" w14:textId="57B8D506" w:rsidR="0058571F" w:rsidRDefault="00AE7F5B" w:rsidP="009D7FAF">
      <w:pPr>
        <w:jc w:val="both"/>
      </w:pPr>
      <w:r>
        <w:t>Selon chap. 3400, i</w:t>
      </w:r>
      <w:r w:rsidR="0058571F">
        <w:t xml:space="preserve">l ne s’agit pas d’une vente à livrer, car Prévenant n’assume pas les risques liés aux stocks avant leur livraison. D’ailleurs, c’est PEI qui assume les frais d’entreposage particuliers. </w:t>
      </w:r>
      <w:r w:rsidR="009D7FAF">
        <w:t>Le client</w:t>
      </w:r>
      <w:r w:rsidR="0058571F">
        <w:t xml:space="preserve"> n’a pas </w:t>
      </w:r>
      <w:r w:rsidR="005727DC">
        <w:t>demandé</w:t>
      </w:r>
      <w:r w:rsidR="0058571F">
        <w:t xml:space="preserve"> que la livraison soit retardée pour une raison particulière, mais demande plutôt </w:t>
      </w:r>
      <w:r w:rsidR="009D7FAF">
        <w:t>le respect des</w:t>
      </w:r>
      <w:r w:rsidR="0058571F">
        <w:t xml:space="preserve"> dates convenues </w:t>
      </w:r>
      <w:r w:rsidR="009D7FAF">
        <w:t>dans l’entente</w:t>
      </w:r>
      <w:r w:rsidR="0058571F">
        <w:t>. Dans ces circonstances, même si la fabrication est terminée, il n’est pas possible de constater la vente. Celle-ci doit être constatée uniquement lors de la livraison.</w:t>
      </w:r>
    </w:p>
    <w:p w14:paraId="21730BF9" w14:textId="77777777" w:rsidR="0058571F" w:rsidRDefault="0058571F" w:rsidP="009D7FAF">
      <w:pPr>
        <w:jc w:val="both"/>
      </w:pPr>
    </w:p>
    <w:p w14:paraId="559F0E19" w14:textId="77777777" w:rsidR="0058571F" w:rsidRPr="009D7FAF" w:rsidRDefault="0058571F" w:rsidP="009D7FAF">
      <w:pPr>
        <w:jc w:val="both"/>
        <w:rPr>
          <w:i/>
          <w:iCs/>
          <w:u w:val="single"/>
        </w:rPr>
      </w:pPr>
      <w:r w:rsidRPr="009D7FAF">
        <w:rPr>
          <w:i/>
          <w:iCs/>
          <w:u w:val="single"/>
        </w:rPr>
        <w:t>Pièces hollandaises</w:t>
      </w:r>
    </w:p>
    <w:p w14:paraId="51ECA93A" w14:textId="77777777" w:rsidR="0058571F" w:rsidRDefault="009D7FAF" w:rsidP="009D7FAF">
      <w:pPr>
        <w:tabs>
          <w:tab w:val="left" w:pos="990"/>
        </w:tabs>
        <w:jc w:val="both"/>
      </w:pPr>
      <w:r>
        <w:t>Selon chap.</w:t>
      </w:r>
      <w:r w:rsidR="0058571F">
        <w:t xml:space="preserve"> 1651</w:t>
      </w:r>
    </w:p>
    <w:p w14:paraId="7F24EF3B" w14:textId="77777777" w:rsidR="0058571F" w:rsidRPr="008E310F" w:rsidRDefault="0058571F" w:rsidP="009D7FAF">
      <w:pPr>
        <w:jc w:val="both"/>
        <w:rPr>
          <w:color w:val="0070C0"/>
        </w:rPr>
      </w:pPr>
      <w:r w:rsidRPr="008E310F">
        <w:rPr>
          <w:rFonts w:ascii="Arial" w:hAnsi="Arial" w:cs="Arial"/>
          <w:color w:val="0070C0"/>
          <w:sz w:val="21"/>
          <w:szCs w:val="21"/>
          <w:shd w:val="clear" w:color="auto" w:fill="FFFFFF"/>
        </w:rPr>
        <w:t>.14     </w:t>
      </w:r>
      <w:r w:rsidRPr="008E310F">
        <w:rPr>
          <w:rFonts w:ascii="Arial" w:hAnsi="Arial" w:cs="Arial"/>
          <w:i/>
          <w:iCs/>
          <w:color w:val="0070C0"/>
          <w:sz w:val="21"/>
          <w:szCs w:val="21"/>
          <w:shd w:val="clear" w:color="auto" w:fill="FFFFFF"/>
        </w:rPr>
        <w:t xml:space="preserve">À la date de l'opération, tout élément d'actif ou de passif et tout produit ou charge résultant d'une opération en devises de l'entité </w:t>
      </w:r>
      <w:proofErr w:type="spellStart"/>
      <w:r w:rsidRPr="008E310F">
        <w:rPr>
          <w:rFonts w:ascii="Arial" w:hAnsi="Arial" w:cs="Arial"/>
          <w:i/>
          <w:iCs/>
          <w:color w:val="0070C0"/>
          <w:sz w:val="21"/>
          <w:szCs w:val="21"/>
          <w:shd w:val="clear" w:color="auto" w:fill="FFFFFF"/>
        </w:rPr>
        <w:t>publiante</w:t>
      </w:r>
      <w:proofErr w:type="spellEnd"/>
      <w:r w:rsidRPr="008E310F">
        <w:rPr>
          <w:rFonts w:ascii="Arial" w:hAnsi="Arial" w:cs="Arial"/>
          <w:i/>
          <w:iCs/>
          <w:color w:val="0070C0"/>
          <w:sz w:val="21"/>
          <w:szCs w:val="21"/>
          <w:shd w:val="clear" w:color="auto" w:fill="FFFFFF"/>
        </w:rPr>
        <w:t xml:space="preserve"> doit être converti en dollars canadiens au cours du change en vigueur à cette date.</w:t>
      </w:r>
    </w:p>
    <w:p w14:paraId="46FAB07B" w14:textId="7D8BC37B" w:rsidR="0058571F" w:rsidRDefault="0058571F" w:rsidP="009D7FAF">
      <w:pPr>
        <w:jc w:val="both"/>
      </w:pPr>
      <w:r>
        <w:t>L’achat devrait être comptabilisé selon le taux de change en vigueur au moment de l’achat, soit le 15 novembre, la date où PEI prend officiellement possession des pièces. Le montant inscrit dans les stocks devrait donc s’élever à 50 000 * 1.50180 = 75 090$</w:t>
      </w:r>
    </w:p>
    <w:p w14:paraId="1A5136E0" w14:textId="77777777" w:rsidR="0058571F" w:rsidRDefault="0058571F" w:rsidP="009D7FAF">
      <w:pPr>
        <w:jc w:val="both"/>
      </w:pPr>
      <w:r>
        <w:t>L’écart entre ce montant et le prix payé de 50 000 * 1.51830 = 75 915</w:t>
      </w:r>
      <w:r w:rsidR="009D7FAF">
        <w:t> </w:t>
      </w:r>
      <w:r>
        <w:t>$, soit 825</w:t>
      </w:r>
      <w:r w:rsidR="009D7FAF">
        <w:t> </w:t>
      </w:r>
      <w:r>
        <w:t>$ est une perte de charge à comptabiliser aux résultats de la période.</w:t>
      </w:r>
    </w:p>
    <w:p w14:paraId="38B30133" w14:textId="77777777" w:rsidR="0058571F" w:rsidRDefault="0058571F" w:rsidP="009D7FAF">
      <w:pPr>
        <w:jc w:val="both"/>
      </w:pPr>
    </w:p>
    <w:p w14:paraId="4641C27D" w14:textId="77777777" w:rsidR="0058571F" w:rsidRDefault="000F0B28" w:rsidP="009D7FAF">
      <w:pPr>
        <w:jc w:val="both"/>
      </w:pPr>
      <w:r>
        <w:t>Selon chap.</w:t>
      </w:r>
      <w:r w:rsidR="0058571F">
        <w:t xml:space="preserve"> 3031</w:t>
      </w:r>
    </w:p>
    <w:p w14:paraId="63CF21C1" w14:textId="77777777" w:rsidR="0058571F" w:rsidRPr="008E310F" w:rsidRDefault="0058571F" w:rsidP="009D7FAF">
      <w:pPr>
        <w:jc w:val="both"/>
        <w:rPr>
          <w:color w:val="0070C0"/>
        </w:rPr>
      </w:pPr>
      <w:r w:rsidRPr="008E310F">
        <w:rPr>
          <w:rFonts w:ascii="Arial" w:hAnsi="Arial" w:cs="Arial"/>
          <w:color w:val="0070C0"/>
          <w:sz w:val="21"/>
          <w:szCs w:val="21"/>
          <w:shd w:val="clear" w:color="auto" w:fill="FFFFFF"/>
        </w:rPr>
        <w:lastRenderedPageBreak/>
        <w:t>.12     Les coûts d'acquisition des stocks comprennent le prix d'achat, les droits de douane et autres taxes (autres que les taxes ultérieurement récupérables par l'entité auprès des administrations fiscales), ainsi que les frais de transport, de manutention et autres coûts directement attribuables à l'acquisition des produits finis, des matières premières et des services. Les rabais commerciaux, remises et autres éléments similaires sont déduits pour déterminer les coûts d'acquisition.</w:t>
      </w:r>
    </w:p>
    <w:p w14:paraId="1C4EDBFB" w14:textId="04A092AB" w:rsidR="0058571F" w:rsidRDefault="0058571F" w:rsidP="009D7FAF">
      <w:pPr>
        <w:jc w:val="both"/>
      </w:pPr>
      <w:r>
        <w:t>Les frais de livraison de 200</w:t>
      </w:r>
      <w:r w:rsidR="000F0B28">
        <w:t> </w:t>
      </w:r>
      <w:r>
        <w:t xml:space="preserve">$ </w:t>
      </w:r>
      <w:r w:rsidR="000F0B28">
        <w:t xml:space="preserve">sont une composante du coût d’acquisition selon le par 12. Ils </w:t>
      </w:r>
      <w:r>
        <w:t>doivent</w:t>
      </w:r>
      <w:r w:rsidR="000F0B28">
        <w:t xml:space="preserve"> donc</w:t>
      </w:r>
      <w:r>
        <w:t xml:space="preserve"> être inclus dans le coût des stocks et non le coût des ventes, </w:t>
      </w:r>
      <w:r w:rsidR="000F0B28">
        <w:t>puisqu’</w:t>
      </w:r>
      <w:r>
        <w:t>ils n’ont pas encore été vendus au 31 décembre 20</w:t>
      </w:r>
      <w:r w:rsidR="005727DC">
        <w:t>20</w:t>
      </w:r>
      <w:r>
        <w:t>.</w:t>
      </w:r>
    </w:p>
    <w:p w14:paraId="1859F11F" w14:textId="77777777" w:rsidR="0058571F" w:rsidRDefault="0058571F" w:rsidP="009D7FAF">
      <w:pPr>
        <w:jc w:val="both"/>
      </w:pPr>
    </w:p>
    <w:p w14:paraId="4D83E9EF" w14:textId="77777777" w:rsidR="0058571F" w:rsidRPr="000F0B28" w:rsidRDefault="0058571F" w:rsidP="000F0B28">
      <w:pPr>
        <w:jc w:val="both"/>
        <w:rPr>
          <w:i/>
          <w:iCs/>
          <w:u w:val="single"/>
        </w:rPr>
      </w:pPr>
      <w:r w:rsidRPr="000F0B28">
        <w:rPr>
          <w:i/>
          <w:iCs/>
          <w:u w:val="single"/>
        </w:rPr>
        <w:t>Échange de pièces contre chariot élévateur</w:t>
      </w:r>
    </w:p>
    <w:p w14:paraId="58B24E17" w14:textId="77777777" w:rsidR="0058571F" w:rsidRDefault="000F0B28" w:rsidP="009D7FAF">
      <w:pPr>
        <w:jc w:val="both"/>
      </w:pPr>
      <w:r>
        <w:t>Selon chap.</w:t>
      </w:r>
      <w:r w:rsidR="0058571F">
        <w:t xml:space="preserve"> 3831</w:t>
      </w:r>
    </w:p>
    <w:p w14:paraId="4B6AA125" w14:textId="77777777" w:rsidR="0058571F" w:rsidRPr="008E310F" w:rsidRDefault="0058571F" w:rsidP="009D7FAF">
      <w:pPr>
        <w:pStyle w:val="paragraph"/>
        <w:shd w:val="clear" w:color="auto" w:fill="FFFFFF"/>
        <w:spacing w:before="65" w:beforeAutospacing="0" w:after="65" w:afterAutospacing="0"/>
        <w:ind w:left="785" w:hanging="708"/>
        <w:jc w:val="both"/>
        <w:rPr>
          <w:rFonts w:ascii="Arial" w:hAnsi="Arial" w:cs="Arial"/>
          <w:color w:val="0070C0"/>
          <w:sz w:val="21"/>
          <w:szCs w:val="21"/>
        </w:rPr>
      </w:pPr>
      <w:r w:rsidRPr="008E310F">
        <w:rPr>
          <w:rFonts w:ascii="Arial" w:hAnsi="Arial" w:cs="Arial"/>
          <w:color w:val="0070C0"/>
          <w:sz w:val="21"/>
          <w:szCs w:val="21"/>
        </w:rPr>
        <w:t>.06     </w:t>
      </w:r>
      <w:r w:rsidRPr="008E310F">
        <w:rPr>
          <w:rFonts w:ascii="Arial" w:hAnsi="Arial" w:cs="Arial"/>
          <w:i/>
          <w:iCs/>
          <w:color w:val="0070C0"/>
          <w:sz w:val="21"/>
          <w:szCs w:val="21"/>
        </w:rPr>
        <w:t>L'entité doit évaluer un actif échangé ou transféré dans le cadre d'une opération non monétaire sur la base soit de la juste valeur de l'actif cédé, soit de la juste valeur de l'actif reçu, en retenant la juste valeur dont l'évaluation est la plus fiable, sauf dans les cas suivants :</w:t>
      </w:r>
    </w:p>
    <w:p w14:paraId="54B4EBA5" w14:textId="77777777" w:rsidR="000F0B28" w:rsidRPr="008E310F" w:rsidRDefault="0058571F" w:rsidP="000F0B28">
      <w:pPr>
        <w:pStyle w:val="bullet"/>
        <w:numPr>
          <w:ilvl w:val="0"/>
          <w:numId w:val="4"/>
        </w:numPr>
        <w:shd w:val="clear" w:color="auto" w:fill="FFFFFF"/>
        <w:spacing w:before="65" w:beforeAutospacing="0" w:after="65" w:afterAutospacing="0"/>
        <w:jc w:val="both"/>
        <w:rPr>
          <w:rFonts w:ascii="Arial" w:hAnsi="Arial" w:cs="Arial"/>
          <w:i/>
          <w:iCs/>
          <w:color w:val="0070C0"/>
          <w:sz w:val="21"/>
          <w:szCs w:val="21"/>
        </w:rPr>
      </w:pPr>
      <w:bookmarkStart w:id="4" w:name="para_31"/>
      <w:bookmarkEnd w:id="4"/>
      <w:proofErr w:type="gramStart"/>
      <w:r w:rsidRPr="008E310F">
        <w:rPr>
          <w:rFonts w:ascii="Arial" w:hAnsi="Arial" w:cs="Arial"/>
          <w:i/>
          <w:iCs/>
          <w:color w:val="0070C0"/>
          <w:sz w:val="21"/>
          <w:szCs w:val="21"/>
        </w:rPr>
        <w:t>l'opération</w:t>
      </w:r>
      <w:proofErr w:type="gramEnd"/>
      <w:r w:rsidRPr="008E310F">
        <w:rPr>
          <w:rFonts w:ascii="Arial" w:hAnsi="Arial" w:cs="Arial"/>
          <w:i/>
          <w:iCs/>
          <w:color w:val="0070C0"/>
          <w:sz w:val="21"/>
          <w:szCs w:val="21"/>
        </w:rPr>
        <w:t xml:space="preserve"> ne présente aucune substance commerciale; </w:t>
      </w:r>
    </w:p>
    <w:p w14:paraId="3BC105AA" w14:textId="77777777" w:rsidR="0058571F" w:rsidRPr="0087769C" w:rsidRDefault="0058571F" w:rsidP="000F0B28">
      <w:pPr>
        <w:pStyle w:val="bullet"/>
        <w:shd w:val="clear" w:color="auto" w:fill="FFFFFF"/>
        <w:spacing w:before="65" w:beforeAutospacing="0" w:after="65" w:afterAutospacing="0"/>
        <w:ind w:left="1284"/>
        <w:jc w:val="both"/>
        <w:rPr>
          <w:rFonts w:ascii="Arial" w:hAnsi="Arial" w:cs="Arial"/>
          <w:color w:val="444444"/>
          <w:sz w:val="21"/>
          <w:szCs w:val="21"/>
        </w:rPr>
      </w:pPr>
      <w:r>
        <w:rPr>
          <w:rFonts w:ascii="Arial" w:hAnsi="Arial" w:cs="Arial"/>
          <w:iCs/>
          <w:color w:val="444444"/>
          <w:sz w:val="21"/>
          <w:szCs w:val="21"/>
        </w:rPr>
        <w:t xml:space="preserve">Ici, l’opération présente une </w:t>
      </w:r>
      <w:r w:rsidR="000F0B28">
        <w:rPr>
          <w:rFonts w:ascii="Arial" w:hAnsi="Arial" w:cs="Arial"/>
          <w:iCs/>
          <w:color w:val="444444"/>
          <w:sz w:val="21"/>
          <w:szCs w:val="21"/>
        </w:rPr>
        <w:t>substance commerciale</w:t>
      </w:r>
      <w:r>
        <w:rPr>
          <w:rFonts w:ascii="Arial" w:hAnsi="Arial" w:cs="Arial"/>
          <w:iCs/>
          <w:color w:val="444444"/>
          <w:sz w:val="21"/>
          <w:szCs w:val="21"/>
        </w:rPr>
        <w:t>, car les pièces servent à obtenir des revenus sur une courte période lors de leur vente, alors que le chariot élévateur permet d’obtenir des revenus indirects car fait partie du processus de gestion des stocks. Les revenus indirects sont générés sur une longue période. La configuration des flux de trésorerie diffère donc de façon significative.</w:t>
      </w:r>
      <w:r w:rsidR="000F0B28">
        <w:rPr>
          <w:rFonts w:ascii="Arial" w:hAnsi="Arial" w:cs="Arial"/>
          <w:iCs/>
          <w:color w:val="444444"/>
          <w:sz w:val="21"/>
          <w:szCs w:val="21"/>
        </w:rPr>
        <w:t xml:space="preserve"> CRITÈRE NON RESPECTÉ</w:t>
      </w:r>
    </w:p>
    <w:p w14:paraId="770313BC" w14:textId="77777777" w:rsidR="000F0B28" w:rsidRPr="008E310F" w:rsidRDefault="0058571F" w:rsidP="000F0B28">
      <w:pPr>
        <w:pStyle w:val="bullet"/>
        <w:numPr>
          <w:ilvl w:val="0"/>
          <w:numId w:val="4"/>
        </w:numPr>
        <w:shd w:val="clear" w:color="auto" w:fill="FFFFFF"/>
        <w:spacing w:before="65" w:beforeAutospacing="0" w:after="65" w:afterAutospacing="0"/>
        <w:jc w:val="both"/>
        <w:rPr>
          <w:rFonts w:ascii="Arial" w:hAnsi="Arial" w:cs="Arial"/>
          <w:iCs/>
          <w:color w:val="0070C0"/>
          <w:sz w:val="21"/>
          <w:szCs w:val="21"/>
        </w:rPr>
      </w:pPr>
      <w:bookmarkStart w:id="5" w:name="para_32"/>
      <w:bookmarkEnd w:id="5"/>
      <w:proofErr w:type="gramStart"/>
      <w:r w:rsidRPr="008E310F">
        <w:rPr>
          <w:rFonts w:ascii="Arial" w:hAnsi="Arial" w:cs="Arial"/>
          <w:i/>
          <w:iCs/>
          <w:color w:val="0070C0"/>
          <w:sz w:val="21"/>
          <w:szCs w:val="21"/>
        </w:rPr>
        <w:t>l'opération</w:t>
      </w:r>
      <w:proofErr w:type="gramEnd"/>
      <w:r w:rsidRPr="008E310F">
        <w:rPr>
          <w:rFonts w:ascii="Arial" w:hAnsi="Arial" w:cs="Arial"/>
          <w:i/>
          <w:iCs/>
          <w:color w:val="0070C0"/>
          <w:sz w:val="21"/>
          <w:szCs w:val="21"/>
        </w:rPr>
        <w:t xml:space="preserve"> représente l'échange d'un bien détenu en vue de la vente dans le cours normal des affaires contre un bien qui sera vendu dans la même branche d'activité, afin de faciliter les ventes à des clients autres que les parties prenant part à l'échange;</w:t>
      </w:r>
      <w:r w:rsidRPr="008E310F">
        <w:rPr>
          <w:rFonts w:ascii="Arial" w:hAnsi="Arial" w:cs="Arial"/>
          <w:iCs/>
          <w:color w:val="0070C0"/>
          <w:sz w:val="21"/>
          <w:szCs w:val="21"/>
        </w:rPr>
        <w:t xml:space="preserve"> </w:t>
      </w:r>
    </w:p>
    <w:p w14:paraId="4C19105A" w14:textId="77777777" w:rsidR="0058571F" w:rsidRPr="00DE6BEE" w:rsidRDefault="0058571F" w:rsidP="000F0B28">
      <w:pPr>
        <w:pStyle w:val="bullet"/>
        <w:shd w:val="clear" w:color="auto" w:fill="FFFFFF"/>
        <w:spacing w:before="65" w:beforeAutospacing="0" w:after="65" w:afterAutospacing="0"/>
        <w:ind w:left="1284"/>
        <w:jc w:val="both"/>
        <w:rPr>
          <w:rFonts w:ascii="Arial" w:hAnsi="Arial" w:cs="Arial"/>
          <w:color w:val="444444"/>
          <w:sz w:val="21"/>
          <w:szCs w:val="21"/>
        </w:rPr>
      </w:pPr>
      <w:r>
        <w:rPr>
          <w:rFonts w:ascii="Arial" w:hAnsi="Arial" w:cs="Arial"/>
          <w:iCs/>
          <w:color w:val="444444"/>
          <w:sz w:val="21"/>
          <w:szCs w:val="21"/>
        </w:rPr>
        <w:t xml:space="preserve">Le chariot </w:t>
      </w:r>
      <w:proofErr w:type="spellStart"/>
      <w:r>
        <w:rPr>
          <w:rFonts w:ascii="Arial" w:hAnsi="Arial" w:cs="Arial"/>
          <w:iCs/>
          <w:color w:val="444444"/>
          <w:sz w:val="21"/>
          <w:szCs w:val="21"/>
        </w:rPr>
        <w:t>élevateur</w:t>
      </w:r>
      <w:proofErr w:type="spellEnd"/>
      <w:r>
        <w:rPr>
          <w:rFonts w:ascii="Arial" w:hAnsi="Arial" w:cs="Arial"/>
          <w:iCs/>
          <w:color w:val="444444"/>
          <w:sz w:val="21"/>
          <w:szCs w:val="21"/>
        </w:rPr>
        <w:t xml:space="preserve"> </w:t>
      </w:r>
      <w:r w:rsidR="000F0B28">
        <w:rPr>
          <w:rFonts w:ascii="Arial" w:hAnsi="Arial" w:cs="Arial"/>
          <w:iCs/>
          <w:color w:val="444444"/>
          <w:sz w:val="21"/>
          <w:szCs w:val="21"/>
        </w:rPr>
        <w:t>n’est pas un stock (</w:t>
      </w:r>
      <w:proofErr w:type="spellStart"/>
      <w:r w:rsidR="000F0B28">
        <w:rPr>
          <w:rFonts w:ascii="Arial" w:hAnsi="Arial" w:cs="Arial"/>
          <w:iCs/>
          <w:color w:val="444444"/>
          <w:sz w:val="21"/>
          <w:szCs w:val="21"/>
        </w:rPr>
        <w:t>immo</w:t>
      </w:r>
      <w:proofErr w:type="spellEnd"/>
      <w:r w:rsidR="000F0B28">
        <w:rPr>
          <w:rFonts w:ascii="Arial" w:hAnsi="Arial" w:cs="Arial"/>
          <w:iCs/>
          <w:color w:val="444444"/>
          <w:sz w:val="21"/>
          <w:szCs w:val="21"/>
        </w:rPr>
        <w:t xml:space="preserve"> corporelle) et </w:t>
      </w:r>
      <w:r>
        <w:rPr>
          <w:rFonts w:ascii="Arial" w:hAnsi="Arial" w:cs="Arial"/>
          <w:iCs/>
          <w:color w:val="444444"/>
          <w:sz w:val="21"/>
          <w:szCs w:val="21"/>
        </w:rPr>
        <w:t>sera utilisé par l’entité</w:t>
      </w:r>
      <w:r w:rsidR="000F0B28">
        <w:rPr>
          <w:rFonts w:ascii="Arial" w:hAnsi="Arial" w:cs="Arial"/>
          <w:iCs/>
          <w:color w:val="444444"/>
          <w:sz w:val="21"/>
          <w:szCs w:val="21"/>
        </w:rPr>
        <w:t>.</w:t>
      </w:r>
      <w:r>
        <w:rPr>
          <w:rFonts w:ascii="Arial" w:hAnsi="Arial" w:cs="Arial"/>
          <w:iCs/>
          <w:color w:val="444444"/>
          <w:sz w:val="21"/>
          <w:szCs w:val="21"/>
        </w:rPr>
        <w:t xml:space="preserve"> </w:t>
      </w:r>
      <w:r w:rsidR="000F0B28">
        <w:rPr>
          <w:rFonts w:ascii="Arial" w:hAnsi="Arial" w:cs="Arial"/>
          <w:iCs/>
          <w:color w:val="444444"/>
          <w:sz w:val="21"/>
          <w:szCs w:val="21"/>
        </w:rPr>
        <w:t>CRITÈRE NON RESPECTÉ</w:t>
      </w:r>
      <w:r>
        <w:rPr>
          <w:rFonts w:ascii="Arial" w:hAnsi="Arial" w:cs="Arial"/>
          <w:iCs/>
          <w:color w:val="444444"/>
          <w:sz w:val="21"/>
          <w:szCs w:val="21"/>
        </w:rPr>
        <w:t>.</w:t>
      </w:r>
    </w:p>
    <w:p w14:paraId="78952CAD" w14:textId="77777777" w:rsidR="000F0B28" w:rsidRPr="008E310F" w:rsidRDefault="0058571F" w:rsidP="000F0B28">
      <w:pPr>
        <w:pStyle w:val="bullet"/>
        <w:numPr>
          <w:ilvl w:val="0"/>
          <w:numId w:val="4"/>
        </w:numPr>
        <w:shd w:val="clear" w:color="auto" w:fill="FFFFFF"/>
        <w:spacing w:before="65" w:beforeAutospacing="0" w:after="65" w:afterAutospacing="0"/>
        <w:jc w:val="both"/>
        <w:rPr>
          <w:rFonts w:ascii="Arial" w:hAnsi="Arial" w:cs="Arial"/>
          <w:i/>
          <w:iCs/>
          <w:color w:val="0070C0"/>
          <w:sz w:val="21"/>
          <w:szCs w:val="21"/>
        </w:rPr>
      </w:pPr>
      <w:bookmarkStart w:id="6" w:name="para_33"/>
      <w:bookmarkEnd w:id="6"/>
      <w:proofErr w:type="gramStart"/>
      <w:r w:rsidRPr="008E310F">
        <w:rPr>
          <w:rFonts w:ascii="Arial" w:hAnsi="Arial" w:cs="Arial"/>
          <w:i/>
          <w:iCs/>
          <w:color w:val="0070C0"/>
          <w:sz w:val="21"/>
          <w:szCs w:val="21"/>
        </w:rPr>
        <w:t>ni</w:t>
      </w:r>
      <w:proofErr w:type="gramEnd"/>
      <w:r w:rsidRPr="008E310F">
        <w:rPr>
          <w:rFonts w:ascii="Arial" w:hAnsi="Arial" w:cs="Arial"/>
          <w:i/>
          <w:iCs/>
          <w:color w:val="0070C0"/>
          <w:sz w:val="21"/>
          <w:szCs w:val="21"/>
        </w:rPr>
        <w:t xml:space="preserve"> la juste valeur de l'actif reçu, ni la juste valeur de l'actif cédé ne peut être évaluée de façon fiable; </w:t>
      </w:r>
    </w:p>
    <w:p w14:paraId="0DDFDCD7" w14:textId="77777777" w:rsidR="0058571F" w:rsidRPr="00DE6BEE" w:rsidRDefault="0058571F" w:rsidP="000F0B28">
      <w:pPr>
        <w:pStyle w:val="bullet"/>
        <w:shd w:val="clear" w:color="auto" w:fill="FFFFFF"/>
        <w:spacing w:before="65" w:beforeAutospacing="0" w:after="65" w:afterAutospacing="0"/>
        <w:ind w:left="1284"/>
        <w:jc w:val="both"/>
        <w:rPr>
          <w:rFonts w:ascii="Arial" w:hAnsi="Arial" w:cs="Arial"/>
          <w:color w:val="444444"/>
          <w:sz w:val="21"/>
          <w:szCs w:val="21"/>
        </w:rPr>
      </w:pPr>
      <w:r>
        <w:rPr>
          <w:rFonts w:ascii="Arial" w:hAnsi="Arial" w:cs="Arial"/>
          <w:iCs/>
          <w:color w:val="444444"/>
          <w:sz w:val="21"/>
          <w:szCs w:val="21"/>
        </w:rPr>
        <w:t>Les pièces sont vendues couramment par PEI et il existe vraisemblablement des comparables pour les ventes de chariots</w:t>
      </w:r>
      <w:r w:rsidR="000F0B28">
        <w:rPr>
          <w:rFonts w:ascii="Arial" w:hAnsi="Arial" w:cs="Arial"/>
          <w:iCs/>
          <w:color w:val="444444"/>
          <w:sz w:val="21"/>
          <w:szCs w:val="21"/>
        </w:rPr>
        <w:t>. CRITÈRE NON RESPECTÉ</w:t>
      </w:r>
    </w:p>
    <w:p w14:paraId="6027DE79" w14:textId="3C846865" w:rsidR="000F0B28" w:rsidRDefault="0058571F" w:rsidP="000F0B28">
      <w:pPr>
        <w:pStyle w:val="bullet"/>
        <w:numPr>
          <w:ilvl w:val="0"/>
          <w:numId w:val="4"/>
        </w:numPr>
        <w:shd w:val="clear" w:color="auto" w:fill="FFFFFF"/>
        <w:spacing w:before="65" w:beforeAutospacing="0" w:after="65" w:afterAutospacing="0"/>
        <w:jc w:val="both"/>
        <w:rPr>
          <w:rFonts w:ascii="Arial" w:hAnsi="Arial" w:cs="Arial"/>
          <w:iCs/>
          <w:color w:val="444444"/>
          <w:sz w:val="21"/>
          <w:szCs w:val="21"/>
        </w:rPr>
      </w:pPr>
      <w:bookmarkStart w:id="7" w:name="para_34"/>
      <w:bookmarkEnd w:id="7"/>
      <w:proofErr w:type="gramStart"/>
      <w:r w:rsidRPr="008E310F">
        <w:rPr>
          <w:rFonts w:ascii="Arial" w:hAnsi="Arial" w:cs="Arial"/>
          <w:i/>
          <w:iCs/>
          <w:color w:val="0070C0"/>
          <w:sz w:val="21"/>
          <w:szCs w:val="21"/>
        </w:rPr>
        <w:t>l'opération</w:t>
      </w:r>
      <w:proofErr w:type="gramEnd"/>
      <w:r w:rsidRPr="008E310F">
        <w:rPr>
          <w:rFonts w:ascii="Arial" w:hAnsi="Arial" w:cs="Arial"/>
          <w:i/>
          <w:iCs/>
          <w:color w:val="0070C0"/>
          <w:sz w:val="21"/>
          <w:szCs w:val="21"/>
        </w:rPr>
        <w:t xml:space="preserve"> est un transfert non monétaire et non réciproque au profit des propriétaires auquel s'applique le paragraphe </w:t>
      </w:r>
      <w:hyperlink r:id="rId7" w:history="1">
        <w:r w:rsidRPr="008E310F">
          <w:rPr>
            <w:rStyle w:val="Lienhypertexte"/>
            <w:rFonts w:ascii="Arial" w:hAnsi="Arial" w:cs="Arial"/>
            <w:color w:val="0070C0"/>
            <w:sz w:val="21"/>
            <w:szCs w:val="21"/>
            <w:u w:val="none"/>
          </w:rPr>
          <w:t>3831.14</w:t>
        </w:r>
      </w:hyperlink>
      <w:r w:rsidRPr="008E310F">
        <w:rPr>
          <w:rFonts w:ascii="Arial" w:hAnsi="Arial" w:cs="Arial"/>
          <w:i/>
          <w:iCs/>
          <w:color w:val="0070C0"/>
          <w:sz w:val="21"/>
          <w:szCs w:val="21"/>
        </w:rPr>
        <w:t>.</w:t>
      </w:r>
      <w:r>
        <w:rPr>
          <w:rFonts w:ascii="Arial" w:hAnsi="Arial" w:cs="Arial"/>
          <w:i/>
          <w:iCs/>
          <w:color w:val="444444"/>
          <w:sz w:val="21"/>
          <w:szCs w:val="21"/>
        </w:rPr>
        <w:t xml:space="preserve"> </w:t>
      </w:r>
    </w:p>
    <w:p w14:paraId="748EB4E6" w14:textId="77777777" w:rsidR="0058571F" w:rsidRDefault="000F0B28" w:rsidP="000F0B28">
      <w:pPr>
        <w:pStyle w:val="bullet"/>
        <w:shd w:val="clear" w:color="auto" w:fill="FFFFFF"/>
        <w:spacing w:before="65" w:beforeAutospacing="0" w:after="65" w:afterAutospacing="0"/>
        <w:ind w:left="1284"/>
        <w:jc w:val="both"/>
        <w:rPr>
          <w:rFonts w:ascii="Arial" w:hAnsi="Arial" w:cs="Arial"/>
          <w:iCs/>
          <w:color w:val="444444"/>
          <w:sz w:val="21"/>
          <w:szCs w:val="21"/>
        </w:rPr>
      </w:pPr>
      <w:r>
        <w:rPr>
          <w:rFonts w:ascii="Arial" w:hAnsi="Arial" w:cs="Arial"/>
          <w:color w:val="444444"/>
          <w:sz w:val="21"/>
          <w:szCs w:val="21"/>
        </w:rPr>
        <w:t xml:space="preserve">Il ne s’agit pas d’un transfert à l’actionnaire mais à un tiers. </w:t>
      </w:r>
      <w:r>
        <w:rPr>
          <w:rFonts w:ascii="Arial" w:hAnsi="Arial" w:cs="Arial"/>
          <w:iCs/>
          <w:color w:val="444444"/>
          <w:sz w:val="21"/>
          <w:szCs w:val="21"/>
        </w:rPr>
        <w:t xml:space="preserve">CRITÈRE NON RESPECTÉ  </w:t>
      </w:r>
    </w:p>
    <w:p w14:paraId="21BEDFCE" w14:textId="77777777" w:rsidR="0058571F" w:rsidRDefault="0058571F" w:rsidP="009D7FAF">
      <w:pPr>
        <w:pStyle w:val="bullet"/>
        <w:shd w:val="clear" w:color="auto" w:fill="FFFFFF"/>
        <w:spacing w:before="65" w:beforeAutospacing="0" w:after="65" w:afterAutospacing="0"/>
        <w:ind w:left="1488" w:hanging="684"/>
        <w:jc w:val="both"/>
        <w:rPr>
          <w:rFonts w:ascii="Arial" w:hAnsi="Arial" w:cs="Arial"/>
          <w:color w:val="444444"/>
          <w:sz w:val="21"/>
          <w:szCs w:val="21"/>
        </w:rPr>
      </w:pPr>
    </w:p>
    <w:p w14:paraId="329CAC3E" w14:textId="77777777" w:rsidR="0058571F" w:rsidRDefault="0058571F" w:rsidP="000F0B28">
      <w:pPr>
        <w:pStyle w:val="bullet"/>
        <w:shd w:val="clear" w:color="auto" w:fill="FFFFFF"/>
        <w:spacing w:before="65" w:beforeAutospacing="0" w:after="65" w:afterAutospacing="0"/>
        <w:jc w:val="both"/>
        <w:rPr>
          <w:rFonts w:ascii="Arial" w:hAnsi="Arial" w:cs="Arial"/>
          <w:color w:val="444444"/>
          <w:sz w:val="21"/>
          <w:szCs w:val="21"/>
        </w:rPr>
      </w:pPr>
      <w:r>
        <w:rPr>
          <w:rFonts w:ascii="Arial" w:hAnsi="Arial" w:cs="Arial"/>
          <w:color w:val="444444"/>
          <w:sz w:val="21"/>
          <w:szCs w:val="21"/>
        </w:rPr>
        <w:t>Conclusion : on doit comptabiliser</w:t>
      </w:r>
      <w:r w:rsidR="000F0B28">
        <w:rPr>
          <w:rFonts w:ascii="Arial" w:hAnsi="Arial" w:cs="Arial"/>
          <w:color w:val="444444"/>
          <w:sz w:val="21"/>
          <w:szCs w:val="21"/>
        </w:rPr>
        <w:t xml:space="preserve"> l’échange </w:t>
      </w:r>
      <w:r>
        <w:rPr>
          <w:rFonts w:ascii="Arial" w:hAnsi="Arial" w:cs="Arial"/>
          <w:color w:val="444444"/>
          <w:sz w:val="21"/>
          <w:szCs w:val="21"/>
        </w:rPr>
        <w:t xml:space="preserve">à la </w:t>
      </w:r>
      <w:r w:rsidR="000F0B28">
        <w:rPr>
          <w:rFonts w:ascii="Arial" w:hAnsi="Arial" w:cs="Arial"/>
          <w:color w:val="444444"/>
          <w:sz w:val="21"/>
          <w:szCs w:val="21"/>
        </w:rPr>
        <w:t>juste valeur</w:t>
      </w:r>
      <w:r>
        <w:rPr>
          <w:rFonts w:ascii="Arial" w:hAnsi="Arial" w:cs="Arial"/>
          <w:color w:val="444444"/>
          <w:sz w:val="21"/>
          <w:szCs w:val="21"/>
        </w:rPr>
        <w:t xml:space="preserve"> et non à la </w:t>
      </w:r>
      <w:r w:rsidR="000F0B28">
        <w:rPr>
          <w:rFonts w:ascii="Arial" w:hAnsi="Arial" w:cs="Arial"/>
          <w:color w:val="444444"/>
          <w:sz w:val="21"/>
          <w:szCs w:val="21"/>
        </w:rPr>
        <w:t>valeur comptable</w:t>
      </w:r>
      <w:r>
        <w:rPr>
          <w:rFonts w:ascii="Arial" w:hAnsi="Arial" w:cs="Arial"/>
          <w:color w:val="444444"/>
          <w:sz w:val="21"/>
          <w:szCs w:val="21"/>
        </w:rPr>
        <w:t>.</w:t>
      </w:r>
    </w:p>
    <w:p w14:paraId="3F888829" w14:textId="77777777" w:rsidR="0058571F" w:rsidRDefault="0058571F" w:rsidP="008E310F">
      <w:pPr>
        <w:pStyle w:val="bullet"/>
        <w:shd w:val="clear" w:color="auto" w:fill="FFFFFF"/>
        <w:spacing w:before="65" w:beforeAutospacing="0" w:after="65" w:afterAutospacing="0"/>
        <w:jc w:val="both"/>
        <w:rPr>
          <w:rFonts w:ascii="Arial" w:hAnsi="Arial" w:cs="Arial"/>
          <w:color w:val="444444"/>
          <w:sz w:val="21"/>
          <w:szCs w:val="21"/>
        </w:rPr>
      </w:pPr>
      <w:r>
        <w:rPr>
          <w:rFonts w:ascii="Arial" w:hAnsi="Arial" w:cs="Arial"/>
          <w:color w:val="444444"/>
          <w:sz w:val="21"/>
          <w:szCs w:val="21"/>
        </w:rPr>
        <w:t xml:space="preserve">La JV la </w:t>
      </w:r>
      <w:r w:rsidR="000F0B28">
        <w:rPr>
          <w:rFonts w:ascii="Arial" w:hAnsi="Arial" w:cs="Arial"/>
          <w:color w:val="444444"/>
          <w:sz w:val="21"/>
          <w:szCs w:val="21"/>
        </w:rPr>
        <w:t>plus</w:t>
      </w:r>
      <w:r>
        <w:rPr>
          <w:rFonts w:ascii="Arial" w:hAnsi="Arial" w:cs="Arial"/>
          <w:color w:val="444444"/>
          <w:sz w:val="21"/>
          <w:szCs w:val="21"/>
        </w:rPr>
        <w:t xml:space="preserve"> fiable entre pièces et chariot élévateur serait sûrement celle des pièces puisque PEI en vend régulièrement alors </w:t>
      </w:r>
      <w:r w:rsidR="000F0B28">
        <w:rPr>
          <w:rFonts w:ascii="Arial" w:hAnsi="Arial" w:cs="Arial"/>
          <w:color w:val="444444"/>
          <w:sz w:val="21"/>
          <w:szCs w:val="21"/>
        </w:rPr>
        <w:t>qu’il ne vent pas régulièrement</w:t>
      </w:r>
      <w:r>
        <w:rPr>
          <w:rFonts w:ascii="Arial" w:hAnsi="Arial" w:cs="Arial"/>
          <w:color w:val="444444"/>
          <w:sz w:val="21"/>
          <w:szCs w:val="21"/>
        </w:rPr>
        <w:t xml:space="preserve"> des chariots élévateurs.</w:t>
      </w:r>
      <w:r w:rsidR="000F0B28">
        <w:rPr>
          <w:rFonts w:ascii="Arial" w:hAnsi="Arial" w:cs="Arial"/>
          <w:color w:val="444444"/>
          <w:sz w:val="21"/>
          <w:szCs w:val="21"/>
        </w:rPr>
        <w:t xml:space="preserve"> </w:t>
      </w:r>
      <w:r>
        <w:rPr>
          <w:rFonts w:ascii="Arial" w:hAnsi="Arial" w:cs="Arial"/>
          <w:color w:val="444444"/>
          <w:sz w:val="21"/>
          <w:szCs w:val="21"/>
        </w:rPr>
        <w:t>Il faudrait donc connaître la JV des pièces pour avoir une meilleure comptabilisation.</w:t>
      </w:r>
    </w:p>
    <w:p w14:paraId="73DC6B3A" w14:textId="77777777" w:rsidR="0058571F" w:rsidRDefault="0058571F" w:rsidP="000F0B28">
      <w:pPr>
        <w:pStyle w:val="bullet"/>
        <w:shd w:val="clear" w:color="auto" w:fill="FFFFFF"/>
        <w:spacing w:before="65" w:beforeAutospacing="0" w:after="65" w:afterAutospacing="0"/>
        <w:jc w:val="both"/>
        <w:rPr>
          <w:rFonts w:ascii="Arial" w:hAnsi="Arial" w:cs="Arial"/>
          <w:color w:val="444444"/>
          <w:sz w:val="21"/>
          <w:szCs w:val="21"/>
        </w:rPr>
      </w:pPr>
      <w:r>
        <w:rPr>
          <w:rFonts w:ascii="Arial" w:hAnsi="Arial" w:cs="Arial"/>
          <w:color w:val="444444"/>
          <w:sz w:val="21"/>
          <w:szCs w:val="21"/>
        </w:rPr>
        <w:t>Hypothèse que la JV des pièces = JV du chariot qui a été estimée à 14 000$.</w:t>
      </w:r>
    </w:p>
    <w:p w14:paraId="6A0A8435" w14:textId="77777777" w:rsidR="0058571F" w:rsidRDefault="0058571F" w:rsidP="000F0B28">
      <w:pPr>
        <w:pStyle w:val="bullet"/>
        <w:shd w:val="clear" w:color="auto" w:fill="FFFFFF"/>
        <w:spacing w:before="65" w:beforeAutospacing="0" w:after="65" w:afterAutospacing="0"/>
        <w:jc w:val="both"/>
        <w:rPr>
          <w:rFonts w:ascii="Arial" w:hAnsi="Arial" w:cs="Arial"/>
          <w:color w:val="444444"/>
          <w:sz w:val="21"/>
          <w:szCs w:val="21"/>
        </w:rPr>
      </w:pPr>
    </w:p>
    <w:p w14:paraId="307ED413" w14:textId="77777777" w:rsidR="0058571F" w:rsidRDefault="0058571F" w:rsidP="000F0B28">
      <w:pPr>
        <w:pStyle w:val="bullet"/>
        <w:shd w:val="clear" w:color="auto" w:fill="FFFFFF"/>
        <w:spacing w:before="65" w:beforeAutospacing="0" w:after="65" w:afterAutospacing="0"/>
        <w:jc w:val="both"/>
        <w:rPr>
          <w:rFonts w:ascii="Arial" w:hAnsi="Arial" w:cs="Arial"/>
          <w:color w:val="444444"/>
          <w:sz w:val="21"/>
          <w:szCs w:val="21"/>
        </w:rPr>
      </w:pPr>
      <w:r>
        <w:rPr>
          <w:rFonts w:ascii="Arial" w:hAnsi="Arial" w:cs="Arial"/>
          <w:color w:val="444444"/>
          <w:sz w:val="21"/>
          <w:szCs w:val="21"/>
        </w:rPr>
        <w:lastRenderedPageBreak/>
        <w:t>Impact : Comptabilisation d’une vente de pièces pour 14 000</w:t>
      </w:r>
      <w:r w:rsidR="000F0B28">
        <w:rPr>
          <w:rFonts w:ascii="Arial" w:hAnsi="Arial" w:cs="Arial"/>
          <w:color w:val="444444"/>
          <w:sz w:val="21"/>
          <w:szCs w:val="21"/>
        </w:rPr>
        <w:t> </w:t>
      </w:r>
      <w:r>
        <w:rPr>
          <w:rFonts w:ascii="Arial" w:hAnsi="Arial" w:cs="Arial"/>
          <w:color w:val="444444"/>
          <w:sz w:val="21"/>
          <w:szCs w:val="21"/>
        </w:rPr>
        <w:t>$ et d’un CMV pour 10 000</w:t>
      </w:r>
      <w:r w:rsidR="000F0B28">
        <w:rPr>
          <w:rFonts w:ascii="Arial" w:hAnsi="Arial" w:cs="Arial"/>
          <w:color w:val="444444"/>
          <w:sz w:val="21"/>
          <w:szCs w:val="21"/>
        </w:rPr>
        <w:t> </w:t>
      </w:r>
      <w:r>
        <w:rPr>
          <w:rFonts w:ascii="Arial" w:hAnsi="Arial" w:cs="Arial"/>
          <w:color w:val="444444"/>
          <w:sz w:val="21"/>
          <w:szCs w:val="21"/>
        </w:rPr>
        <w:t>$.</w:t>
      </w:r>
    </w:p>
    <w:p w14:paraId="0C9AA92F" w14:textId="77777777" w:rsidR="0058571F" w:rsidRDefault="0058571F" w:rsidP="000F0B28">
      <w:pPr>
        <w:pStyle w:val="bullet"/>
        <w:shd w:val="clear" w:color="auto" w:fill="FFFFFF"/>
        <w:spacing w:before="65" w:beforeAutospacing="0" w:after="65" w:afterAutospacing="0"/>
        <w:jc w:val="both"/>
        <w:rPr>
          <w:rFonts w:ascii="Arial" w:hAnsi="Arial" w:cs="Arial"/>
          <w:color w:val="444444"/>
          <w:sz w:val="21"/>
          <w:szCs w:val="21"/>
        </w:rPr>
      </w:pPr>
      <w:r>
        <w:rPr>
          <w:rFonts w:ascii="Arial" w:hAnsi="Arial" w:cs="Arial"/>
          <w:color w:val="444444"/>
          <w:sz w:val="21"/>
          <w:szCs w:val="21"/>
        </w:rPr>
        <w:t>Le chariot sera enregistré à un coût de 14 000</w:t>
      </w:r>
      <w:r w:rsidR="000F0B28">
        <w:rPr>
          <w:rFonts w:ascii="Arial" w:hAnsi="Arial" w:cs="Arial"/>
          <w:color w:val="444444"/>
          <w:sz w:val="21"/>
          <w:szCs w:val="21"/>
        </w:rPr>
        <w:t> </w:t>
      </w:r>
      <w:r>
        <w:rPr>
          <w:rFonts w:ascii="Arial" w:hAnsi="Arial" w:cs="Arial"/>
          <w:color w:val="444444"/>
          <w:sz w:val="21"/>
          <w:szCs w:val="21"/>
        </w:rPr>
        <w:t>$</w:t>
      </w:r>
    </w:p>
    <w:p w14:paraId="2459201B" w14:textId="77777777" w:rsidR="0058571F" w:rsidRDefault="0058571F" w:rsidP="009D7FAF">
      <w:pPr>
        <w:pStyle w:val="bullet"/>
        <w:shd w:val="clear" w:color="auto" w:fill="FFFFFF"/>
        <w:spacing w:before="65" w:beforeAutospacing="0" w:after="65" w:afterAutospacing="0"/>
        <w:ind w:left="1488" w:hanging="684"/>
        <w:jc w:val="both"/>
        <w:rPr>
          <w:rFonts w:ascii="Arial" w:hAnsi="Arial" w:cs="Arial"/>
          <w:color w:val="444444"/>
          <w:sz w:val="21"/>
          <w:szCs w:val="21"/>
        </w:rPr>
      </w:pPr>
    </w:p>
    <w:p w14:paraId="0A316FD9" w14:textId="77777777" w:rsidR="0058571F" w:rsidRPr="00DE6BEE" w:rsidRDefault="0058571F" w:rsidP="009D7FAF">
      <w:pPr>
        <w:pStyle w:val="bullet"/>
        <w:shd w:val="clear" w:color="auto" w:fill="FFFFFF"/>
        <w:spacing w:before="65" w:beforeAutospacing="0" w:after="65" w:afterAutospacing="0"/>
        <w:ind w:left="1488" w:hanging="684"/>
        <w:jc w:val="both"/>
        <w:rPr>
          <w:rFonts w:ascii="Arial" w:hAnsi="Arial" w:cs="Arial"/>
          <w:color w:val="444444"/>
          <w:sz w:val="21"/>
          <w:szCs w:val="21"/>
        </w:rPr>
      </w:pPr>
    </w:p>
    <w:p w14:paraId="259C889D" w14:textId="77777777" w:rsidR="0058571F" w:rsidRPr="00FD2BA8" w:rsidRDefault="0058571F" w:rsidP="009D7FAF">
      <w:pPr>
        <w:jc w:val="both"/>
        <w:rPr>
          <w:b/>
        </w:rPr>
      </w:pPr>
      <w:r w:rsidRPr="00FD2BA8">
        <w:rPr>
          <w:b/>
        </w:rPr>
        <w:t>Aide gouvernemental</w:t>
      </w:r>
      <w:r>
        <w:rPr>
          <w:b/>
        </w:rPr>
        <w:t>e</w:t>
      </w:r>
    </w:p>
    <w:p w14:paraId="0131AC08" w14:textId="77777777" w:rsidR="0058571F" w:rsidRDefault="000F0B28" w:rsidP="009D7FAF">
      <w:pPr>
        <w:jc w:val="both"/>
      </w:pPr>
      <w:r>
        <w:t xml:space="preserve">Selon chap. </w:t>
      </w:r>
      <w:r w:rsidR="0058571F">
        <w:t>3800</w:t>
      </w:r>
    </w:p>
    <w:p w14:paraId="69A15CD6" w14:textId="77777777" w:rsidR="0058571F" w:rsidRPr="008E310F" w:rsidRDefault="0058571F" w:rsidP="000F0B28">
      <w:pPr>
        <w:pStyle w:val="paragraph"/>
        <w:shd w:val="clear" w:color="auto" w:fill="FFFFFF"/>
        <w:spacing w:before="65" w:beforeAutospacing="0" w:after="65" w:afterAutospacing="0"/>
        <w:jc w:val="both"/>
        <w:rPr>
          <w:rFonts w:ascii="Arial" w:hAnsi="Arial" w:cs="Arial"/>
          <w:color w:val="0070C0"/>
          <w:sz w:val="21"/>
          <w:szCs w:val="21"/>
        </w:rPr>
      </w:pPr>
      <w:r w:rsidRPr="008E310F">
        <w:rPr>
          <w:rFonts w:ascii="Arial" w:hAnsi="Arial" w:cs="Arial"/>
          <w:color w:val="0070C0"/>
          <w:sz w:val="21"/>
          <w:szCs w:val="21"/>
        </w:rPr>
        <w:t>.25     </w:t>
      </w:r>
      <w:r w:rsidRPr="008E310F">
        <w:rPr>
          <w:rFonts w:ascii="Arial" w:hAnsi="Arial" w:cs="Arial"/>
          <w:i/>
          <w:iCs/>
          <w:color w:val="0070C0"/>
          <w:sz w:val="21"/>
          <w:szCs w:val="21"/>
        </w:rPr>
        <w:t>Lorsqu'une entreprise se voit octroyer un prêt-subvention, elle doit le comptabiliser comme une subvention. L'entreprise doit déterminer le traitement comptable qui convient en se fondant sur le présent chapitre.</w:t>
      </w:r>
      <w:bookmarkStart w:id="8" w:name="para_52"/>
      <w:bookmarkStart w:id="9" w:name="3800_-_Autres_considérations"/>
      <w:bookmarkEnd w:id="8"/>
      <w:bookmarkEnd w:id="9"/>
    </w:p>
    <w:p w14:paraId="6E7364D8" w14:textId="77777777" w:rsidR="0058571F" w:rsidRPr="008E310F" w:rsidRDefault="0058571F" w:rsidP="009D7FAF">
      <w:pPr>
        <w:jc w:val="both"/>
        <w:rPr>
          <w:rFonts w:ascii="Arial" w:hAnsi="Arial" w:cs="Arial"/>
          <w:i/>
          <w:iCs/>
          <w:color w:val="0070C0"/>
          <w:sz w:val="21"/>
          <w:szCs w:val="21"/>
          <w:shd w:val="clear" w:color="auto" w:fill="FFFFFF"/>
        </w:rPr>
      </w:pPr>
      <w:r w:rsidRPr="008E310F">
        <w:rPr>
          <w:rFonts w:ascii="Arial" w:hAnsi="Arial" w:cs="Arial"/>
          <w:color w:val="0070C0"/>
          <w:sz w:val="21"/>
          <w:szCs w:val="21"/>
          <w:shd w:val="clear" w:color="auto" w:fill="FFFFFF"/>
        </w:rPr>
        <w:t>.27     </w:t>
      </w:r>
      <w:r w:rsidRPr="008E310F">
        <w:rPr>
          <w:rFonts w:ascii="Arial" w:hAnsi="Arial" w:cs="Arial"/>
          <w:i/>
          <w:iCs/>
          <w:color w:val="0070C0"/>
          <w:sz w:val="21"/>
          <w:szCs w:val="21"/>
          <w:shd w:val="clear" w:color="auto" w:fill="FFFFFF"/>
        </w:rPr>
        <w:t>Pour un exercice donné, on doit comptabiliser la portion appropriée du total estimatif de l'aide gouvernementale que l'on compte recevoir, à condition que l'on soit raisonnablement certain que l'entreprise s'est conformée et continuera de se conformer à toutes les conditions se rattachant à l'octroi de cette aide.</w:t>
      </w:r>
    </w:p>
    <w:p w14:paraId="5BF0955F" w14:textId="77777777" w:rsidR="0058571F" w:rsidRDefault="0058571F" w:rsidP="009D7FAF">
      <w:pPr>
        <w:jc w:val="both"/>
      </w:pPr>
      <w:r>
        <w:t>On compte recevoir l’aide du gouvernement, car le prêt a été octroyé, donc l’argent reçu.</w:t>
      </w:r>
    </w:p>
    <w:p w14:paraId="379F54B9" w14:textId="01990880" w:rsidR="0058571F" w:rsidRDefault="0058571F" w:rsidP="009D7FAF">
      <w:pPr>
        <w:jc w:val="both"/>
      </w:pPr>
      <w:r>
        <w:t>On est raisonnablement certain que l’on se conformera aux conditions car la condition a été facilement respectée en 20</w:t>
      </w:r>
      <w:r w:rsidR="005727DC">
        <w:t>2</w:t>
      </w:r>
      <w:r w:rsidR="008E310F">
        <w:t>2</w:t>
      </w:r>
      <w:r>
        <w:t xml:space="preserve"> et on ne prévoit pas de changement en 20</w:t>
      </w:r>
      <w:r w:rsidR="0005208C">
        <w:t>2</w:t>
      </w:r>
      <w:r w:rsidR="008E310F">
        <w:t>3</w:t>
      </w:r>
      <w:r>
        <w:t>.</w:t>
      </w:r>
    </w:p>
    <w:p w14:paraId="768216AB" w14:textId="5C15E3A1" w:rsidR="0005208C" w:rsidRDefault="00C911EB" w:rsidP="009D7FAF">
      <w:pPr>
        <w:jc w:val="both"/>
      </w:pPr>
      <w:r>
        <w:t>Donc</w:t>
      </w:r>
      <w:r w:rsidR="0005208C">
        <w:t>, l’aide doit être constatée dans les états financiers.</w:t>
      </w:r>
      <w:r>
        <w:t xml:space="preserve"> De plus, selon chap. 3800, il ne faut pas comptabiliser un compte à payer car il n’y a pas de défaut des conditions. Voir le bon traitement expliqué ci-après.</w:t>
      </w:r>
    </w:p>
    <w:p w14:paraId="77AC99AD" w14:textId="77777777" w:rsidR="0005208C" w:rsidRDefault="0005208C" w:rsidP="009D7FAF">
      <w:pPr>
        <w:jc w:val="both"/>
      </w:pPr>
    </w:p>
    <w:p w14:paraId="33906FEB" w14:textId="77777777" w:rsidR="0058571F" w:rsidRDefault="0005208C" w:rsidP="009D7FAF">
      <w:pPr>
        <w:jc w:val="both"/>
      </w:pPr>
      <w:r>
        <w:t>Selon chap.</w:t>
      </w:r>
      <w:r w:rsidR="0058571F">
        <w:t xml:space="preserve"> 3800</w:t>
      </w:r>
    </w:p>
    <w:p w14:paraId="47225DC4" w14:textId="77777777" w:rsidR="0058571F" w:rsidRPr="008E310F" w:rsidRDefault="0058571F" w:rsidP="009D7FAF">
      <w:pPr>
        <w:jc w:val="both"/>
        <w:rPr>
          <w:rFonts w:ascii="Arial" w:hAnsi="Arial" w:cs="Arial"/>
          <w:color w:val="0070C0"/>
          <w:sz w:val="21"/>
          <w:szCs w:val="21"/>
          <w:shd w:val="clear" w:color="auto" w:fill="FFFFFF"/>
        </w:rPr>
      </w:pPr>
      <w:r w:rsidRPr="008E310F">
        <w:rPr>
          <w:rFonts w:ascii="Arial" w:hAnsi="Arial" w:cs="Arial"/>
          <w:color w:val="0070C0"/>
          <w:sz w:val="21"/>
          <w:szCs w:val="21"/>
          <w:shd w:val="clear" w:color="auto" w:fill="FFFFFF"/>
        </w:rPr>
        <w:t>.20     </w:t>
      </w:r>
      <w:r w:rsidRPr="008E310F">
        <w:rPr>
          <w:rFonts w:ascii="Arial" w:hAnsi="Arial" w:cs="Arial"/>
          <w:i/>
          <w:iCs/>
          <w:color w:val="0070C0"/>
          <w:sz w:val="21"/>
          <w:szCs w:val="21"/>
          <w:shd w:val="clear" w:color="auto" w:fill="FFFFFF"/>
        </w:rPr>
        <w:t>Lorsque l'aide gouvernementale a trait à des charges futures, on doit reporter les montants reçus afférents à ces charges et les porter dans les résultats au fur et à mesure que lesdites charges sont engagées.</w:t>
      </w:r>
    </w:p>
    <w:p w14:paraId="0C74086A" w14:textId="66E7CE9F" w:rsidR="0058571F" w:rsidRPr="008E310F" w:rsidRDefault="0058571F" w:rsidP="009D7FAF">
      <w:pPr>
        <w:jc w:val="both"/>
        <w:rPr>
          <w:color w:val="0070C0"/>
        </w:rPr>
      </w:pPr>
      <w:r w:rsidRPr="008E310F">
        <w:rPr>
          <w:rFonts w:ascii="Arial" w:hAnsi="Arial" w:cs="Arial"/>
          <w:color w:val="0070C0"/>
          <w:sz w:val="21"/>
          <w:szCs w:val="21"/>
          <w:shd w:val="clear" w:color="auto" w:fill="FFFFFF"/>
        </w:rPr>
        <w:t>.18     Le mode de présentation de l'aide gouvernementale dans l'état des résultats dépendra des circonstances. On pourra soit donner un montant net (déduction faite de l'aide gouvernementale) pour les charges en cause, soit porter l'aide gouvernementale en déduction du total des charges, soit la comptabiliser dans les produits</w:t>
      </w:r>
      <w:r w:rsidR="008E310F">
        <w:rPr>
          <w:rFonts w:ascii="Arial" w:hAnsi="Arial" w:cs="Arial"/>
          <w:color w:val="0070C0"/>
          <w:sz w:val="21"/>
          <w:szCs w:val="21"/>
          <w:shd w:val="clear" w:color="auto" w:fill="FFFFFF"/>
        </w:rPr>
        <w:t>.</w:t>
      </w:r>
    </w:p>
    <w:p w14:paraId="5A7386AD" w14:textId="77777777" w:rsidR="0058571F" w:rsidRDefault="0058571F" w:rsidP="009D7FAF">
      <w:pPr>
        <w:jc w:val="both"/>
      </w:pPr>
    </w:p>
    <w:p w14:paraId="1D026F38" w14:textId="77777777" w:rsidR="0058571F" w:rsidRDefault="0005208C" w:rsidP="009D7FAF">
      <w:pPr>
        <w:jc w:val="both"/>
      </w:pPr>
      <w:r>
        <w:t>Il y</w:t>
      </w:r>
      <w:r w:rsidR="0058571F">
        <w:t xml:space="preserve"> a deux possibilités, soit de présenter la subvention en diminution de la charge de salaires (à raison de 25 000</w:t>
      </w:r>
      <w:r>
        <w:t> </w:t>
      </w:r>
      <w:r w:rsidR="0058571F">
        <w:t xml:space="preserve">$ par année pour les </w:t>
      </w:r>
      <w:r>
        <w:t>deux</w:t>
      </w:r>
      <w:r w:rsidR="0058571F">
        <w:t xml:space="preserve"> années visées par la condition sur les salaires), ou soit de présenter la subvention dans les autres revenus (à raison de 25 000</w:t>
      </w:r>
      <w:r>
        <w:t> </w:t>
      </w:r>
      <w:r w:rsidR="0058571F">
        <w:t xml:space="preserve">$ par année pour les </w:t>
      </w:r>
      <w:r>
        <w:t>deux</w:t>
      </w:r>
      <w:r w:rsidR="0058571F">
        <w:t xml:space="preserve"> années visées par la condition sur les salaires).</w:t>
      </w:r>
    </w:p>
    <w:p w14:paraId="01717F0E" w14:textId="77777777" w:rsidR="0058571F" w:rsidRPr="0005208C" w:rsidRDefault="0005208C" w:rsidP="009D7FAF">
      <w:pPr>
        <w:jc w:val="both"/>
        <w:rPr>
          <w:i/>
          <w:iCs/>
        </w:rPr>
      </w:pPr>
      <w:r>
        <w:t xml:space="preserve">Je recommande de présenter en réduction des salaires pour présenter le coût réel pour l’entreprise / je recommande de présenter dans autres produits car vient réduire la charge salariale uniquement pour ces deux années.  </w:t>
      </w:r>
      <w:r>
        <w:rPr>
          <w:i/>
          <w:iCs/>
        </w:rPr>
        <w:t>On recherche une recommandation justifiée, les deux sont acceptables.</w:t>
      </w:r>
    </w:p>
    <w:p w14:paraId="7A23E90A" w14:textId="77777777" w:rsidR="0058571F" w:rsidRDefault="0058571F" w:rsidP="009D7FAF">
      <w:pPr>
        <w:jc w:val="both"/>
      </w:pPr>
    </w:p>
    <w:p w14:paraId="4EB0243C" w14:textId="77777777" w:rsidR="0058571F" w:rsidRPr="00FD2BA8" w:rsidRDefault="0058571F" w:rsidP="009D7FAF">
      <w:pPr>
        <w:jc w:val="both"/>
        <w:rPr>
          <w:b/>
        </w:rPr>
      </w:pPr>
      <w:r w:rsidRPr="00FD2BA8">
        <w:rPr>
          <w:b/>
        </w:rPr>
        <w:lastRenderedPageBreak/>
        <w:t>Placements</w:t>
      </w:r>
    </w:p>
    <w:p w14:paraId="566B0410" w14:textId="77777777" w:rsidR="0058571F" w:rsidRDefault="0058571F" w:rsidP="009D7FAF">
      <w:pPr>
        <w:jc w:val="both"/>
      </w:pPr>
      <w:r>
        <w:t xml:space="preserve">Les actions acquises sont un instrument financier qui ne permet pas d’avoir une influence notable, car </w:t>
      </w:r>
      <w:r w:rsidR="0005208C">
        <w:t xml:space="preserve">ne détient que </w:t>
      </w:r>
      <w:r>
        <w:t>5</w:t>
      </w:r>
      <w:r w:rsidR="0005208C">
        <w:t> </w:t>
      </w:r>
      <w:r>
        <w:t xml:space="preserve">% </w:t>
      </w:r>
      <w:r w:rsidR="0005208C">
        <w:t xml:space="preserve">des actions </w:t>
      </w:r>
      <w:r>
        <w:t>et pas d’intervention dans les décisions</w:t>
      </w:r>
      <w:r w:rsidR="0005208C">
        <w:t>, pas de présence au conseil d’administration</w:t>
      </w:r>
    </w:p>
    <w:p w14:paraId="6287B3BA" w14:textId="77777777" w:rsidR="003154C0" w:rsidRPr="00534009" w:rsidRDefault="003154C0" w:rsidP="003154C0">
      <w:r>
        <w:t>Selon chap. 3856</w:t>
      </w:r>
    </w:p>
    <w:p w14:paraId="33CF3F19" w14:textId="77777777" w:rsidR="00952CED" w:rsidRPr="00952CED" w:rsidRDefault="00952CED" w:rsidP="00952CED">
      <w:pPr>
        <w:pStyle w:val="paragraphnumber"/>
        <w:shd w:val="clear" w:color="auto" w:fill="FFFFFF"/>
        <w:spacing w:before="65" w:beforeAutospacing="0" w:after="65" w:afterAutospacing="0"/>
        <w:ind w:left="785" w:hanging="653"/>
        <w:rPr>
          <w:rFonts w:ascii="Arial" w:hAnsi="Arial" w:cs="Arial"/>
          <w:color w:val="0070C0"/>
          <w:sz w:val="21"/>
          <w:szCs w:val="21"/>
        </w:rPr>
      </w:pPr>
      <w:bookmarkStart w:id="10" w:name="para_87"/>
      <w:bookmarkStart w:id="11" w:name="3856.13"/>
      <w:bookmarkEnd w:id="10"/>
      <w:bookmarkEnd w:id="11"/>
      <w:r w:rsidRPr="00952CED">
        <w:rPr>
          <w:rFonts w:ascii="Arial" w:hAnsi="Arial" w:cs="Arial"/>
          <w:color w:val="0070C0"/>
          <w:sz w:val="21"/>
          <w:szCs w:val="21"/>
        </w:rPr>
        <w:t>.12    </w:t>
      </w:r>
      <w:r w:rsidRPr="00952CED">
        <w:rPr>
          <w:rFonts w:ascii="Arial" w:hAnsi="Arial" w:cs="Arial"/>
          <w:i/>
          <w:iCs/>
          <w:color w:val="0070C0"/>
          <w:sz w:val="21"/>
          <w:szCs w:val="21"/>
        </w:rPr>
        <w:t>L'entreprise doit évaluer ultérieurement les instruments financiers suivants à la juste valeur, sans tenir compte des coûts de transaction qu'elle peut engager en cas de vente ou autre sortie :</w:t>
      </w:r>
    </w:p>
    <w:p w14:paraId="30B465D2" w14:textId="77777777" w:rsidR="00952CED" w:rsidRPr="00952CED" w:rsidRDefault="00952CED" w:rsidP="00952CED">
      <w:pPr>
        <w:pStyle w:val="bullet"/>
        <w:shd w:val="clear" w:color="auto" w:fill="FFFFFF"/>
        <w:spacing w:before="65" w:beforeAutospacing="0" w:after="65" w:afterAutospacing="0"/>
        <w:ind w:left="1488" w:hanging="684"/>
        <w:rPr>
          <w:rFonts w:ascii="Arial" w:hAnsi="Arial" w:cs="Arial"/>
          <w:color w:val="0070C0"/>
          <w:sz w:val="21"/>
          <w:szCs w:val="21"/>
        </w:rPr>
      </w:pPr>
      <w:bookmarkStart w:id="12" w:name="para_144"/>
      <w:bookmarkEnd w:id="12"/>
      <w:r w:rsidRPr="00952CED">
        <w:rPr>
          <w:rFonts w:ascii="Arial" w:hAnsi="Arial" w:cs="Arial"/>
          <w:i/>
          <w:iCs/>
          <w:color w:val="0070C0"/>
          <w:sz w:val="21"/>
          <w:szCs w:val="21"/>
        </w:rPr>
        <w:t>a)     les placements dans des instruments de capitaux propres cotés sur un marché actif</w:t>
      </w:r>
      <w:r w:rsidRPr="00952CED">
        <w:rPr>
          <w:rFonts w:ascii="Arial" w:hAnsi="Arial" w:cs="Arial"/>
          <w:color w:val="0070C0"/>
          <w:sz w:val="21"/>
          <w:szCs w:val="21"/>
        </w:rPr>
        <w:t> (voir les paragraphes </w:t>
      </w:r>
      <w:hyperlink r:id="rId8" w:history="1">
        <w:r w:rsidRPr="00952CED">
          <w:rPr>
            <w:rStyle w:val="Lienhypertexte"/>
            <w:rFonts w:ascii="Arial" w:hAnsi="Arial" w:cs="Arial"/>
            <w:color w:val="0070C0"/>
            <w:sz w:val="21"/>
            <w:szCs w:val="21"/>
            <w:u w:val="none"/>
          </w:rPr>
          <w:t>3856.A9</w:t>
        </w:r>
      </w:hyperlink>
      <w:r w:rsidRPr="00952CED">
        <w:rPr>
          <w:rFonts w:ascii="Arial" w:hAnsi="Arial" w:cs="Arial"/>
          <w:color w:val="0070C0"/>
          <w:sz w:val="21"/>
          <w:szCs w:val="21"/>
        </w:rPr>
        <w:t> </w:t>
      </w:r>
      <w:proofErr w:type="spellStart"/>
      <w:proofErr w:type="gramStart"/>
      <w:r w:rsidRPr="00952CED">
        <w:rPr>
          <w:rFonts w:ascii="Arial" w:hAnsi="Arial" w:cs="Arial"/>
          <w:color w:val="0070C0"/>
          <w:sz w:val="21"/>
          <w:szCs w:val="21"/>
        </w:rPr>
        <w:t>à</w:t>
      </w:r>
      <w:proofErr w:type="spellEnd"/>
      <w:r w:rsidRPr="00952CED">
        <w:rPr>
          <w:rFonts w:ascii="Arial" w:hAnsi="Arial" w:cs="Arial"/>
          <w:color w:val="0070C0"/>
          <w:sz w:val="21"/>
          <w:szCs w:val="21"/>
        </w:rPr>
        <w:t xml:space="preserve"> .A</w:t>
      </w:r>
      <w:proofErr w:type="gramEnd"/>
      <w:r w:rsidRPr="00952CED">
        <w:rPr>
          <w:rFonts w:ascii="Arial" w:hAnsi="Arial" w:cs="Arial"/>
          <w:color w:val="0070C0"/>
          <w:sz w:val="21"/>
          <w:szCs w:val="21"/>
        </w:rPr>
        <w:t>11)</w:t>
      </w:r>
      <w:r w:rsidRPr="00952CED">
        <w:rPr>
          <w:rFonts w:ascii="Arial" w:hAnsi="Arial" w:cs="Arial"/>
          <w:i/>
          <w:iCs/>
          <w:color w:val="0070C0"/>
          <w:sz w:val="21"/>
          <w:szCs w:val="21"/>
        </w:rPr>
        <w:t>;</w:t>
      </w:r>
    </w:p>
    <w:p w14:paraId="13B2E48F" w14:textId="77777777" w:rsidR="00952CED" w:rsidRPr="00952CED" w:rsidRDefault="00952CED" w:rsidP="00952CED">
      <w:pPr>
        <w:pStyle w:val="bullet"/>
        <w:shd w:val="clear" w:color="auto" w:fill="FFFFFF"/>
        <w:spacing w:before="65" w:beforeAutospacing="0" w:after="65" w:afterAutospacing="0"/>
        <w:ind w:left="1488" w:hanging="684"/>
        <w:rPr>
          <w:rFonts w:ascii="Arial" w:hAnsi="Arial" w:cs="Arial"/>
          <w:color w:val="0070C0"/>
          <w:sz w:val="21"/>
          <w:szCs w:val="21"/>
        </w:rPr>
      </w:pPr>
      <w:bookmarkStart w:id="13" w:name="para_145"/>
      <w:bookmarkEnd w:id="13"/>
      <w:r w:rsidRPr="00952CED">
        <w:rPr>
          <w:rFonts w:ascii="Arial" w:hAnsi="Arial" w:cs="Arial"/>
          <w:i/>
          <w:iCs/>
          <w:color w:val="0070C0"/>
          <w:sz w:val="21"/>
          <w:szCs w:val="21"/>
        </w:rPr>
        <w:t>b)     les contrats dérivés autres que :</w:t>
      </w:r>
    </w:p>
    <w:p w14:paraId="50F70F6D" w14:textId="77777777" w:rsidR="00952CED" w:rsidRPr="00952CED" w:rsidRDefault="00952CED" w:rsidP="00952CED">
      <w:pPr>
        <w:pStyle w:val="sub-bullet"/>
        <w:shd w:val="clear" w:color="auto" w:fill="FFFFFF"/>
        <w:spacing w:before="65" w:beforeAutospacing="0" w:after="65" w:afterAutospacing="0"/>
        <w:ind w:left="2124" w:hanging="624"/>
        <w:rPr>
          <w:rFonts w:ascii="Arial" w:hAnsi="Arial" w:cs="Arial"/>
          <w:color w:val="0070C0"/>
          <w:sz w:val="21"/>
          <w:szCs w:val="21"/>
        </w:rPr>
      </w:pPr>
      <w:bookmarkStart w:id="14" w:name="para_146"/>
      <w:bookmarkEnd w:id="14"/>
      <w:r w:rsidRPr="00952CED">
        <w:rPr>
          <w:rFonts w:ascii="Arial" w:hAnsi="Arial" w:cs="Arial"/>
          <w:i/>
          <w:iCs/>
          <w:color w:val="0070C0"/>
          <w:sz w:val="21"/>
          <w:szCs w:val="21"/>
        </w:rPr>
        <w:t>i)     ceux qui sont désignés comme éléments constitutifs d'une relation de couverture admissible selon les paragraphes </w:t>
      </w:r>
      <w:hyperlink r:id="rId9" w:history="1">
        <w:r w:rsidRPr="00952CED">
          <w:rPr>
            <w:rStyle w:val="Lienhypertexte"/>
            <w:rFonts w:ascii="Arial" w:hAnsi="Arial" w:cs="Arial"/>
            <w:color w:val="0070C0"/>
            <w:sz w:val="21"/>
            <w:szCs w:val="21"/>
            <w:u w:val="none"/>
          </w:rPr>
          <w:t>3856.30</w:t>
        </w:r>
      </w:hyperlink>
      <w:r w:rsidRPr="00952CED">
        <w:rPr>
          <w:rFonts w:ascii="Arial" w:hAnsi="Arial" w:cs="Arial"/>
          <w:i/>
          <w:iCs/>
          <w:color w:val="0070C0"/>
          <w:sz w:val="21"/>
          <w:szCs w:val="21"/>
        </w:rPr>
        <w:t> à .36 ou le paragraphe </w:t>
      </w:r>
      <w:hyperlink r:id="rId10" w:history="1">
        <w:r w:rsidRPr="00952CED">
          <w:rPr>
            <w:rStyle w:val="Lienhypertexte"/>
            <w:rFonts w:ascii="Arial" w:hAnsi="Arial" w:cs="Arial"/>
            <w:color w:val="0070C0"/>
            <w:sz w:val="21"/>
            <w:szCs w:val="21"/>
            <w:u w:val="none"/>
          </w:rPr>
          <w:t>.39</w:t>
        </w:r>
      </w:hyperlink>
      <w:r w:rsidRPr="00952CED">
        <w:rPr>
          <w:rFonts w:ascii="Arial" w:hAnsi="Arial" w:cs="Arial"/>
          <w:i/>
          <w:iCs/>
          <w:color w:val="0070C0"/>
          <w:sz w:val="21"/>
          <w:szCs w:val="21"/>
        </w:rPr>
        <w:t> du chapitre 1651, CONVERSION DES DEVISES,</w:t>
      </w:r>
    </w:p>
    <w:p w14:paraId="31179B65" w14:textId="77777777" w:rsidR="00952CED" w:rsidRPr="00952CED" w:rsidRDefault="00952CED" w:rsidP="00952CED">
      <w:pPr>
        <w:pStyle w:val="sub-bullet"/>
        <w:shd w:val="clear" w:color="auto" w:fill="FFFFFF"/>
        <w:spacing w:before="65" w:beforeAutospacing="0" w:after="65" w:afterAutospacing="0"/>
        <w:ind w:left="2124" w:hanging="624"/>
        <w:rPr>
          <w:rFonts w:ascii="Arial" w:hAnsi="Arial" w:cs="Arial"/>
          <w:color w:val="0070C0"/>
          <w:sz w:val="21"/>
          <w:szCs w:val="21"/>
        </w:rPr>
      </w:pPr>
      <w:bookmarkStart w:id="15" w:name="para_147"/>
      <w:bookmarkEnd w:id="15"/>
      <w:r w:rsidRPr="00952CED">
        <w:rPr>
          <w:rFonts w:ascii="Arial" w:hAnsi="Arial" w:cs="Arial"/>
          <w:i/>
          <w:iCs/>
          <w:color w:val="0070C0"/>
          <w:sz w:val="21"/>
          <w:szCs w:val="21"/>
        </w:rPr>
        <w:t>ii)     ceux qui sont liés à des instruments de capitaux propres d'une autre entreprise — instruments dont la juste valeur ne peut être déterminée facilement — et qui doivent être réglés par la remise de tels instruments.</w:t>
      </w:r>
    </w:p>
    <w:p w14:paraId="71B14083" w14:textId="77777777" w:rsidR="00952CED" w:rsidRPr="00952CED" w:rsidRDefault="00952CED" w:rsidP="00952CED">
      <w:pPr>
        <w:pStyle w:val="paragraphtext"/>
        <w:shd w:val="clear" w:color="auto" w:fill="FFFFFF"/>
        <w:spacing w:before="65" w:beforeAutospacing="0" w:after="65" w:afterAutospacing="0"/>
        <w:ind w:left="785"/>
        <w:rPr>
          <w:rFonts w:ascii="Arial" w:hAnsi="Arial" w:cs="Arial"/>
          <w:color w:val="0070C0"/>
          <w:sz w:val="21"/>
          <w:szCs w:val="21"/>
        </w:rPr>
      </w:pPr>
      <w:bookmarkStart w:id="16" w:name="para_148"/>
      <w:bookmarkEnd w:id="16"/>
      <w:r w:rsidRPr="00952CED">
        <w:rPr>
          <w:rFonts w:ascii="Arial" w:hAnsi="Arial" w:cs="Arial"/>
          <w:i/>
          <w:iCs/>
          <w:color w:val="0070C0"/>
          <w:sz w:val="21"/>
          <w:szCs w:val="21"/>
        </w:rPr>
        <w:t>Les variations de la juste valeur doivent être comptabilisées dans le résultat net de la période où elles se produisent.</w:t>
      </w:r>
    </w:p>
    <w:p w14:paraId="6C949E9D" w14:textId="77777777" w:rsidR="00952CED" w:rsidRDefault="00952CED" w:rsidP="003154C0">
      <w:pPr>
        <w:pStyle w:val="paragraph"/>
        <w:spacing w:before="0" w:beforeAutospacing="0" w:after="0" w:afterAutospacing="0"/>
        <w:ind w:left="687" w:hanging="620"/>
        <w:rPr>
          <w:rFonts w:ascii="&amp;quot" w:hAnsi="&amp;quot"/>
          <w:color w:val="444444"/>
          <w:sz w:val="21"/>
          <w:szCs w:val="21"/>
          <w:lang w:val="fr-FR"/>
        </w:rPr>
      </w:pPr>
    </w:p>
    <w:p w14:paraId="78516FB6" w14:textId="77777777" w:rsidR="00CD5221" w:rsidRPr="00CD5221" w:rsidRDefault="00CD5221" w:rsidP="00CD5221">
      <w:pPr>
        <w:pStyle w:val="paragraphnumber"/>
        <w:shd w:val="clear" w:color="auto" w:fill="FFFFFF"/>
        <w:spacing w:before="65" w:beforeAutospacing="0" w:after="65" w:afterAutospacing="0"/>
        <w:ind w:left="785" w:hanging="653"/>
        <w:rPr>
          <w:rFonts w:ascii="Arial" w:hAnsi="Arial" w:cs="Arial"/>
          <w:color w:val="0070C0"/>
          <w:sz w:val="21"/>
          <w:szCs w:val="21"/>
        </w:rPr>
      </w:pPr>
      <w:r w:rsidRPr="00CD5221">
        <w:rPr>
          <w:rFonts w:ascii="Arial" w:hAnsi="Arial" w:cs="Arial"/>
          <w:color w:val="0070C0"/>
          <w:sz w:val="21"/>
          <w:szCs w:val="21"/>
        </w:rPr>
        <w:t>.13    </w:t>
      </w:r>
      <w:r w:rsidRPr="00CD5221">
        <w:rPr>
          <w:rFonts w:ascii="Arial" w:hAnsi="Arial" w:cs="Arial"/>
          <w:i/>
          <w:iCs/>
          <w:color w:val="0070C0"/>
          <w:sz w:val="21"/>
          <w:szCs w:val="21"/>
        </w:rPr>
        <w:t>Sauf dans le cas d'un instrument financier visé par le paragraphe </w:t>
      </w:r>
      <w:hyperlink r:id="rId11" w:history="1">
        <w:r w:rsidRPr="00CD5221">
          <w:rPr>
            <w:rStyle w:val="Lienhypertexte"/>
            <w:rFonts w:ascii="Arial" w:hAnsi="Arial" w:cs="Arial"/>
            <w:color w:val="0070C0"/>
            <w:sz w:val="21"/>
            <w:szCs w:val="21"/>
          </w:rPr>
          <w:t>3856.09A</w:t>
        </w:r>
      </w:hyperlink>
      <w:r w:rsidRPr="00CD5221">
        <w:rPr>
          <w:rFonts w:ascii="Arial" w:hAnsi="Arial" w:cs="Arial"/>
          <w:i/>
          <w:iCs/>
          <w:color w:val="0070C0"/>
          <w:sz w:val="21"/>
          <w:szCs w:val="21"/>
        </w:rPr>
        <w:t>, l'entreprise peut choisir d'évaluer ultérieurement à la juste valeur tout actif financier créé ou acquis ou tout passif financier émis ou pris en charge dans une opération conclue dans des conditions de pleine concurrence en le désignant à cette fin dans l'une ou l'autre des situations suivantes :</w:t>
      </w:r>
    </w:p>
    <w:p w14:paraId="67379DE3" w14:textId="77777777" w:rsidR="00CD5221" w:rsidRPr="00CD5221" w:rsidRDefault="00CD5221" w:rsidP="00CD5221">
      <w:pPr>
        <w:pStyle w:val="bullet"/>
        <w:shd w:val="clear" w:color="auto" w:fill="FFFFFF"/>
        <w:spacing w:before="65" w:beforeAutospacing="0" w:after="65" w:afterAutospacing="0"/>
        <w:ind w:left="1488" w:hanging="684"/>
        <w:rPr>
          <w:rFonts w:ascii="Arial" w:hAnsi="Arial" w:cs="Arial"/>
          <w:color w:val="0070C0"/>
          <w:sz w:val="21"/>
          <w:szCs w:val="21"/>
        </w:rPr>
      </w:pPr>
      <w:bookmarkStart w:id="17" w:name="para_151"/>
      <w:bookmarkEnd w:id="17"/>
      <w:r w:rsidRPr="00CD5221">
        <w:rPr>
          <w:rFonts w:ascii="Arial" w:hAnsi="Arial" w:cs="Arial"/>
          <w:i/>
          <w:iCs/>
          <w:color w:val="0070C0"/>
          <w:sz w:val="21"/>
          <w:szCs w:val="21"/>
        </w:rPr>
        <w:t>a)     lors de la comptabilisation initiale de cet actif ou de ce passif conformément au présent chapitre;</w:t>
      </w:r>
    </w:p>
    <w:p w14:paraId="5BB10892" w14:textId="06D3B936" w:rsidR="00CD5221" w:rsidRPr="00CD5221" w:rsidRDefault="00CD5221" w:rsidP="00CD5221">
      <w:pPr>
        <w:pStyle w:val="bullet"/>
        <w:shd w:val="clear" w:color="auto" w:fill="FFFFFF"/>
        <w:spacing w:before="65" w:beforeAutospacing="0" w:after="65" w:afterAutospacing="0"/>
        <w:ind w:left="1488" w:hanging="684"/>
        <w:rPr>
          <w:rFonts w:ascii="Arial" w:hAnsi="Arial" w:cs="Arial"/>
          <w:color w:val="0070C0"/>
          <w:sz w:val="21"/>
          <w:szCs w:val="21"/>
        </w:rPr>
      </w:pPr>
      <w:bookmarkStart w:id="18" w:name="para_152"/>
      <w:bookmarkEnd w:id="18"/>
      <w:r w:rsidRPr="00CD5221">
        <w:rPr>
          <w:rFonts w:ascii="Arial" w:hAnsi="Arial" w:cs="Arial"/>
          <w:i/>
          <w:iCs/>
          <w:strike/>
          <w:color w:val="0070C0"/>
          <w:sz w:val="21"/>
          <w:szCs w:val="21"/>
        </w:rPr>
        <w:t>b)     dans le cas d'un placement dans un instrument de capitaux propres évalué à la juste valeur conformément à l'alinéa </w:t>
      </w:r>
      <w:hyperlink r:id="rId12" w:history="1">
        <w:r w:rsidRPr="00CD5221">
          <w:rPr>
            <w:rStyle w:val="Lienhypertexte"/>
            <w:rFonts w:ascii="Arial" w:hAnsi="Arial" w:cs="Arial"/>
            <w:strike/>
            <w:color w:val="0070C0"/>
            <w:sz w:val="21"/>
            <w:szCs w:val="21"/>
          </w:rPr>
          <w:t>3856.12</w:t>
        </w:r>
      </w:hyperlink>
      <w:r w:rsidRPr="00CD5221">
        <w:rPr>
          <w:rFonts w:ascii="Arial" w:hAnsi="Arial" w:cs="Arial"/>
          <w:i/>
          <w:iCs/>
          <w:strike/>
          <w:color w:val="0070C0"/>
          <w:sz w:val="21"/>
          <w:szCs w:val="21"/>
        </w:rPr>
        <w:t> a), lorsque l'instrument cesse d'être coté sur un marché actif</w:t>
      </w:r>
      <w:r w:rsidRPr="00CD5221">
        <w:rPr>
          <w:rFonts w:ascii="Arial" w:hAnsi="Arial" w:cs="Arial"/>
          <w:i/>
          <w:iCs/>
          <w:color w:val="0070C0"/>
          <w:sz w:val="21"/>
          <w:szCs w:val="21"/>
        </w:rPr>
        <w:t>.</w:t>
      </w:r>
      <w:r>
        <w:rPr>
          <w:rFonts w:ascii="Arial" w:hAnsi="Arial" w:cs="Arial"/>
          <w:i/>
          <w:iCs/>
          <w:color w:val="0070C0"/>
          <w:sz w:val="21"/>
          <w:szCs w:val="21"/>
        </w:rPr>
        <w:t xml:space="preserve"> </w:t>
      </w:r>
      <w:r w:rsidRPr="00CD5221">
        <w:rPr>
          <w:rFonts w:ascii="Arial" w:hAnsi="Arial" w:cs="Arial"/>
          <w:i/>
          <w:iCs/>
          <w:color w:val="000000" w:themeColor="text1"/>
          <w:sz w:val="21"/>
          <w:szCs w:val="21"/>
        </w:rPr>
        <w:t xml:space="preserve"> (</w:t>
      </w:r>
      <w:proofErr w:type="gramStart"/>
      <w:r w:rsidRPr="00CD5221">
        <w:rPr>
          <w:rFonts w:ascii="Arial" w:hAnsi="Arial" w:cs="Arial"/>
          <w:i/>
          <w:iCs/>
          <w:color w:val="000000" w:themeColor="text1"/>
          <w:sz w:val="21"/>
          <w:szCs w:val="21"/>
        </w:rPr>
        <w:t>non</w:t>
      </w:r>
      <w:proofErr w:type="gramEnd"/>
      <w:r w:rsidRPr="00CD5221">
        <w:rPr>
          <w:rFonts w:ascii="Arial" w:hAnsi="Arial" w:cs="Arial"/>
          <w:i/>
          <w:iCs/>
          <w:color w:val="000000" w:themeColor="text1"/>
          <w:sz w:val="21"/>
          <w:szCs w:val="21"/>
        </w:rPr>
        <w:t xml:space="preserve"> applicable, pas une transaction avec un apparenté)</w:t>
      </w:r>
    </w:p>
    <w:p w14:paraId="17100B4C" w14:textId="613F6510" w:rsidR="0058571F" w:rsidRPr="00CD5221" w:rsidRDefault="00CD5221" w:rsidP="00CD5221">
      <w:pPr>
        <w:pStyle w:val="paragraphtext"/>
        <w:shd w:val="clear" w:color="auto" w:fill="FFFFFF"/>
        <w:spacing w:before="65" w:beforeAutospacing="0" w:after="65" w:afterAutospacing="0"/>
        <w:ind w:left="785"/>
        <w:rPr>
          <w:rFonts w:ascii="&amp;quot" w:hAnsi="&amp;quot"/>
          <w:color w:val="0070C0"/>
          <w:sz w:val="21"/>
          <w:szCs w:val="21"/>
        </w:rPr>
      </w:pPr>
      <w:bookmarkStart w:id="19" w:name="para_153"/>
      <w:bookmarkEnd w:id="19"/>
      <w:r w:rsidRPr="00CD5221">
        <w:rPr>
          <w:rFonts w:ascii="Arial" w:hAnsi="Arial" w:cs="Arial"/>
          <w:i/>
          <w:iCs/>
          <w:color w:val="0070C0"/>
          <w:sz w:val="21"/>
          <w:szCs w:val="21"/>
        </w:rPr>
        <w:t>Toute désignation effectuée conformément au présent paragraphe est irrévocable.</w:t>
      </w:r>
      <w:r w:rsidRPr="00CD5221">
        <w:rPr>
          <w:rFonts w:ascii="Arial" w:hAnsi="Arial" w:cs="Arial"/>
          <w:color w:val="0070C0"/>
          <w:sz w:val="21"/>
          <w:szCs w:val="21"/>
        </w:rPr>
        <w:t> </w:t>
      </w:r>
    </w:p>
    <w:p w14:paraId="44715EE4" w14:textId="77777777" w:rsidR="00CD5221" w:rsidRPr="00CD5221" w:rsidRDefault="00CD5221" w:rsidP="00CD5221">
      <w:pPr>
        <w:pStyle w:val="paragraph"/>
        <w:spacing w:before="0" w:beforeAutospacing="0" w:after="0" w:afterAutospacing="0"/>
        <w:jc w:val="both"/>
        <w:rPr>
          <w:rFonts w:ascii="&amp;quot" w:hAnsi="&amp;quot"/>
          <w:color w:val="444444"/>
          <w:sz w:val="21"/>
          <w:szCs w:val="21"/>
          <w:lang w:val="fr-FR"/>
        </w:rPr>
      </w:pPr>
    </w:p>
    <w:p w14:paraId="5D8E1EA0" w14:textId="3874D06A" w:rsidR="003154C0" w:rsidRDefault="003154C0" w:rsidP="003154C0">
      <w:pPr>
        <w:jc w:val="both"/>
      </w:pPr>
      <w:r>
        <w:t>Trouble n’est pas une société cotée, donc pas d’obligation de présenter à la juste valeur, tel que requis par 3856 par</w:t>
      </w:r>
      <w:r w:rsidR="005727DC">
        <w:t>.</w:t>
      </w:r>
      <w:r>
        <w:t xml:space="preserve"> 12a)</w:t>
      </w:r>
    </w:p>
    <w:p w14:paraId="3039CCEC" w14:textId="238263CD" w:rsidR="003154C0" w:rsidRDefault="003154C0" w:rsidP="003154C0">
      <w:pPr>
        <w:jc w:val="both"/>
      </w:pPr>
      <w:r>
        <w:t>Selon 3856 par</w:t>
      </w:r>
      <w:r w:rsidR="005727DC">
        <w:t>.</w:t>
      </w:r>
      <w:r>
        <w:t xml:space="preserve"> 13, PEI peut choisir de présenter son placement à la juste valeur ou au coût. Puisque la juste valeur ne sera pas facilement disponible pour les périodes futures, je recommande de présenter le placement au coût, et donc de le laisser à 20 000 $.</w:t>
      </w:r>
    </w:p>
    <w:p w14:paraId="3966D988" w14:textId="77777777" w:rsidR="00CD5221" w:rsidRDefault="00CD5221" w:rsidP="003154C0">
      <w:pPr>
        <w:jc w:val="both"/>
      </w:pPr>
    </w:p>
    <w:p w14:paraId="0BA5262F" w14:textId="77777777" w:rsidR="00CD5221" w:rsidRPr="00CD5221" w:rsidRDefault="00CD5221" w:rsidP="00CD5221">
      <w:pPr>
        <w:pStyle w:val="paragraphnumber"/>
        <w:shd w:val="clear" w:color="auto" w:fill="FFFFFF"/>
        <w:spacing w:before="65" w:beforeAutospacing="0" w:after="65" w:afterAutospacing="0"/>
        <w:ind w:left="785" w:hanging="653"/>
        <w:rPr>
          <w:rFonts w:ascii="Arial" w:hAnsi="Arial" w:cs="Arial"/>
          <w:color w:val="4472C4" w:themeColor="accent1"/>
          <w:sz w:val="21"/>
          <w:szCs w:val="21"/>
        </w:rPr>
      </w:pPr>
      <w:r w:rsidRPr="00CD5221">
        <w:rPr>
          <w:rFonts w:ascii="Arial" w:hAnsi="Arial" w:cs="Arial"/>
          <w:color w:val="4472C4" w:themeColor="accent1"/>
          <w:sz w:val="21"/>
          <w:szCs w:val="21"/>
        </w:rPr>
        <w:t>11    </w:t>
      </w:r>
      <w:r w:rsidRPr="00CD5221">
        <w:rPr>
          <w:rFonts w:ascii="Arial" w:hAnsi="Arial" w:cs="Arial"/>
          <w:i/>
          <w:iCs/>
          <w:color w:val="4472C4" w:themeColor="accent1"/>
          <w:sz w:val="21"/>
          <w:szCs w:val="21"/>
        </w:rPr>
        <w:t>Sauf dans le cas des instruments financiers visés par les paragraphes </w:t>
      </w:r>
      <w:hyperlink r:id="rId13" w:history="1">
        <w:r w:rsidRPr="00CD5221">
          <w:rPr>
            <w:rStyle w:val="Lienhypertexte"/>
            <w:rFonts w:ascii="Arial" w:hAnsi="Arial" w:cs="Arial"/>
            <w:color w:val="4472C4" w:themeColor="accent1"/>
            <w:sz w:val="21"/>
            <w:szCs w:val="21"/>
          </w:rPr>
          <w:t>3856.14</w:t>
        </w:r>
      </w:hyperlink>
      <w:r w:rsidRPr="00CD5221">
        <w:rPr>
          <w:rFonts w:ascii="Arial" w:hAnsi="Arial" w:cs="Arial"/>
          <w:i/>
          <w:iCs/>
          <w:color w:val="4472C4" w:themeColor="accent1"/>
          <w:sz w:val="21"/>
          <w:szCs w:val="21"/>
        </w:rPr>
        <w:t> et .14A ou </w:t>
      </w:r>
      <w:hyperlink r:id="rId14" w:history="1">
        <w:r w:rsidRPr="00CD5221">
          <w:rPr>
            <w:rStyle w:val="Lienhypertexte"/>
            <w:rFonts w:ascii="Arial" w:hAnsi="Arial" w:cs="Arial"/>
            <w:color w:val="4472C4" w:themeColor="accent1"/>
            <w:sz w:val="21"/>
            <w:szCs w:val="21"/>
          </w:rPr>
          <w:t>15A</w:t>
        </w:r>
      </w:hyperlink>
      <w:r w:rsidRPr="00CD5221">
        <w:rPr>
          <w:rFonts w:ascii="Arial" w:hAnsi="Arial" w:cs="Arial"/>
          <w:i/>
          <w:iCs/>
          <w:color w:val="4472C4" w:themeColor="accent1"/>
          <w:sz w:val="21"/>
          <w:szCs w:val="21"/>
        </w:rPr>
        <w:t>, à chaque date de clôture, l'entreprise doit évaluer ultérieurement l'instrument financier en fonction de la méthode utilisée pour l'évaluer initialement. Si l'entreprise a évalué initialement l'instrument financier :</w:t>
      </w:r>
    </w:p>
    <w:p w14:paraId="59B68E7F" w14:textId="77777777" w:rsidR="00CD5221" w:rsidRPr="00CD5221" w:rsidRDefault="00CD5221" w:rsidP="00CD5221">
      <w:pPr>
        <w:pStyle w:val="bullet"/>
        <w:shd w:val="clear" w:color="auto" w:fill="FFFFFF"/>
        <w:spacing w:before="65" w:beforeAutospacing="0" w:after="65" w:afterAutospacing="0"/>
        <w:ind w:left="1488" w:hanging="684"/>
        <w:rPr>
          <w:rFonts w:ascii="Arial" w:hAnsi="Arial" w:cs="Arial"/>
          <w:color w:val="4472C4" w:themeColor="accent1"/>
          <w:sz w:val="21"/>
          <w:szCs w:val="21"/>
        </w:rPr>
      </w:pPr>
      <w:bookmarkStart w:id="20" w:name="para_135"/>
      <w:bookmarkEnd w:id="20"/>
      <w:r w:rsidRPr="00CD5221">
        <w:rPr>
          <w:rFonts w:ascii="Arial" w:hAnsi="Arial" w:cs="Arial"/>
          <w:i/>
          <w:iCs/>
          <w:color w:val="4472C4" w:themeColor="accent1"/>
          <w:sz w:val="21"/>
          <w:szCs w:val="21"/>
        </w:rPr>
        <w:lastRenderedPageBreak/>
        <w:t>a)     à la juste valeur, elle doit l'évaluer ultérieurement comme suit :</w:t>
      </w:r>
    </w:p>
    <w:p w14:paraId="4B858B88" w14:textId="77777777" w:rsidR="00CD5221" w:rsidRPr="00CD5221" w:rsidRDefault="00CD5221" w:rsidP="00CD5221">
      <w:pPr>
        <w:pStyle w:val="sub-bullet"/>
        <w:shd w:val="clear" w:color="auto" w:fill="FFFFFF"/>
        <w:spacing w:before="65" w:beforeAutospacing="0" w:after="65" w:afterAutospacing="0"/>
        <w:ind w:left="2124" w:hanging="624"/>
        <w:rPr>
          <w:rFonts w:ascii="Arial" w:hAnsi="Arial" w:cs="Arial"/>
          <w:color w:val="4472C4" w:themeColor="accent1"/>
          <w:sz w:val="21"/>
          <w:szCs w:val="21"/>
        </w:rPr>
      </w:pPr>
      <w:bookmarkStart w:id="21" w:name="para_136"/>
      <w:bookmarkEnd w:id="21"/>
      <w:r w:rsidRPr="00CD5221">
        <w:rPr>
          <w:rFonts w:ascii="Arial" w:hAnsi="Arial" w:cs="Arial"/>
          <w:i/>
          <w:iCs/>
          <w:color w:val="4472C4" w:themeColor="accent1"/>
          <w:sz w:val="21"/>
          <w:szCs w:val="21"/>
        </w:rPr>
        <w:t>i)     dans le cas de placements dans des instruments de capitaux propres cotés sur un marché actif ou des contrats dérivés, à la juste valeur conformément au paragraphe</w:t>
      </w:r>
      <w:r w:rsidRPr="00CD5221">
        <w:rPr>
          <w:rFonts w:ascii="Arial" w:hAnsi="Arial" w:cs="Arial"/>
          <w:color w:val="4472C4" w:themeColor="accent1"/>
          <w:sz w:val="21"/>
          <w:szCs w:val="21"/>
        </w:rPr>
        <w:t> </w:t>
      </w:r>
      <w:hyperlink r:id="rId15" w:history="1">
        <w:r w:rsidRPr="00CD5221">
          <w:rPr>
            <w:rStyle w:val="Lienhypertexte"/>
            <w:rFonts w:ascii="Arial" w:hAnsi="Arial" w:cs="Arial"/>
            <w:color w:val="4472C4" w:themeColor="accent1"/>
            <w:sz w:val="21"/>
            <w:szCs w:val="21"/>
          </w:rPr>
          <w:t>3856.12</w:t>
        </w:r>
      </w:hyperlink>
      <w:r w:rsidRPr="00CD5221">
        <w:rPr>
          <w:rFonts w:ascii="Arial" w:hAnsi="Arial" w:cs="Arial"/>
          <w:i/>
          <w:iCs/>
          <w:color w:val="4472C4" w:themeColor="accent1"/>
          <w:sz w:val="21"/>
          <w:szCs w:val="21"/>
        </w:rPr>
        <w:t>,</w:t>
      </w:r>
    </w:p>
    <w:p w14:paraId="5D46C1BD" w14:textId="77777777" w:rsidR="00CD5221" w:rsidRPr="00CD5221" w:rsidRDefault="00CD5221" w:rsidP="00CD5221">
      <w:pPr>
        <w:pStyle w:val="sub-bullet"/>
        <w:shd w:val="clear" w:color="auto" w:fill="FFFFFF"/>
        <w:spacing w:before="65" w:beforeAutospacing="0" w:after="65" w:afterAutospacing="0"/>
        <w:ind w:left="2124" w:hanging="624"/>
        <w:rPr>
          <w:rFonts w:ascii="Arial" w:hAnsi="Arial" w:cs="Arial"/>
          <w:color w:val="4472C4" w:themeColor="accent1"/>
          <w:sz w:val="21"/>
          <w:szCs w:val="21"/>
        </w:rPr>
      </w:pPr>
      <w:bookmarkStart w:id="22" w:name="para_137"/>
      <w:bookmarkEnd w:id="22"/>
      <w:r w:rsidRPr="00CD5221">
        <w:rPr>
          <w:rFonts w:ascii="Arial" w:hAnsi="Arial" w:cs="Arial"/>
          <w:i/>
          <w:iCs/>
          <w:color w:val="4472C4" w:themeColor="accent1"/>
          <w:sz w:val="21"/>
          <w:szCs w:val="21"/>
        </w:rPr>
        <w:t>ii)     dans le cas d'actifs financiers ou des passifs financiers, à la juste valeur, si l'entreprise choisit d'appliquer l'évaluation à la juste valeur conformément au paragraphe</w:t>
      </w:r>
      <w:r w:rsidRPr="00CD5221">
        <w:rPr>
          <w:rFonts w:ascii="Arial" w:hAnsi="Arial" w:cs="Arial"/>
          <w:color w:val="4472C4" w:themeColor="accent1"/>
          <w:sz w:val="21"/>
          <w:szCs w:val="21"/>
        </w:rPr>
        <w:t> </w:t>
      </w:r>
      <w:hyperlink r:id="rId16" w:history="1">
        <w:r w:rsidRPr="00CD5221">
          <w:rPr>
            <w:rStyle w:val="Lienhypertexte"/>
            <w:rFonts w:ascii="Arial" w:hAnsi="Arial" w:cs="Arial"/>
            <w:color w:val="4472C4" w:themeColor="accent1"/>
            <w:sz w:val="21"/>
            <w:szCs w:val="21"/>
          </w:rPr>
          <w:t>3856.13</w:t>
        </w:r>
      </w:hyperlink>
      <w:r w:rsidRPr="00CD5221">
        <w:rPr>
          <w:rFonts w:ascii="Arial" w:hAnsi="Arial" w:cs="Arial"/>
          <w:color w:val="4472C4" w:themeColor="accent1"/>
          <w:sz w:val="21"/>
          <w:szCs w:val="21"/>
        </w:rPr>
        <w:t> </w:t>
      </w:r>
      <w:r w:rsidRPr="00CD5221">
        <w:rPr>
          <w:rFonts w:ascii="Arial" w:hAnsi="Arial" w:cs="Arial"/>
          <w:i/>
          <w:iCs/>
          <w:color w:val="4472C4" w:themeColor="accent1"/>
          <w:sz w:val="21"/>
          <w:szCs w:val="21"/>
        </w:rPr>
        <w:t>ou</w:t>
      </w:r>
      <w:r w:rsidRPr="00CD5221">
        <w:rPr>
          <w:rFonts w:ascii="Arial" w:hAnsi="Arial" w:cs="Arial"/>
          <w:color w:val="4472C4" w:themeColor="accent1"/>
          <w:sz w:val="21"/>
          <w:szCs w:val="21"/>
        </w:rPr>
        <w:t> </w:t>
      </w:r>
      <w:hyperlink r:id="rId17" w:history="1">
        <w:r w:rsidRPr="00CD5221">
          <w:rPr>
            <w:rStyle w:val="Lienhypertexte"/>
            <w:rFonts w:ascii="Arial" w:hAnsi="Arial" w:cs="Arial"/>
            <w:color w:val="4472C4" w:themeColor="accent1"/>
            <w:sz w:val="21"/>
            <w:szCs w:val="21"/>
          </w:rPr>
          <w:t>3856.13A</w:t>
        </w:r>
      </w:hyperlink>
      <w:r w:rsidRPr="00CD5221">
        <w:rPr>
          <w:rFonts w:ascii="Arial" w:hAnsi="Arial" w:cs="Arial"/>
          <w:i/>
          <w:iCs/>
          <w:color w:val="4472C4" w:themeColor="accent1"/>
          <w:sz w:val="21"/>
          <w:szCs w:val="21"/>
        </w:rPr>
        <w:t>,</w:t>
      </w:r>
    </w:p>
    <w:p w14:paraId="7E83479F" w14:textId="77777777" w:rsidR="00CD5221" w:rsidRPr="00CD5221" w:rsidRDefault="00CD5221" w:rsidP="00CD5221">
      <w:pPr>
        <w:pStyle w:val="sub-bullet"/>
        <w:shd w:val="clear" w:color="auto" w:fill="FFFFFF"/>
        <w:spacing w:before="65" w:beforeAutospacing="0" w:after="65" w:afterAutospacing="0"/>
        <w:ind w:left="2124" w:hanging="624"/>
        <w:rPr>
          <w:rFonts w:ascii="Arial" w:hAnsi="Arial" w:cs="Arial"/>
          <w:color w:val="4472C4" w:themeColor="accent1"/>
          <w:sz w:val="21"/>
          <w:szCs w:val="21"/>
        </w:rPr>
      </w:pPr>
      <w:bookmarkStart w:id="23" w:name="para_138"/>
      <w:bookmarkEnd w:id="23"/>
      <w:r w:rsidRPr="00CD5221">
        <w:rPr>
          <w:rFonts w:ascii="Arial" w:hAnsi="Arial" w:cs="Arial"/>
          <w:i/>
          <w:iCs/>
          <w:color w:val="4472C4" w:themeColor="accent1"/>
          <w:sz w:val="21"/>
          <w:szCs w:val="21"/>
        </w:rPr>
        <w:t>iii)     dans le cas de placements dans des instruments de capitaux propres non cotés sur un marché actif qui ont été créés ou acquis dans une opération conclue dans des conditions de pleine concurrence, au coût, diminué pour tenir compte de la dépréciation le cas échéant,</w:t>
      </w:r>
    </w:p>
    <w:p w14:paraId="0D5FA869" w14:textId="77777777" w:rsidR="00CD5221" w:rsidRPr="00CD5221" w:rsidRDefault="00CD5221" w:rsidP="00CD5221">
      <w:pPr>
        <w:pStyle w:val="sub-bullet"/>
        <w:shd w:val="clear" w:color="auto" w:fill="FFFFFF"/>
        <w:spacing w:before="65" w:beforeAutospacing="0" w:after="65" w:afterAutospacing="0"/>
        <w:ind w:left="2124" w:hanging="624"/>
        <w:rPr>
          <w:rFonts w:ascii="Arial" w:hAnsi="Arial" w:cs="Arial"/>
          <w:color w:val="4472C4" w:themeColor="accent1"/>
          <w:sz w:val="21"/>
          <w:szCs w:val="21"/>
        </w:rPr>
      </w:pPr>
      <w:bookmarkStart w:id="24" w:name="para_139"/>
      <w:bookmarkEnd w:id="24"/>
      <w:r w:rsidRPr="00CD5221">
        <w:rPr>
          <w:rFonts w:ascii="Arial" w:hAnsi="Arial" w:cs="Arial"/>
          <w:i/>
          <w:iCs/>
          <w:color w:val="4472C4" w:themeColor="accent1"/>
          <w:sz w:val="21"/>
          <w:szCs w:val="21"/>
        </w:rPr>
        <w:t>iv)     dans le cas de tous les autres actifs financiers, au coût après amortissement,</w:t>
      </w:r>
    </w:p>
    <w:p w14:paraId="29CC6B2F" w14:textId="77777777" w:rsidR="00CD5221" w:rsidRPr="00CD5221" w:rsidRDefault="00CD5221" w:rsidP="00CD5221">
      <w:pPr>
        <w:pStyle w:val="sub-bullet"/>
        <w:shd w:val="clear" w:color="auto" w:fill="FFFFFF"/>
        <w:spacing w:before="65" w:beforeAutospacing="0" w:after="65" w:afterAutospacing="0"/>
        <w:ind w:left="2124" w:hanging="624"/>
        <w:rPr>
          <w:rFonts w:ascii="Arial" w:hAnsi="Arial" w:cs="Arial"/>
          <w:color w:val="4472C4" w:themeColor="accent1"/>
          <w:sz w:val="21"/>
          <w:szCs w:val="21"/>
        </w:rPr>
      </w:pPr>
      <w:bookmarkStart w:id="25" w:name="para_140"/>
      <w:bookmarkEnd w:id="25"/>
      <w:r w:rsidRPr="00CD5221">
        <w:rPr>
          <w:rFonts w:ascii="Arial" w:hAnsi="Arial" w:cs="Arial"/>
          <w:i/>
          <w:iCs/>
          <w:color w:val="4472C4" w:themeColor="accent1"/>
          <w:sz w:val="21"/>
          <w:szCs w:val="21"/>
        </w:rPr>
        <w:t>v)     dans le cas de passifs financiers, au coût après amortissement.</w:t>
      </w:r>
    </w:p>
    <w:p w14:paraId="2238B5E7" w14:textId="77777777" w:rsidR="00CD5221" w:rsidRPr="00CD5221" w:rsidRDefault="00CD5221" w:rsidP="00CD5221">
      <w:pPr>
        <w:pStyle w:val="bullet"/>
        <w:shd w:val="clear" w:color="auto" w:fill="FFFFFF"/>
        <w:spacing w:before="65" w:beforeAutospacing="0" w:after="65" w:afterAutospacing="0"/>
        <w:ind w:left="1488" w:hanging="684"/>
        <w:rPr>
          <w:rFonts w:ascii="Arial" w:hAnsi="Arial" w:cs="Arial"/>
          <w:color w:val="4472C4" w:themeColor="accent1"/>
          <w:sz w:val="21"/>
          <w:szCs w:val="21"/>
        </w:rPr>
      </w:pPr>
      <w:bookmarkStart w:id="26" w:name="para_141"/>
      <w:bookmarkEnd w:id="26"/>
      <w:r w:rsidRPr="00CD5221">
        <w:rPr>
          <w:rFonts w:ascii="Arial" w:hAnsi="Arial" w:cs="Arial"/>
          <w:i/>
          <w:iCs/>
          <w:color w:val="4472C4" w:themeColor="accent1"/>
          <w:sz w:val="21"/>
          <w:szCs w:val="21"/>
        </w:rPr>
        <w:t>b)     </w:t>
      </w:r>
      <w:r w:rsidRPr="00CD5221">
        <w:rPr>
          <w:rFonts w:ascii="Arial" w:hAnsi="Arial" w:cs="Arial"/>
          <w:i/>
          <w:iCs/>
          <w:color w:val="4472C4" w:themeColor="accent1"/>
          <w:sz w:val="21"/>
          <w:szCs w:val="21"/>
          <w:highlight w:val="yellow"/>
        </w:rPr>
        <w:t>au coût, elle doit l'évaluer ultérieurement selon la méthode du coût, diminué pour tenir compte de la dépréciation le cas échéant</w:t>
      </w:r>
      <w:r w:rsidRPr="00CD5221">
        <w:rPr>
          <w:rFonts w:ascii="Arial" w:hAnsi="Arial" w:cs="Arial"/>
          <w:i/>
          <w:iCs/>
          <w:color w:val="4472C4" w:themeColor="accent1"/>
          <w:sz w:val="21"/>
          <w:szCs w:val="21"/>
        </w:rPr>
        <w:t>.</w:t>
      </w:r>
    </w:p>
    <w:p w14:paraId="49A12C6C" w14:textId="77777777" w:rsidR="00CD5221" w:rsidRDefault="00CD5221" w:rsidP="003154C0">
      <w:pPr>
        <w:jc w:val="both"/>
      </w:pPr>
    </w:p>
    <w:p w14:paraId="347749AF" w14:textId="7E6F10AC" w:rsidR="003154C0" w:rsidRDefault="003154C0" w:rsidP="003154C0">
      <w:pPr>
        <w:jc w:val="both"/>
      </w:pPr>
      <w:r>
        <w:t>De plus, 3856 par 11</w:t>
      </w:r>
      <w:r w:rsidR="00CD5221">
        <w:t>b</w:t>
      </w:r>
      <w:r>
        <w:t>) prévoit de refléter une dépréciation le cas échéant. Or Trouble a fait une émission le 29 décembre 20</w:t>
      </w:r>
      <w:r w:rsidR="005727DC">
        <w:t>2</w:t>
      </w:r>
      <w:r w:rsidR="00CD5221">
        <w:t>2</w:t>
      </w:r>
      <w:r>
        <w:t>, près de la date de clôture, à un prix 40 % supérieur, donc aucune dépréciation requise.</w:t>
      </w:r>
    </w:p>
    <w:p w14:paraId="5F529125" w14:textId="06613DA0" w:rsidR="003154C0" w:rsidRDefault="003154C0" w:rsidP="003154C0">
      <w:pPr>
        <w:jc w:val="both"/>
      </w:pPr>
      <w:r>
        <w:t xml:space="preserve">Aucun ajustement requis aux </w:t>
      </w:r>
      <w:r w:rsidR="005727DC">
        <w:t>états financiers 202</w:t>
      </w:r>
      <w:r w:rsidR="00CD5221">
        <w:t>2</w:t>
      </w:r>
      <w:r>
        <w:t>.</w:t>
      </w:r>
    </w:p>
    <w:p w14:paraId="5350994D" w14:textId="561612E3" w:rsidR="0050788A" w:rsidRDefault="0050788A" w:rsidP="003154C0">
      <w:pPr>
        <w:jc w:val="both"/>
      </w:pPr>
    </w:p>
    <w:p w14:paraId="27DF683B" w14:textId="40AE6A23" w:rsidR="0050788A" w:rsidRDefault="0050788A" w:rsidP="003154C0">
      <w:pPr>
        <w:jc w:val="both"/>
      </w:pPr>
    </w:p>
    <w:p w14:paraId="7786C6C5" w14:textId="77777777" w:rsidR="0050788A" w:rsidRDefault="0050788A" w:rsidP="003154C0">
      <w:pPr>
        <w:jc w:val="both"/>
        <w:rPr>
          <w:b/>
          <w:bCs/>
        </w:rPr>
      </w:pPr>
    </w:p>
    <w:p w14:paraId="5DE6CC77" w14:textId="5AFE362D" w:rsidR="0050788A" w:rsidRDefault="0050788A" w:rsidP="003154C0">
      <w:pPr>
        <w:jc w:val="both"/>
        <w:rPr>
          <w:b/>
          <w:bCs/>
        </w:rPr>
      </w:pPr>
      <w:r>
        <w:rPr>
          <w:b/>
          <w:bCs/>
        </w:rPr>
        <w:t>NOTE :</w:t>
      </w:r>
    </w:p>
    <w:p w14:paraId="7E2A9E39" w14:textId="08847E1D" w:rsidR="0050788A" w:rsidRPr="0050788A" w:rsidRDefault="0050788A" w:rsidP="003154C0">
      <w:pPr>
        <w:jc w:val="both"/>
        <w:rPr>
          <w:i/>
          <w:iCs/>
        </w:rPr>
      </w:pPr>
      <w:r w:rsidRPr="0050788A">
        <w:rPr>
          <w:i/>
          <w:iCs/>
        </w:rPr>
        <w:t>Première application référentiel NCECF</w:t>
      </w:r>
    </w:p>
    <w:p w14:paraId="6BBBAE43" w14:textId="4FEA4E09" w:rsidR="0050788A" w:rsidRPr="00534009" w:rsidRDefault="0050788A" w:rsidP="003154C0">
      <w:pPr>
        <w:jc w:val="both"/>
        <w:rPr>
          <w:b/>
          <w:u w:val="single"/>
        </w:rPr>
      </w:pPr>
      <w:r>
        <w:t>La solution aurait pu inclure les directives du chap. 1500 liées à l’adoption du référentiel NCECF</w:t>
      </w:r>
    </w:p>
    <w:p w14:paraId="7D9718B9" w14:textId="77777777" w:rsidR="007230AF" w:rsidRDefault="007230AF" w:rsidP="009D7FAF">
      <w:pPr>
        <w:jc w:val="both"/>
      </w:pPr>
    </w:p>
    <w:sectPr w:rsidR="007230AF">
      <w:headerReference w:type="default" r:id="rId18"/>
      <w:footerReference w:type="default" r:id="rId19"/>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D91EF" w14:textId="77777777" w:rsidR="00391A74" w:rsidRDefault="00391A74" w:rsidP="009D7FAF">
      <w:pPr>
        <w:spacing w:after="0" w:line="240" w:lineRule="auto"/>
      </w:pPr>
      <w:r>
        <w:separator/>
      </w:r>
    </w:p>
  </w:endnote>
  <w:endnote w:type="continuationSeparator" w:id="0">
    <w:p w14:paraId="188C352D" w14:textId="77777777" w:rsidR="00391A74" w:rsidRDefault="00391A74" w:rsidP="009D7F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mp;quo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93A43" w14:textId="0D8D0A43" w:rsidR="00952CED" w:rsidRPr="00952CED" w:rsidRDefault="009D7FAF" w:rsidP="009D7FAF">
    <w:pPr>
      <w:pStyle w:val="Pieddepage"/>
      <w:rPr>
        <w:i/>
        <w:iCs/>
      </w:rPr>
    </w:pPr>
    <w:r w:rsidRPr="00A91902">
      <w:rPr>
        <w:i/>
        <w:iCs/>
      </w:rPr>
      <w:t xml:space="preserve">Solution rédigée par Louise Overbeek, révisée </w:t>
    </w:r>
    <w:r w:rsidR="00C911EB">
      <w:rPr>
        <w:i/>
        <w:iCs/>
      </w:rPr>
      <w:t>février</w:t>
    </w:r>
    <w:r w:rsidRPr="00A91902">
      <w:rPr>
        <w:i/>
        <w:iCs/>
      </w:rPr>
      <w:t xml:space="preserve"> 202</w:t>
    </w:r>
    <w:r w:rsidR="00952CED">
      <w:rPr>
        <w:i/>
        <w:iCs/>
      </w:rPr>
      <w:t>3</w:t>
    </w:r>
  </w:p>
  <w:p w14:paraId="630DBFB5" w14:textId="77777777" w:rsidR="009D7FAF" w:rsidRDefault="009D7FAF">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fr-FR"/>
      </w:rPr>
      <w:t>2</w:t>
    </w:r>
    <w:r>
      <w:rPr>
        <w:caps/>
        <w:color w:val="4472C4" w:themeColor="accent1"/>
      </w:rPr>
      <w:fldChar w:fldCharType="end"/>
    </w:r>
  </w:p>
  <w:p w14:paraId="218070AD" w14:textId="77777777" w:rsidR="009D7FAF" w:rsidRDefault="009D7FA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3D03F" w14:textId="77777777" w:rsidR="00391A74" w:rsidRDefault="00391A74" w:rsidP="009D7FAF">
      <w:pPr>
        <w:spacing w:after="0" w:line="240" w:lineRule="auto"/>
      </w:pPr>
      <w:r>
        <w:separator/>
      </w:r>
    </w:p>
  </w:footnote>
  <w:footnote w:type="continuationSeparator" w:id="0">
    <w:p w14:paraId="2424E007" w14:textId="77777777" w:rsidR="00391A74" w:rsidRDefault="00391A74" w:rsidP="009D7F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3466394"/>
      <w:docPartObj>
        <w:docPartGallery w:val="Page Numbers (Top of Page)"/>
        <w:docPartUnique/>
      </w:docPartObj>
    </w:sdtPr>
    <w:sdtContent>
      <w:p w14:paraId="46ABB2B8" w14:textId="77777777" w:rsidR="009D7FAF" w:rsidRDefault="009D7FAF">
        <w:pPr>
          <w:pStyle w:val="En-tte"/>
          <w:jc w:val="right"/>
        </w:pPr>
        <w:r>
          <w:fldChar w:fldCharType="begin"/>
        </w:r>
        <w:r>
          <w:instrText>PAGE   \* MERGEFORMAT</w:instrText>
        </w:r>
        <w:r>
          <w:fldChar w:fldCharType="separate"/>
        </w:r>
        <w:r>
          <w:rPr>
            <w:lang w:val="fr-FR"/>
          </w:rPr>
          <w:t>2</w:t>
        </w:r>
        <w:r>
          <w:fldChar w:fldCharType="end"/>
        </w:r>
      </w:p>
    </w:sdtContent>
  </w:sdt>
  <w:p w14:paraId="43F408E5" w14:textId="77777777" w:rsidR="009D7FAF" w:rsidRDefault="009D7FA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BB0DE9"/>
    <w:multiLevelType w:val="hybridMultilevel"/>
    <w:tmpl w:val="08DC30AC"/>
    <w:lvl w:ilvl="0" w:tplc="08B09F2C">
      <w:numFmt w:val="bullet"/>
      <w:lvlText w:val="-"/>
      <w:lvlJc w:val="left"/>
      <w:pPr>
        <w:ind w:left="720" w:hanging="360"/>
      </w:pPr>
      <w:rPr>
        <w:rFonts w:ascii="Calibri" w:eastAsiaTheme="minorHAnsi"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3BD812C6"/>
    <w:multiLevelType w:val="hybridMultilevel"/>
    <w:tmpl w:val="C0E6E358"/>
    <w:lvl w:ilvl="0" w:tplc="C9CAE27E">
      <w:start w:val="1"/>
      <w:numFmt w:val="lowerLetter"/>
      <w:lvlText w:val="%1)"/>
      <w:lvlJc w:val="left"/>
      <w:pPr>
        <w:ind w:left="1284" w:hanging="480"/>
      </w:pPr>
      <w:rPr>
        <w:rFonts w:hint="default"/>
      </w:rPr>
    </w:lvl>
    <w:lvl w:ilvl="1" w:tplc="040C0019" w:tentative="1">
      <w:start w:val="1"/>
      <w:numFmt w:val="lowerLetter"/>
      <w:lvlText w:val="%2."/>
      <w:lvlJc w:val="left"/>
      <w:pPr>
        <w:ind w:left="1884" w:hanging="360"/>
      </w:pPr>
    </w:lvl>
    <w:lvl w:ilvl="2" w:tplc="040C001B" w:tentative="1">
      <w:start w:val="1"/>
      <w:numFmt w:val="lowerRoman"/>
      <w:lvlText w:val="%3."/>
      <w:lvlJc w:val="right"/>
      <w:pPr>
        <w:ind w:left="2604" w:hanging="180"/>
      </w:pPr>
    </w:lvl>
    <w:lvl w:ilvl="3" w:tplc="040C000F" w:tentative="1">
      <w:start w:val="1"/>
      <w:numFmt w:val="decimal"/>
      <w:lvlText w:val="%4."/>
      <w:lvlJc w:val="left"/>
      <w:pPr>
        <w:ind w:left="3324" w:hanging="360"/>
      </w:pPr>
    </w:lvl>
    <w:lvl w:ilvl="4" w:tplc="040C0019" w:tentative="1">
      <w:start w:val="1"/>
      <w:numFmt w:val="lowerLetter"/>
      <w:lvlText w:val="%5."/>
      <w:lvlJc w:val="left"/>
      <w:pPr>
        <w:ind w:left="4044" w:hanging="360"/>
      </w:pPr>
    </w:lvl>
    <w:lvl w:ilvl="5" w:tplc="040C001B" w:tentative="1">
      <w:start w:val="1"/>
      <w:numFmt w:val="lowerRoman"/>
      <w:lvlText w:val="%6."/>
      <w:lvlJc w:val="right"/>
      <w:pPr>
        <w:ind w:left="4764" w:hanging="180"/>
      </w:pPr>
    </w:lvl>
    <w:lvl w:ilvl="6" w:tplc="040C000F" w:tentative="1">
      <w:start w:val="1"/>
      <w:numFmt w:val="decimal"/>
      <w:lvlText w:val="%7."/>
      <w:lvlJc w:val="left"/>
      <w:pPr>
        <w:ind w:left="5484" w:hanging="360"/>
      </w:pPr>
    </w:lvl>
    <w:lvl w:ilvl="7" w:tplc="040C0019" w:tentative="1">
      <w:start w:val="1"/>
      <w:numFmt w:val="lowerLetter"/>
      <w:lvlText w:val="%8."/>
      <w:lvlJc w:val="left"/>
      <w:pPr>
        <w:ind w:left="6204" w:hanging="360"/>
      </w:pPr>
    </w:lvl>
    <w:lvl w:ilvl="8" w:tplc="040C001B" w:tentative="1">
      <w:start w:val="1"/>
      <w:numFmt w:val="lowerRoman"/>
      <w:lvlText w:val="%9."/>
      <w:lvlJc w:val="right"/>
      <w:pPr>
        <w:ind w:left="6924" w:hanging="180"/>
      </w:pPr>
    </w:lvl>
  </w:abstractNum>
  <w:abstractNum w:abstractNumId="2" w15:restartNumberingAfterBreak="0">
    <w:nsid w:val="60E9283B"/>
    <w:multiLevelType w:val="hybridMultilevel"/>
    <w:tmpl w:val="9FA85A28"/>
    <w:lvl w:ilvl="0" w:tplc="992224A2">
      <w:start w:val="1"/>
      <w:numFmt w:val="lowerLetter"/>
      <w:lvlText w:val="%1)"/>
      <w:lvlJc w:val="left"/>
      <w:pPr>
        <w:ind w:left="1264" w:hanging="460"/>
      </w:pPr>
      <w:rPr>
        <w:rFonts w:hint="default"/>
      </w:rPr>
    </w:lvl>
    <w:lvl w:ilvl="1" w:tplc="040C0019" w:tentative="1">
      <w:start w:val="1"/>
      <w:numFmt w:val="lowerLetter"/>
      <w:lvlText w:val="%2."/>
      <w:lvlJc w:val="left"/>
      <w:pPr>
        <w:ind w:left="1884" w:hanging="360"/>
      </w:pPr>
    </w:lvl>
    <w:lvl w:ilvl="2" w:tplc="040C001B" w:tentative="1">
      <w:start w:val="1"/>
      <w:numFmt w:val="lowerRoman"/>
      <w:lvlText w:val="%3."/>
      <w:lvlJc w:val="right"/>
      <w:pPr>
        <w:ind w:left="2604" w:hanging="180"/>
      </w:pPr>
    </w:lvl>
    <w:lvl w:ilvl="3" w:tplc="040C000F" w:tentative="1">
      <w:start w:val="1"/>
      <w:numFmt w:val="decimal"/>
      <w:lvlText w:val="%4."/>
      <w:lvlJc w:val="left"/>
      <w:pPr>
        <w:ind w:left="3324" w:hanging="360"/>
      </w:pPr>
    </w:lvl>
    <w:lvl w:ilvl="4" w:tplc="040C0019" w:tentative="1">
      <w:start w:val="1"/>
      <w:numFmt w:val="lowerLetter"/>
      <w:lvlText w:val="%5."/>
      <w:lvlJc w:val="left"/>
      <w:pPr>
        <w:ind w:left="4044" w:hanging="360"/>
      </w:pPr>
    </w:lvl>
    <w:lvl w:ilvl="5" w:tplc="040C001B" w:tentative="1">
      <w:start w:val="1"/>
      <w:numFmt w:val="lowerRoman"/>
      <w:lvlText w:val="%6."/>
      <w:lvlJc w:val="right"/>
      <w:pPr>
        <w:ind w:left="4764" w:hanging="180"/>
      </w:pPr>
    </w:lvl>
    <w:lvl w:ilvl="6" w:tplc="040C000F" w:tentative="1">
      <w:start w:val="1"/>
      <w:numFmt w:val="decimal"/>
      <w:lvlText w:val="%7."/>
      <w:lvlJc w:val="left"/>
      <w:pPr>
        <w:ind w:left="5484" w:hanging="360"/>
      </w:pPr>
    </w:lvl>
    <w:lvl w:ilvl="7" w:tplc="040C0019" w:tentative="1">
      <w:start w:val="1"/>
      <w:numFmt w:val="lowerLetter"/>
      <w:lvlText w:val="%8."/>
      <w:lvlJc w:val="left"/>
      <w:pPr>
        <w:ind w:left="6204" w:hanging="360"/>
      </w:pPr>
    </w:lvl>
    <w:lvl w:ilvl="8" w:tplc="040C001B" w:tentative="1">
      <w:start w:val="1"/>
      <w:numFmt w:val="lowerRoman"/>
      <w:lvlText w:val="%9."/>
      <w:lvlJc w:val="right"/>
      <w:pPr>
        <w:ind w:left="6924" w:hanging="180"/>
      </w:pPr>
    </w:lvl>
  </w:abstractNum>
  <w:abstractNum w:abstractNumId="3" w15:restartNumberingAfterBreak="0">
    <w:nsid w:val="6CAA77BF"/>
    <w:multiLevelType w:val="hybridMultilevel"/>
    <w:tmpl w:val="BABEB730"/>
    <w:lvl w:ilvl="0" w:tplc="F5C64BA0">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76A446F2"/>
    <w:multiLevelType w:val="hybridMultilevel"/>
    <w:tmpl w:val="F81E5038"/>
    <w:lvl w:ilvl="0" w:tplc="5C1E457C">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940605574">
    <w:abstractNumId w:val="4"/>
  </w:num>
  <w:num w:numId="2" w16cid:durableId="1256935424">
    <w:abstractNumId w:val="3"/>
  </w:num>
  <w:num w:numId="3" w16cid:durableId="135490899">
    <w:abstractNumId w:val="0"/>
  </w:num>
  <w:num w:numId="4" w16cid:durableId="11498782">
    <w:abstractNumId w:val="1"/>
  </w:num>
  <w:num w:numId="5" w16cid:durableId="12148508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71F"/>
    <w:rsid w:val="0005208C"/>
    <w:rsid w:val="000F0B28"/>
    <w:rsid w:val="003154C0"/>
    <w:rsid w:val="00391A74"/>
    <w:rsid w:val="003D34CC"/>
    <w:rsid w:val="00407E06"/>
    <w:rsid w:val="00466D9E"/>
    <w:rsid w:val="0050788A"/>
    <w:rsid w:val="00545F6B"/>
    <w:rsid w:val="005727DC"/>
    <w:rsid w:val="0058571F"/>
    <w:rsid w:val="007230AF"/>
    <w:rsid w:val="007B25CE"/>
    <w:rsid w:val="008A3349"/>
    <w:rsid w:val="008E310F"/>
    <w:rsid w:val="00952CED"/>
    <w:rsid w:val="009D7FAF"/>
    <w:rsid w:val="00AE7F5B"/>
    <w:rsid w:val="00B242F9"/>
    <w:rsid w:val="00C21C88"/>
    <w:rsid w:val="00C6002F"/>
    <w:rsid w:val="00C911EB"/>
    <w:rsid w:val="00CD5221"/>
    <w:rsid w:val="00CF79D1"/>
    <w:rsid w:val="00E31C3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285AF"/>
  <w15:chartTrackingRefBased/>
  <w15:docId w15:val="{1C4BE5A3-FBF6-4FA6-A97D-90606C9D4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71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8571F"/>
    <w:pPr>
      <w:ind w:left="720"/>
      <w:contextualSpacing/>
    </w:pPr>
  </w:style>
  <w:style w:type="paragraph" w:customStyle="1" w:styleId="paragraph">
    <w:name w:val="paragraph"/>
    <w:basedOn w:val="Normal"/>
    <w:rsid w:val="0058571F"/>
    <w:pPr>
      <w:spacing w:before="100" w:beforeAutospacing="1" w:after="100" w:afterAutospacing="1" w:line="240" w:lineRule="auto"/>
    </w:pPr>
    <w:rPr>
      <w:rFonts w:ascii="Times New Roman" w:eastAsia="Times New Roman" w:hAnsi="Times New Roman" w:cs="Times New Roman"/>
      <w:sz w:val="24"/>
      <w:szCs w:val="24"/>
      <w:lang w:eastAsia="fr-CA"/>
    </w:rPr>
  </w:style>
  <w:style w:type="paragraph" w:customStyle="1" w:styleId="bullet">
    <w:name w:val="bullet"/>
    <w:basedOn w:val="Normal"/>
    <w:rsid w:val="0058571F"/>
    <w:pPr>
      <w:spacing w:before="100" w:beforeAutospacing="1" w:after="100" w:afterAutospacing="1" w:line="240" w:lineRule="auto"/>
    </w:pPr>
    <w:rPr>
      <w:rFonts w:ascii="Times New Roman" w:eastAsia="Times New Roman" w:hAnsi="Times New Roman" w:cs="Times New Roman"/>
      <w:sz w:val="24"/>
      <w:szCs w:val="24"/>
      <w:lang w:eastAsia="fr-CA"/>
    </w:rPr>
  </w:style>
  <w:style w:type="character" w:styleId="Lienhypertexte">
    <w:name w:val="Hyperlink"/>
    <w:basedOn w:val="Policepardfaut"/>
    <w:uiPriority w:val="99"/>
    <w:semiHidden/>
    <w:unhideWhenUsed/>
    <w:rsid w:val="0058571F"/>
    <w:rPr>
      <w:color w:val="0000FF"/>
      <w:u w:val="single"/>
    </w:rPr>
  </w:style>
  <w:style w:type="paragraph" w:styleId="En-tte">
    <w:name w:val="header"/>
    <w:basedOn w:val="Normal"/>
    <w:link w:val="En-tteCar"/>
    <w:uiPriority w:val="99"/>
    <w:unhideWhenUsed/>
    <w:rsid w:val="009D7FAF"/>
    <w:pPr>
      <w:tabs>
        <w:tab w:val="center" w:pos="4153"/>
        <w:tab w:val="right" w:pos="8306"/>
      </w:tabs>
      <w:spacing w:after="0" w:line="240" w:lineRule="auto"/>
    </w:pPr>
  </w:style>
  <w:style w:type="character" w:customStyle="1" w:styleId="En-tteCar">
    <w:name w:val="En-tête Car"/>
    <w:basedOn w:val="Policepardfaut"/>
    <w:link w:val="En-tte"/>
    <w:uiPriority w:val="99"/>
    <w:rsid w:val="009D7FAF"/>
  </w:style>
  <w:style w:type="paragraph" w:styleId="Pieddepage">
    <w:name w:val="footer"/>
    <w:basedOn w:val="Normal"/>
    <w:link w:val="PieddepageCar"/>
    <w:uiPriority w:val="99"/>
    <w:unhideWhenUsed/>
    <w:rsid w:val="009D7FAF"/>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9D7FAF"/>
  </w:style>
  <w:style w:type="paragraph" w:customStyle="1" w:styleId="sub-bullet">
    <w:name w:val="sub-bullet"/>
    <w:basedOn w:val="Normal"/>
    <w:rsid w:val="003154C0"/>
    <w:pPr>
      <w:spacing w:before="100" w:beforeAutospacing="1" w:after="100" w:afterAutospacing="1" w:line="240" w:lineRule="auto"/>
    </w:pPr>
    <w:rPr>
      <w:rFonts w:ascii="Times New Roman" w:eastAsia="Times New Roman" w:hAnsi="Times New Roman" w:cs="Times New Roman"/>
      <w:sz w:val="24"/>
      <w:szCs w:val="24"/>
      <w:lang w:eastAsia="fr-CA"/>
    </w:rPr>
  </w:style>
  <w:style w:type="paragraph" w:styleId="NormalWeb">
    <w:name w:val="Normal (Web)"/>
    <w:basedOn w:val="Normal"/>
    <w:uiPriority w:val="99"/>
    <w:semiHidden/>
    <w:unhideWhenUsed/>
    <w:rsid w:val="00C911EB"/>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lev">
    <w:name w:val="Strong"/>
    <w:basedOn w:val="Policepardfaut"/>
    <w:uiPriority w:val="22"/>
    <w:qFormat/>
    <w:rsid w:val="00C911EB"/>
    <w:rPr>
      <w:b/>
      <w:bCs/>
    </w:rPr>
  </w:style>
  <w:style w:type="paragraph" w:customStyle="1" w:styleId="paragraphnumber">
    <w:name w:val="paragraphnumber"/>
    <w:basedOn w:val="Normal"/>
    <w:rsid w:val="00952CED"/>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paragraphtext">
    <w:name w:val="paragraphtext"/>
    <w:basedOn w:val="Normal"/>
    <w:rsid w:val="00952CED"/>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148527">
      <w:bodyDiv w:val="1"/>
      <w:marLeft w:val="0"/>
      <w:marRight w:val="0"/>
      <w:marTop w:val="0"/>
      <w:marBottom w:val="0"/>
      <w:divBdr>
        <w:top w:val="none" w:sz="0" w:space="0" w:color="auto"/>
        <w:left w:val="none" w:sz="0" w:space="0" w:color="auto"/>
        <w:bottom w:val="none" w:sz="0" w:space="0" w:color="auto"/>
        <w:right w:val="none" w:sz="0" w:space="0" w:color="auto"/>
      </w:divBdr>
      <w:divsChild>
        <w:div w:id="278298347">
          <w:marLeft w:val="0"/>
          <w:marRight w:val="0"/>
          <w:marTop w:val="0"/>
          <w:marBottom w:val="0"/>
          <w:divBdr>
            <w:top w:val="none" w:sz="0" w:space="0" w:color="auto"/>
            <w:left w:val="none" w:sz="0" w:space="0" w:color="auto"/>
            <w:bottom w:val="none" w:sz="0" w:space="0" w:color="auto"/>
            <w:right w:val="none" w:sz="0" w:space="0" w:color="auto"/>
          </w:divBdr>
        </w:div>
        <w:div w:id="404764922">
          <w:marLeft w:val="0"/>
          <w:marRight w:val="0"/>
          <w:marTop w:val="0"/>
          <w:marBottom w:val="0"/>
          <w:divBdr>
            <w:top w:val="none" w:sz="0" w:space="0" w:color="auto"/>
            <w:left w:val="none" w:sz="0" w:space="0" w:color="auto"/>
            <w:bottom w:val="none" w:sz="0" w:space="0" w:color="auto"/>
            <w:right w:val="none" w:sz="0" w:space="0" w:color="auto"/>
          </w:divBdr>
        </w:div>
        <w:div w:id="1683167284">
          <w:marLeft w:val="0"/>
          <w:marRight w:val="0"/>
          <w:marTop w:val="0"/>
          <w:marBottom w:val="0"/>
          <w:divBdr>
            <w:top w:val="none" w:sz="0" w:space="0" w:color="auto"/>
            <w:left w:val="none" w:sz="0" w:space="0" w:color="auto"/>
            <w:bottom w:val="none" w:sz="0" w:space="0" w:color="auto"/>
            <w:right w:val="none" w:sz="0" w:space="0" w:color="auto"/>
          </w:divBdr>
        </w:div>
        <w:div w:id="75518471">
          <w:marLeft w:val="0"/>
          <w:marRight w:val="0"/>
          <w:marTop w:val="0"/>
          <w:marBottom w:val="0"/>
          <w:divBdr>
            <w:top w:val="none" w:sz="0" w:space="0" w:color="auto"/>
            <w:left w:val="none" w:sz="0" w:space="0" w:color="auto"/>
            <w:bottom w:val="none" w:sz="0" w:space="0" w:color="auto"/>
            <w:right w:val="none" w:sz="0" w:space="0" w:color="auto"/>
          </w:divBdr>
        </w:div>
        <w:div w:id="2049916291">
          <w:marLeft w:val="0"/>
          <w:marRight w:val="0"/>
          <w:marTop w:val="0"/>
          <w:marBottom w:val="0"/>
          <w:divBdr>
            <w:top w:val="none" w:sz="0" w:space="0" w:color="auto"/>
            <w:left w:val="none" w:sz="0" w:space="0" w:color="auto"/>
            <w:bottom w:val="none" w:sz="0" w:space="0" w:color="auto"/>
            <w:right w:val="none" w:sz="0" w:space="0" w:color="auto"/>
          </w:divBdr>
        </w:div>
        <w:div w:id="1642417356">
          <w:marLeft w:val="0"/>
          <w:marRight w:val="0"/>
          <w:marTop w:val="0"/>
          <w:marBottom w:val="0"/>
          <w:divBdr>
            <w:top w:val="none" w:sz="0" w:space="0" w:color="auto"/>
            <w:left w:val="none" w:sz="0" w:space="0" w:color="auto"/>
            <w:bottom w:val="none" w:sz="0" w:space="0" w:color="auto"/>
            <w:right w:val="none" w:sz="0" w:space="0" w:color="auto"/>
          </w:divBdr>
        </w:div>
        <w:div w:id="1061831145">
          <w:marLeft w:val="0"/>
          <w:marRight w:val="0"/>
          <w:marTop w:val="0"/>
          <w:marBottom w:val="0"/>
          <w:divBdr>
            <w:top w:val="none" w:sz="0" w:space="0" w:color="auto"/>
            <w:left w:val="none" w:sz="0" w:space="0" w:color="auto"/>
            <w:bottom w:val="none" w:sz="0" w:space="0" w:color="auto"/>
            <w:right w:val="none" w:sz="0" w:space="0" w:color="auto"/>
          </w:divBdr>
        </w:div>
        <w:div w:id="858467352">
          <w:marLeft w:val="0"/>
          <w:marRight w:val="0"/>
          <w:marTop w:val="0"/>
          <w:marBottom w:val="0"/>
          <w:divBdr>
            <w:top w:val="none" w:sz="0" w:space="0" w:color="auto"/>
            <w:left w:val="none" w:sz="0" w:space="0" w:color="auto"/>
            <w:bottom w:val="none" w:sz="0" w:space="0" w:color="auto"/>
            <w:right w:val="none" w:sz="0" w:space="0" w:color="auto"/>
          </w:divBdr>
        </w:div>
      </w:divsChild>
    </w:div>
    <w:div w:id="1179076564">
      <w:bodyDiv w:val="1"/>
      <w:marLeft w:val="0"/>
      <w:marRight w:val="0"/>
      <w:marTop w:val="0"/>
      <w:marBottom w:val="0"/>
      <w:divBdr>
        <w:top w:val="none" w:sz="0" w:space="0" w:color="auto"/>
        <w:left w:val="none" w:sz="0" w:space="0" w:color="auto"/>
        <w:bottom w:val="none" w:sz="0" w:space="0" w:color="auto"/>
        <w:right w:val="none" w:sz="0" w:space="0" w:color="auto"/>
      </w:divBdr>
      <w:divsChild>
        <w:div w:id="675115400">
          <w:marLeft w:val="0"/>
          <w:marRight w:val="0"/>
          <w:marTop w:val="0"/>
          <w:marBottom w:val="0"/>
          <w:divBdr>
            <w:top w:val="none" w:sz="0" w:space="0" w:color="auto"/>
            <w:left w:val="none" w:sz="0" w:space="0" w:color="auto"/>
            <w:bottom w:val="none" w:sz="0" w:space="0" w:color="auto"/>
            <w:right w:val="none" w:sz="0" w:space="0" w:color="auto"/>
          </w:divBdr>
        </w:div>
        <w:div w:id="109204749">
          <w:marLeft w:val="0"/>
          <w:marRight w:val="0"/>
          <w:marTop w:val="0"/>
          <w:marBottom w:val="0"/>
          <w:divBdr>
            <w:top w:val="none" w:sz="0" w:space="0" w:color="auto"/>
            <w:left w:val="none" w:sz="0" w:space="0" w:color="auto"/>
            <w:bottom w:val="none" w:sz="0" w:space="0" w:color="auto"/>
            <w:right w:val="none" w:sz="0" w:space="0" w:color="auto"/>
          </w:divBdr>
        </w:div>
        <w:div w:id="2009598346">
          <w:marLeft w:val="0"/>
          <w:marRight w:val="0"/>
          <w:marTop w:val="0"/>
          <w:marBottom w:val="0"/>
          <w:divBdr>
            <w:top w:val="none" w:sz="0" w:space="0" w:color="auto"/>
            <w:left w:val="none" w:sz="0" w:space="0" w:color="auto"/>
            <w:bottom w:val="none" w:sz="0" w:space="0" w:color="auto"/>
            <w:right w:val="none" w:sz="0" w:space="0" w:color="auto"/>
          </w:divBdr>
        </w:div>
        <w:div w:id="1867865151">
          <w:marLeft w:val="0"/>
          <w:marRight w:val="0"/>
          <w:marTop w:val="0"/>
          <w:marBottom w:val="0"/>
          <w:divBdr>
            <w:top w:val="none" w:sz="0" w:space="0" w:color="auto"/>
            <w:left w:val="none" w:sz="0" w:space="0" w:color="auto"/>
            <w:bottom w:val="none" w:sz="0" w:space="0" w:color="auto"/>
            <w:right w:val="none" w:sz="0" w:space="0" w:color="auto"/>
          </w:divBdr>
        </w:div>
        <w:div w:id="61032048">
          <w:marLeft w:val="0"/>
          <w:marRight w:val="0"/>
          <w:marTop w:val="0"/>
          <w:marBottom w:val="0"/>
          <w:divBdr>
            <w:top w:val="none" w:sz="0" w:space="0" w:color="auto"/>
            <w:left w:val="none" w:sz="0" w:space="0" w:color="auto"/>
            <w:bottom w:val="none" w:sz="0" w:space="0" w:color="auto"/>
            <w:right w:val="none" w:sz="0" w:space="0" w:color="auto"/>
          </w:divBdr>
        </w:div>
        <w:div w:id="1367758075">
          <w:marLeft w:val="0"/>
          <w:marRight w:val="0"/>
          <w:marTop w:val="0"/>
          <w:marBottom w:val="0"/>
          <w:divBdr>
            <w:top w:val="none" w:sz="0" w:space="0" w:color="auto"/>
            <w:left w:val="none" w:sz="0" w:space="0" w:color="auto"/>
            <w:bottom w:val="none" w:sz="0" w:space="0" w:color="auto"/>
            <w:right w:val="none" w:sz="0" w:space="0" w:color="auto"/>
          </w:divBdr>
        </w:div>
      </w:divsChild>
    </w:div>
    <w:div w:id="1715957794">
      <w:bodyDiv w:val="1"/>
      <w:marLeft w:val="0"/>
      <w:marRight w:val="0"/>
      <w:marTop w:val="0"/>
      <w:marBottom w:val="0"/>
      <w:divBdr>
        <w:top w:val="none" w:sz="0" w:space="0" w:color="auto"/>
        <w:left w:val="none" w:sz="0" w:space="0" w:color="auto"/>
        <w:bottom w:val="none" w:sz="0" w:space="0" w:color="auto"/>
        <w:right w:val="none" w:sz="0" w:space="0" w:color="auto"/>
      </w:divBdr>
      <w:divsChild>
        <w:div w:id="38164816">
          <w:marLeft w:val="0"/>
          <w:marRight w:val="0"/>
          <w:marTop w:val="0"/>
          <w:marBottom w:val="0"/>
          <w:divBdr>
            <w:top w:val="none" w:sz="0" w:space="0" w:color="auto"/>
            <w:left w:val="none" w:sz="0" w:space="0" w:color="auto"/>
            <w:bottom w:val="none" w:sz="0" w:space="0" w:color="auto"/>
            <w:right w:val="none" w:sz="0" w:space="0" w:color="auto"/>
          </w:divBdr>
        </w:div>
        <w:div w:id="2115511121">
          <w:marLeft w:val="0"/>
          <w:marRight w:val="0"/>
          <w:marTop w:val="0"/>
          <w:marBottom w:val="0"/>
          <w:divBdr>
            <w:top w:val="none" w:sz="0" w:space="0" w:color="auto"/>
            <w:left w:val="none" w:sz="0" w:space="0" w:color="auto"/>
            <w:bottom w:val="none" w:sz="0" w:space="0" w:color="auto"/>
            <w:right w:val="none" w:sz="0" w:space="0" w:color="auto"/>
          </w:divBdr>
        </w:div>
        <w:div w:id="1685741640">
          <w:marLeft w:val="0"/>
          <w:marRight w:val="0"/>
          <w:marTop w:val="0"/>
          <w:marBottom w:val="0"/>
          <w:divBdr>
            <w:top w:val="none" w:sz="0" w:space="0" w:color="auto"/>
            <w:left w:val="none" w:sz="0" w:space="0" w:color="auto"/>
            <w:bottom w:val="none" w:sz="0" w:space="0" w:color="auto"/>
            <w:right w:val="none" w:sz="0" w:space="0" w:color="auto"/>
          </w:divBdr>
        </w:div>
        <w:div w:id="1034885511">
          <w:marLeft w:val="0"/>
          <w:marRight w:val="0"/>
          <w:marTop w:val="0"/>
          <w:marBottom w:val="0"/>
          <w:divBdr>
            <w:top w:val="none" w:sz="0" w:space="0" w:color="auto"/>
            <w:left w:val="none" w:sz="0" w:space="0" w:color="auto"/>
            <w:bottom w:val="none" w:sz="0" w:space="0" w:color="auto"/>
            <w:right w:val="none" w:sz="0" w:space="0" w:color="auto"/>
          </w:divBdr>
        </w:div>
      </w:divsChild>
    </w:div>
    <w:div w:id="2090425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document.k5doc.loadDocumentByGotoString(80,%20'3856.A9',%200,%20null,%20false,%20230132680)" TargetMode="External"/><Relationship Id="rId13" Type="http://schemas.openxmlformats.org/officeDocument/2006/relationships/hyperlink" Target="https://www.knotia.ca/Knowledge/Home.aspx?productID=80"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proxy2.hec.ca:2916/Knowledge/Home.aspx?productID=114" TargetMode="External"/><Relationship Id="rId12" Type="http://schemas.openxmlformats.org/officeDocument/2006/relationships/hyperlink" Target="https://www.knotia.ca/Knowledge/Home.aspx?productID=80" TargetMode="External"/><Relationship Id="rId17" Type="http://schemas.openxmlformats.org/officeDocument/2006/relationships/hyperlink" Target="https://www.knotia.ca/Knowledge/Home.aspx?productID=80" TargetMode="External"/><Relationship Id="rId2" Type="http://schemas.openxmlformats.org/officeDocument/2006/relationships/styles" Target="styles.xml"/><Relationship Id="rId16" Type="http://schemas.openxmlformats.org/officeDocument/2006/relationships/hyperlink" Target="https://www.knotia.ca/Knowledge/Home.aspx?productID=8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notia.ca/Knowledge/Home.aspx?productID=80" TargetMode="External"/><Relationship Id="rId5" Type="http://schemas.openxmlformats.org/officeDocument/2006/relationships/footnotes" Target="footnotes.xml"/><Relationship Id="rId15" Type="http://schemas.openxmlformats.org/officeDocument/2006/relationships/hyperlink" Target="https://www.knotia.ca/Knowledge/Home.aspx?productID=80" TargetMode="External"/><Relationship Id="rId10" Type="http://schemas.openxmlformats.org/officeDocument/2006/relationships/hyperlink" Target="https://www.knotia.ca/Knowledge/Home.aspx?productID=80"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knotia.ca/Knowledge/Home.aspx?productID=80" TargetMode="External"/><Relationship Id="rId14" Type="http://schemas.openxmlformats.org/officeDocument/2006/relationships/hyperlink" Target="https://www.knotia.ca/Knowledge/Home.aspx?productID=8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7</Pages>
  <Words>2610</Words>
  <Characters>14359</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overbeek</dc:creator>
  <cp:keywords/>
  <dc:description/>
  <cp:lastModifiedBy>Louise Overbeek</cp:lastModifiedBy>
  <cp:revision>10</cp:revision>
  <dcterms:created xsi:type="dcterms:W3CDTF">2020-09-01T14:44:00Z</dcterms:created>
  <dcterms:modified xsi:type="dcterms:W3CDTF">2023-02-04T14:56:00Z</dcterms:modified>
</cp:coreProperties>
</file>