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7656F7" w14:textId="3E3BC9DB" w:rsidR="00395CA9" w:rsidRPr="00395CA9" w:rsidRDefault="00395CA9" w:rsidP="00160610">
      <w:pPr>
        <w:jc w:val="both"/>
        <w:rPr>
          <w:b/>
          <w:bCs/>
          <w:sz w:val="32"/>
          <w:szCs w:val="32"/>
        </w:rPr>
      </w:pPr>
      <w:r w:rsidRPr="00395CA9">
        <w:rPr>
          <w:b/>
          <w:bCs/>
          <w:sz w:val="32"/>
          <w:szCs w:val="32"/>
        </w:rPr>
        <w:t>Cas API : solution</w:t>
      </w:r>
    </w:p>
    <w:p w14:paraId="189BE518" w14:textId="77777777" w:rsidR="00395CA9" w:rsidRDefault="00395CA9" w:rsidP="00160610">
      <w:pPr>
        <w:jc w:val="both"/>
        <w:rPr>
          <w:sz w:val="24"/>
          <w:szCs w:val="24"/>
          <w:highlight w:val="cyan"/>
        </w:rPr>
      </w:pPr>
    </w:p>
    <w:p w14:paraId="54EF2B5B" w14:textId="19F2F489" w:rsidR="00FE61AB" w:rsidRDefault="006E2D6D" w:rsidP="00160610">
      <w:pPr>
        <w:jc w:val="both"/>
        <w:rPr>
          <w:sz w:val="24"/>
          <w:szCs w:val="24"/>
        </w:rPr>
      </w:pPr>
      <w:r w:rsidRPr="00D500E6">
        <w:rPr>
          <w:sz w:val="24"/>
          <w:szCs w:val="24"/>
          <w:highlight w:val="cyan"/>
        </w:rPr>
        <w:t xml:space="preserve">Problématique : </w:t>
      </w:r>
      <w:r w:rsidR="00717C67" w:rsidRPr="00D500E6">
        <w:rPr>
          <w:sz w:val="24"/>
          <w:szCs w:val="24"/>
          <w:highlight w:val="cyan"/>
        </w:rPr>
        <w:t>Il s’agit de déterminer</w:t>
      </w:r>
      <w:r w:rsidR="00AD173D" w:rsidRPr="00D500E6">
        <w:rPr>
          <w:sz w:val="24"/>
          <w:szCs w:val="24"/>
          <w:highlight w:val="cyan"/>
        </w:rPr>
        <w:t xml:space="preserve"> </w:t>
      </w:r>
      <w:r w:rsidR="00D500E6" w:rsidRPr="00D500E6">
        <w:rPr>
          <w:sz w:val="24"/>
          <w:szCs w:val="24"/>
          <w:highlight w:val="cyan"/>
        </w:rPr>
        <w:t xml:space="preserve">à </w:t>
      </w:r>
      <w:r w:rsidR="00AD173D" w:rsidRPr="00D500E6">
        <w:rPr>
          <w:sz w:val="24"/>
          <w:szCs w:val="24"/>
          <w:highlight w:val="cyan"/>
        </w:rPr>
        <w:t>quel montant il faut comptabiliser dans les stocks</w:t>
      </w:r>
    </w:p>
    <w:p w14:paraId="06ECDD10" w14:textId="787E7F3E" w:rsidR="00AD173D" w:rsidRDefault="00AD173D" w:rsidP="00160610">
      <w:pPr>
        <w:jc w:val="both"/>
        <w:rPr>
          <w:sz w:val="24"/>
          <w:szCs w:val="24"/>
        </w:rPr>
      </w:pPr>
      <w:r>
        <w:rPr>
          <w:sz w:val="24"/>
          <w:szCs w:val="24"/>
        </w:rPr>
        <w:t xml:space="preserve">Analyse : Selon NCECF </w:t>
      </w:r>
      <w:r w:rsidR="00AD1AF7">
        <w:rPr>
          <w:sz w:val="24"/>
          <w:szCs w:val="24"/>
        </w:rPr>
        <w:t>3031</w:t>
      </w:r>
    </w:p>
    <w:p w14:paraId="17D2EF3B" w14:textId="07C573F9" w:rsidR="00A70C7E" w:rsidRDefault="000F4078" w:rsidP="00160610">
      <w:pPr>
        <w:jc w:val="both"/>
        <w:rPr>
          <w:sz w:val="24"/>
          <w:szCs w:val="24"/>
        </w:rPr>
      </w:pPr>
      <w:r>
        <w:rPr>
          <w:rFonts w:ascii="Arial" w:hAnsi="Arial" w:cs="Arial"/>
          <w:color w:val="444444"/>
          <w:sz w:val="21"/>
          <w:szCs w:val="21"/>
          <w:shd w:val="clear" w:color="auto" w:fill="FFFFFF"/>
        </w:rPr>
        <w:t>.</w:t>
      </w:r>
      <w:r w:rsidRPr="00D500E6">
        <w:rPr>
          <w:rFonts w:ascii="Arial" w:hAnsi="Arial" w:cs="Arial"/>
          <w:color w:val="4472C4" w:themeColor="accent1"/>
          <w:sz w:val="21"/>
          <w:szCs w:val="21"/>
          <w:shd w:val="clear" w:color="auto" w:fill="FFFFFF"/>
        </w:rPr>
        <w:t>11    </w:t>
      </w:r>
      <w:r w:rsidRPr="00D500E6">
        <w:rPr>
          <w:rFonts w:ascii="Arial" w:hAnsi="Arial" w:cs="Arial"/>
          <w:i/>
          <w:iCs/>
          <w:color w:val="4472C4" w:themeColor="accent1"/>
          <w:sz w:val="21"/>
          <w:szCs w:val="21"/>
          <w:shd w:val="clear" w:color="auto" w:fill="FFFFFF"/>
        </w:rPr>
        <w:t>Le coût des stocks doit comprendre tous les coûts d'acquisition, coûts de transformation et autres coûts engagés pour amener les stocks à l'endroit et dans l'état où ils se trouvent</w:t>
      </w:r>
      <w:r>
        <w:rPr>
          <w:rFonts w:ascii="Arial" w:hAnsi="Arial" w:cs="Arial"/>
          <w:i/>
          <w:iCs/>
          <w:color w:val="444444"/>
          <w:sz w:val="21"/>
          <w:szCs w:val="21"/>
          <w:shd w:val="clear" w:color="auto" w:fill="FFFFFF"/>
        </w:rPr>
        <w:t>.</w:t>
      </w:r>
    </w:p>
    <w:p w14:paraId="17823011" w14:textId="1F80ED53" w:rsidR="000F4078" w:rsidRDefault="00A23ED9" w:rsidP="00160610">
      <w:pPr>
        <w:jc w:val="both"/>
        <w:rPr>
          <w:sz w:val="24"/>
          <w:szCs w:val="24"/>
        </w:rPr>
      </w:pPr>
      <w:r>
        <w:rPr>
          <w:sz w:val="24"/>
          <w:szCs w:val="24"/>
        </w:rPr>
        <w:t>Les coûts suivants sont inclus dans la valeur des stocks :</w:t>
      </w:r>
    </w:p>
    <w:p w14:paraId="7051F420" w14:textId="3890E231" w:rsidR="00A23ED9" w:rsidRDefault="00A23ED9" w:rsidP="00A23ED9">
      <w:pPr>
        <w:pStyle w:val="Paragraphedeliste"/>
        <w:numPr>
          <w:ilvl w:val="0"/>
          <w:numId w:val="1"/>
        </w:numPr>
        <w:jc w:val="both"/>
        <w:rPr>
          <w:sz w:val="24"/>
          <w:szCs w:val="24"/>
        </w:rPr>
      </w:pPr>
      <w:r>
        <w:rPr>
          <w:sz w:val="24"/>
          <w:szCs w:val="24"/>
        </w:rPr>
        <w:t xml:space="preserve">Coût des pièces : </w:t>
      </w:r>
      <w:r w:rsidR="00F47BD6">
        <w:rPr>
          <w:sz w:val="24"/>
          <w:szCs w:val="24"/>
        </w:rPr>
        <w:t>il s’agit du coût pour l’acquisition des stocks</w:t>
      </w:r>
    </w:p>
    <w:p w14:paraId="70D8132D" w14:textId="6350CFA5" w:rsidR="00F47BD6" w:rsidRDefault="00F47BD6" w:rsidP="00A23ED9">
      <w:pPr>
        <w:pStyle w:val="Paragraphedeliste"/>
        <w:numPr>
          <w:ilvl w:val="0"/>
          <w:numId w:val="1"/>
        </w:numPr>
        <w:jc w:val="both"/>
        <w:rPr>
          <w:sz w:val="24"/>
          <w:szCs w:val="24"/>
        </w:rPr>
      </w:pPr>
      <w:r>
        <w:rPr>
          <w:sz w:val="24"/>
          <w:szCs w:val="24"/>
        </w:rPr>
        <w:t>Frais de livraison : il s’agit du coût pour l’acquisition des stocks, le coût d’acquisition inclut les frais nécessaires pour</w:t>
      </w:r>
      <w:r w:rsidR="00D04BA6">
        <w:rPr>
          <w:sz w:val="24"/>
          <w:szCs w:val="24"/>
        </w:rPr>
        <w:t xml:space="preserve"> amener le stock </w:t>
      </w:r>
      <w:r w:rsidR="00EC20EB">
        <w:rPr>
          <w:sz w:val="24"/>
          <w:szCs w:val="24"/>
        </w:rPr>
        <w:t>à l’endroit nécessaire</w:t>
      </w:r>
    </w:p>
    <w:p w14:paraId="2413285A" w14:textId="4F8AE54F" w:rsidR="00EC20EB" w:rsidRDefault="00EC20EB" w:rsidP="00A23ED9">
      <w:pPr>
        <w:pStyle w:val="Paragraphedeliste"/>
        <w:numPr>
          <w:ilvl w:val="0"/>
          <w:numId w:val="1"/>
        </w:numPr>
        <w:jc w:val="both"/>
        <w:rPr>
          <w:sz w:val="24"/>
          <w:szCs w:val="24"/>
        </w:rPr>
      </w:pPr>
      <w:r>
        <w:rPr>
          <w:sz w:val="24"/>
          <w:szCs w:val="24"/>
        </w:rPr>
        <w:t>Frais de modification : il s’agit du coût pour la transformation des stocks dans l’état nécessaire</w:t>
      </w:r>
      <w:r w:rsidR="00CE7582">
        <w:rPr>
          <w:sz w:val="24"/>
          <w:szCs w:val="24"/>
        </w:rPr>
        <w:t xml:space="preserve"> à son utilisation</w:t>
      </w:r>
    </w:p>
    <w:p w14:paraId="1AC1C3B1" w14:textId="77777777" w:rsidR="006466CB" w:rsidRPr="00D500E6" w:rsidRDefault="006466CB" w:rsidP="006466CB">
      <w:pPr>
        <w:pStyle w:val="paragraphnumber"/>
        <w:shd w:val="clear" w:color="auto" w:fill="FFFFFF"/>
        <w:spacing w:before="65" w:beforeAutospacing="0" w:after="65" w:afterAutospacing="0"/>
        <w:ind w:left="653" w:hanging="653"/>
        <w:rPr>
          <w:rFonts w:ascii="Arial" w:hAnsi="Arial" w:cs="Arial"/>
          <w:color w:val="4472C4" w:themeColor="accent1"/>
          <w:sz w:val="21"/>
          <w:szCs w:val="21"/>
        </w:rPr>
      </w:pPr>
      <w:r w:rsidRPr="00D500E6">
        <w:rPr>
          <w:rFonts w:ascii="Arial" w:hAnsi="Arial" w:cs="Arial"/>
          <w:color w:val="4472C4" w:themeColor="accent1"/>
          <w:sz w:val="21"/>
          <w:szCs w:val="21"/>
        </w:rPr>
        <w:t>.17    Exemples de coûts exclus du coût des stocks et comptabilisés en charges de la période au cours de laquelle ils sont engagés :</w:t>
      </w:r>
    </w:p>
    <w:p w14:paraId="167D2FCD" w14:textId="77777777" w:rsidR="006466CB" w:rsidRPr="00D500E6" w:rsidRDefault="006466CB" w:rsidP="006466CB">
      <w:pPr>
        <w:pStyle w:val="bullet"/>
        <w:shd w:val="clear" w:color="auto" w:fill="FFFFFF"/>
        <w:spacing w:before="65" w:beforeAutospacing="0" w:after="65" w:afterAutospacing="0"/>
        <w:ind w:left="1488" w:hanging="684"/>
        <w:rPr>
          <w:rFonts w:ascii="Arial" w:hAnsi="Arial" w:cs="Arial"/>
          <w:color w:val="4472C4" w:themeColor="accent1"/>
          <w:sz w:val="21"/>
          <w:szCs w:val="21"/>
        </w:rPr>
      </w:pPr>
      <w:bookmarkStart w:id="0" w:name="para_41"/>
      <w:bookmarkEnd w:id="0"/>
      <w:r w:rsidRPr="00D500E6">
        <w:rPr>
          <w:rFonts w:ascii="Arial" w:hAnsi="Arial" w:cs="Arial"/>
          <w:color w:val="4472C4" w:themeColor="accent1"/>
          <w:sz w:val="21"/>
          <w:szCs w:val="21"/>
        </w:rPr>
        <w:t>a)     montants anormaux de gaspillage de matières premières, de main-d'oeuvre ou d'autres facteurs de production;</w:t>
      </w:r>
    </w:p>
    <w:p w14:paraId="5B9F7E6C" w14:textId="77777777" w:rsidR="006466CB" w:rsidRPr="00D500E6" w:rsidRDefault="006466CB" w:rsidP="006466CB">
      <w:pPr>
        <w:pStyle w:val="bullet"/>
        <w:shd w:val="clear" w:color="auto" w:fill="FFFFFF"/>
        <w:spacing w:before="65" w:beforeAutospacing="0" w:after="65" w:afterAutospacing="0"/>
        <w:ind w:left="1488" w:hanging="684"/>
        <w:rPr>
          <w:rFonts w:ascii="Arial" w:hAnsi="Arial" w:cs="Arial"/>
          <w:color w:val="4472C4" w:themeColor="accent1"/>
          <w:sz w:val="21"/>
          <w:szCs w:val="21"/>
        </w:rPr>
      </w:pPr>
      <w:bookmarkStart w:id="1" w:name="para_42"/>
      <w:bookmarkEnd w:id="1"/>
      <w:r w:rsidRPr="00D500E6">
        <w:rPr>
          <w:rFonts w:ascii="Arial" w:hAnsi="Arial" w:cs="Arial"/>
          <w:color w:val="4472C4" w:themeColor="accent1"/>
          <w:sz w:val="21"/>
          <w:szCs w:val="21"/>
        </w:rPr>
        <w:t>b)     coûts de stockage, à moins que ces coûts soient nécessaires au processus de production préalablement à une nouvelle étape de la production;</w:t>
      </w:r>
    </w:p>
    <w:p w14:paraId="10C1E2DC" w14:textId="77777777" w:rsidR="006466CB" w:rsidRPr="00D500E6" w:rsidRDefault="006466CB" w:rsidP="006466CB">
      <w:pPr>
        <w:pStyle w:val="bullet"/>
        <w:shd w:val="clear" w:color="auto" w:fill="FFFFFF"/>
        <w:spacing w:before="65" w:beforeAutospacing="0" w:after="65" w:afterAutospacing="0"/>
        <w:ind w:left="1488" w:hanging="684"/>
        <w:rPr>
          <w:rFonts w:ascii="Arial" w:hAnsi="Arial" w:cs="Arial"/>
          <w:color w:val="4472C4" w:themeColor="accent1"/>
          <w:sz w:val="21"/>
          <w:szCs w:val="21"/>
        </w:rPr>
      </w:pPr>
      <w:bookmarkStart w:id="2" w:name="para_43"/>
      <w:bookmarkEnd w:id="2"/>
      <w:r w:rsidRPr="00D500E6">
        <w:rPr>
          <w:rFonts w:ascii="Arial" w:hAnsi="Arial" w:cs="Arial"/>
          <w:color w:val="4472C4" w:themeColor="accent1"/>
          <w:sz w:val="21"/>
          <w:szCs w:val="21"/>
        </w:rPr>
        <w:t>c)     frais généraux administratifs qui ne contribuent pas à amener les stocks à l'endroit et dans l'état où ils se trouvent; et</w:t>
      </w:r>
    </w:p>
    <w:p w14:paraId="7928BB6E" w14:textId="77777777" w:rsidR="006466CB" w:rsidRPr="00D500E6" w:rsidRDefault="006466CB" w:rsidP="006466CB">
      <w:pPr>
        <w:pStyle w:val="bullet"/>
        <w:shd w:val="clear" w:color="auto" w:fill="FFFFFF"/>
        <w:spacing w:before="65" w:beforeAutospacing="0" w:after="65" w:afterAutospacing="0"/>
        <w:ind w:left="1488" w:hanging="684"/>
        <w:rPr>
          <w:rFonts w:ascii="Arial" w:hAnsi="Arial" w:cs="Arial"/>
          <w:color w:val="4472C4" w:themeColor="accent1"/>
          <w:sz w:val="21"/>
          <w:szCs w:val="21"/>
        </w:rPr>
      </w:pPr>
      <w:bookmarkStart w:id="3" w:name="para_44"/>
      <w:bookmarkEnd w:id="3"/>
      <w:r w:rsidRPr="00D500E6">
        <w:rPr>
          <w:rFonts w:ascii="Arial" w:hAnsi="Arial" w:cs="Arial"/>
          <w:color w:val="4472C4" w:themeColor="accent1"/>
          <w:sz w:val="21"/>
          <w:szCs w:val="21"/>
        </w:rPr>
        <w:t>d)     frais de commercialisation.</w:t>
      </w:r>
    </w:p>
    <w:p w14:paraId="795DA586" w14:textId="3E7A9328" w:rsidR="00CE7582" w:rsidRDefault="006466CB" w:rsidP="00CE7582">
      <w:pPr>
        <w:jc w:val="both"/>
        <w:rPr>
          <w:sz w:val="24"/>
          <w:szCs w:val="24"/>
        </w:rPr>
      </w:pPr>
      <w:r>
        <w:rPr>
          <w:sz w:val="24"/>
          <w:szCs w:val="24"/>
        </w:rPr>
        <w:t>Les coûts suivants</w:t>
      </w:r>
      <w:r w:rsidR="00FE71CF">
        <w:rPr>
          <w:sz w:val="24"/>
          <w:szCs w:val="24"/>
        </w:rPr>
        <w:t xml:space="preserve"> ne sont pas inclus dans le coût des stocks</w:t>
      </w:r>
    </w:p>
    <w:p w14:paraId="741BCFF6" w14:textId="7224F790" w:rsidR="00FE71CF" w:rsidRDefault="00FE71CF" w:rsidP="00FE71CF">
      <w:pPr>
        <w:pStyle w:val="Paragraphedeliste"/>
        <w:numPr>
          <w:ilvl w:val="0"/>
          <w:numId w:val="1"/>
        </w:numPr>
        <w:jc w:val="both"/>
        <w:rPr>
          <w:sz w:val="24"/>
          <w:szCs w:val="24"/>
        </w:rPr>
      </w:pPr>
      <w:r>
        <w:rPr>
          <w:sz w:val="24"/>
          <w:szCs w:val="24"/>
        </w:rPr>
        <w:t>Frais d’entreposage : Les frais d’entreposage</w:t>
      </w:r>
      <w:r w:rsidR="00F3592A">
        <w:rPr>
          <w:sz w:val="24"/>
          <w:szCs w:val="24"/>
        </w:rPr>
        <w:t xml:space="preserve"> ne sont pas capitalisables, car ils</w:t>
      </w:r>
      <w:r w:rsidR="00507BEE">
        <w:rPr>
          <w:sz w:val="24"/>
          <w:szCs w:val="24"/>
        </w:rPr>
        <w:t xml:space="preserve"> ne sont pas nécessaires au processus de production</w:t>
      </w:r>
      <w:r w:rsidR="004F3898">
        <w:rPr>
          <w:sz w:val="24"/>
          <w:szCs w:val="24"/>
        </w:rPr>
        <w:t xml:space="preserve">, c’est seulement en raison d’un manque </w:t>
      </w:r>
      <w:r w:rsidR="00D500E6">
        <w:rPr>
          <w:sz w:val="24"/>
          <w:szCs w:val="24"/>
        </w:rPr>
        <w:t>d’espace</w:t>
      </w:r>
      <w:r w:rsidR="004F3898">
        <w:rPr>
          <w:sz w:val="24"/>
          <w:szCs w:val="24"/>
        </w:rPr>
        <w:t xml:space="preserve"> dans l’entrepôt</w:t>
      </w:r>
    </w:p>
    <w:p w14:paraId="4E2F8607" w14:textId="0B1A97DC" w:rsidR="004F3898" w:rsidRPr="00FE71CF" w:rsidRDefault="0010352A" w:rsidP="00FE71CF">
      <w:pPr>
        <w:pStyle w:val="Paragraphedeliste"/>
        <w:numPr>
          <w:ilvl w:val="0"/>
          <w:numId w:val="1"/>
        </w:numPr>
        <w:jc w:val="both"/>
        <w:rPr>
          <w:sz w:val="24"/>
          <w:szCs w:val="24"/>
        </w:rPr>
      </w:pPr>
      <w:r>
        <w:rPr>
          <w:sz w:val="24"/>
          <w:szCs w:val="24"/>
        </w:rPr>
        <w:t xml:space="preserve">Le gaspillage anormal : </w:t>
      </w:r>
      <w:r w:rsidR="00D500E6">
        <w:rPr>
          <w:sz w:val="24"/>
          <w:szCs w:val="24"/>
        </w:rPr>
        <w:t>Les pertes s’élèvent</w:t>
      </w:r>
      <w:r w:rsidR="00123839">
        <w:rPr>
          <w:sz w:val="24"/>
          <w:szCs w:val="24"/>
        </w:rPr>
        <w:t xml:space="preserve"> à 3</w:t>
      </w:r>
      <w:r w:rsidR="00D500E6">
        <w:rPr>
          <w:sz w:val="24"/>
          <w:szCs w:val="24"/>
        </w:rPr>
        <w:t> </w:t>
      </w:r>
      <w:r w:rsidR="00123839">
        <w:rPr>
          <w:sz w:val="24"/>
          <w:szCs w:val="24"/>
        </w:rPr>
        <w:t xml:space="preserve">% </w:t>
      </w:r>
      <w:r w:rsidR="00D500E6">
        <w:rPr>
          <w:sz w:val="24"/>
          <w:szCs w:val="24"/>
        </w:rPr>
        <w:t>alors que le</w:t>
      </w:r>
      <w:r w:rsidR="00123839">
        <w:rPr>
          <w:sz w:val="24"/>
          <w:szCs w:val="24"/>
        </w:rPr>
        <w:t xml:space="preserve"> niveau normal</w:t>
      </w:r>
      <w:r w:rsidR="00D500E6">
        <w:rPr>
          <w:sz w:val="24"/>
          <w:szCs w:val="24"/>
        </w:rPr>
        <w:t xml:space="preserve"> devrait être 1 %</w:t>
      </w:r>
      <w:r w:rsidR="00123839">
        <w:rPr>
          <w:sz w:val="24"/>
          <w:szCs w:val="24"/>
        </w:rPr>
        <w:t>, le gaspillage anormal n’est pas capitalisable</w:t>
      </w:r>
    </w:p>
    <w:p w14:paraId="7E9D97CB" w14:textId="22F85ED2" w:rsidR="00AD1AF7" w:rsidRDefault="00082B35" w:rsidP="00160610">
      <w:pPr>
        <w:jc w:val="both"/>
        <w:rPr>
          <w:sz w:val="24"/>
          <w:szCs w:val="24"/>
        </w:rPr>
      </w:pPr>
      <w:r>
        <w:rPr>
          <w:sz w:val="24"/>
          <w:szCs w:val="24"/>
        </w:rPr>
        <w:t>Impact :</w:t>
      </w:r>
      <w:r w:rsidR="002D5426">
        <w:rPr>
          <w:sz w:val="24"/>
          <w:szCs w:val="24"/>
        </w:rPr>
        <w:t xml:space="preserve"> Selon mes calculs </w:t>
      </w:r>
      <w:r w:rsidR="00D500E6">
        <w:rPr>
          <w:sz w:val="24"/>
          <w:szCs w:val="24"/>
        </w:rPr>
        <w:t>à l’annexe I</w:t>
      </w:r>
      <w:r w:rsidR="002D5426">
        <w:rPr>
          <w:sz w:val="24"/>
          <w:szCs w:val="24"/>
        </w:rPr>
        <w:t>, il faut faire un ajustement à la baisse de 10 580 $</w:t>
      </w:r>
    </w:p>
    <w:p w14:paraId="467BCF7E" w14:textId="620FCC68" w:rsidR="002D5426" w:rsidRDefault="00D6500C" w:rsidP="00D500E6">
      <w:pPr>
        <w:spacing w:after="0"/>
        <w:jc w:val="both"/>
        <w:rPr>
          <w:sz w:val="24"/>
          <w:szCs w:val="24"/>
        </w:rPr>
      </w:pPr>
      <w:r>
        <w:rPr>
          <w:sz w:val="24"/>
          <w:szCs w:val="24"/>
        </w:rPr>
        <w:t>Charge</w:t>
      </w:r>
      <w:r>
        <w:rPr>
          <w:sz w:val="24"/>
          <w:szCs w:val="24"/>
        </w:rPr>
        <w:tab/>
      </w:r>
      <w:r>
        <w:rPr>
          <w:sz w:val="24"/>
          <w:szCs w:val="24"/>
        </w:rPr>
        <w:tab/>
        <w:t>10 580 $</w:t>
      </w:r>
    </w:p>
    <w:p w14:paraId="0DA7AE61" w14:textId="46E83F6C" w:rsidR="00D6500C" w:rsidRDefault="00D6500C" w:rsidP="00160610">
      <w:pPr>
        <w:jc w:val="both"/>
        <w:rPr>
          <w:sz w:val="24"/>
          <w:szCs w:val="24"/>
        </w:rPr>
      </w:pPr>
      <w:r>
        <w:rPr>
          <w:sz w:val="24"/>
          <w:szCs w:val="24"/>
        </w:rPr>
        <w:t>@Stocks</w:t>
      </w:r>
      <w:r>
        <w:rPr>
          <w:sz w:val="24"/>
          <w:szCs w:val="24"/>
        </w:rPr>
        <w:tab/>
      </w:r>
      <w:r>
        <w:rPr>
          <w:sz w:val="24"/>
          <w:szCs w:val="24"/>
        </w:rPr>
        <w:tab/>
        <w:t>10 580 $</w:t>
      </w:r>
    </w:p>
    <w:p w14:paraId="3F10A0DA" w14:textId="17F2F398" w:rsidR="00082B35" w:rsidRDefault="00082B35" w:rsidP="00160610">
      <w:pPr>
        <w:jc w:val="both"/>
        <w:rPr>
          <w:sz w:val="24"/>
          <w:szCs w:val="24"/>
        </w:rPr>
      </w:pPr>
      <w:r>
        <w:rPr>
          <w:sz w:val="24"/>
          <w:szCs w:val="24"/>
        </w:rPr>
        <w:t>Conclusion :</w:t>
      </w:r>
      <w:r w:rsidR="00D6500C">
        <w:rPr>
          <w:sz w:val="24"/>
          <w:szCs w:val="24"/>
        </w:rPr>
        <w:t xml:space="preserve"> Il faut réduire la valeur des stocks pour enlever les frais de stockage et le gaspillage anormal</w:t>
      </w:r>
    </w:p>
    <w:p w14:paraId="15653515" w14:textId="77777777" w:rsidR="00082B35" w:rsidRDefault="00082B35" w:rsidP="00160610">
      <w:pPr>
        <w:jc w:val="both"/>
        <w:rPr>
          <w:sz w:val="24"/>
          <w:szCs w:val="24"/>
        </w:rPr>
      </w:pPr>
    </w:p>
    <w:p w14:paraId="72970033" w14:textId="77777777" w:rsidR="00572616" w:rsidRDefault="00572616" w:rsidP="00160610">
      <w:pPr>
        <w:jc w:val="both"/>
        <w:rPr>
          <w:sz w:val="24"/>
          <w:szCs w:val="24"/>
        </w:rPr>
      </w:pPr>
    </w:p>
    <w:p w14:paraId="7416DC8B" w14:textId="77777777" w:rsidR="00572616" w:rsidRDefault="00572616" w:rsidP="00160610">
      <w:pPr>
        <w:jc w:val="both"/>
        <w:rPr>
          <w:sz w:val="24"/>
          <w:szCs w:val="24"/>
        </w:rPr>
      </w:pPr>
    </w:p>
    <w:p w14:paraId="565179E0" w14:textId="0A5D46AB" w:rsidR="00082B35" w:rsidRPr="00263347" w:rsidRDefault="00082B35" w:rsidP="00082B35">
      <w:pPr>
        <w:jc w:val="both"/>
        <w:rPr>
          <w:sz w:val="24"/>
          <w:szCs w:val="24"/>
          <w:highlight w:val="cyan"/>
        </w:rPr>
      </w:pPr>
      <w:r w:rsidRPr="00D500E6">
        <w:rPr>
          <w:sz w:val="24"/>
          <w:szCs w:val="24"/>
          <w:highlight w:val="cyan"/>
        </w:rPr>
        <w:lastRenderedPageBreak/>
        <w:t xml:space="preserve">Problématique : Il s’agit de déterminer </w:t>
      </w:r>
      <w:r w:rsidR="00D500E6" w:rsidRPr="00D500E6">
        <w:rPr>
          <w:sz w:val="24"/>
          <w:szCs w:val="24"/>
          <w:highlight w:val="cyan"/>
        </w:rPr>
        <w:t xml:space="preserve">à </w:t>
      </w:r>
      <w:r w:rsidRPr="00D500E6">
        <w:rPr>
          <w:sz w:val="24"/>
          <w:szCs w:val="24"/>
          <w:highlight w:val="cyan"/>
        </w:rPr>
        <w:t xml:space="preserve">quel montant il faut comptabiliser </w:t>
      </w:r>
      <w:r w:rsidR="00263347">
        <w:rPr>
          <w:sz w:val="24"/>
          <w:szCs w:val="24"/>
          <w:highlight w:val="cyan"/>
        </w:rPr>
        <w:t xml:space="preserve">la marchandise provenant </w:t>
      </w:r>
      <w:r w:rsidR="00B354E1" w:rsidRPr="00D500E6">
        <w:rPr>
          <w:sz w:val="24"/>
          <w:szCs w:val="24"/>
          <w:highlight w:val="cyan"/>
        </w:rPr>
        <w:t xml:space="preserve">de </w:t>
      </w:r>
      <w:r w:rsidR="00263347">
        <w:rPr>
          <w:sz w:val="24"/>
          <w:szCs w:val="24"/>
          <w:highlight w:val="cyan"/>
        </w:rPr>
        <w:t xml:space="preserve">la </w:t>
      </w:r>
      <w:r w:rsidR="00B354E1" w:rsidRPr="00D500E6">
        <w:rPr>
          <w:sz w:val="24"/>
          <w:szCs w:val="24"/>
          <w:highlight w:val="cyan"/>
        </w:rPr>
        <w:t>commande</w:t>
      </w:r>
      <w:r w:rsidR="00263347" w:rsidRPr="00263347">
        <w:rPr>
          <w:sz w:val="24"/>
          <w:szCs w:val="24"/>
          <w:highlight w:val="cyan"/>
        </w:rPr>
        <w:t xml:space="preserve"> erronée</w:t>
      </w:r>
    </w:p>
    <w:p w14:paraId="0EBD6251" w14:textId="77777777" w:rsidR="00082B35" w:rsidRDefault="00082B35" w:rsidP="00082B35">
      <w:pPr>
        <w:jc w:val="both"/>
        <w:rPr>
          <w:sz w:val="24"/>
          <w:szCs w:val="24"/>
        </w:rPr>
      </w:pPr>
      <w:r>
        <w:rPr>
          <w:sz w:val="24"/>
          <w:szCs w:val="24"/>
        </w:rPr>
        <w:t>Analyse : Selon NCECF 3031</w:t>
      </w:r>
    </w:p>
    <w:p w14:paraId="26A180D8" w14:textId="5DE9AA03" w:rsidR="00572616" w:rsidRDefault="00572616" w:rsidP="00082B35">
      <w:pPr>
        <w:jc w:val="both"/>
        <w:rPr>
          <w:sz w:val="24"/>
          <w:szCs w:val="24"/>
        </w:rPr>
      </w:pPr>
      <w:r w:rsidRPr="00D500E6">
        <w:rPr>
          <w:rFonts w:ascii="Arial" w:hAnsi="Arial" w:cs="Arial"/>
          <w:color w:val="4472C4" w:themeColor="accent1"/>
          <w:sz w:val="21"/>
          <w:szCs w:val="21"/>
          <w:shd w:val="clear" w:color="auto" w:fill="FFFFFF"/>
        </w:rPr>
        <w:t>.10    </w:t>
      </w:r>
      <w:r w:rsidRPr="00D500E6">
        <w:rPr>
          <w:rFonts w:ascii="Arial" w:hAnsi="Arial" w:cs="Arial"/>
          <w:i/>
          <w:iCs/>
          <w:color w:val="4472C4" w:themeColor="accent1"/>
          <w:sz w:val="21"/>
          <w:szCs w:val="21"/>
          <w:shd w:val="clear" w:color="auto" w:fill="FFFFFF"/>
        </w:rPr>
        <w:t>Les stocks doivent être évalués au plus faible du coût et de la valeur nette de réalisation</w:t>
      </w:r>
      <w:r>
        <w:rPr>
          <w:rFonts w:ascii="Arial" w:hAnsi="Arial" w:cs="Arial"/>
          <w:i/>
          <w:iCs/>
          <w:color w:val="444444"/>
          <w:sz w:val="21"/>
          <w:szCs w:val="21"/>
          <w:shd w:val="clear" w:color="auto" w:fill="FFFFFF"/>
        </w:rPr>
        <w:t>.</w:t>
      </w:r>
    </w:p>
    <w:p w14:paraId="2F5EC506" w14:textId="3AF00766" w:rsidR="00572616" w:rsidRDefault="00572616" w:rsidP="00082B35">
      <w:pPr>
        <w:jc w:val="both"/>
        <w:rPr>
          <w:sz w:val="24"/>
          <w:szCs w:val="24"/>
        </w:rPr>
      </w:pPr>
      <w:r>
        <w:rPr>
          <w:sz w:val="24"/>
          <w:szCs w:val="24"/>
        </w:rPr>
        <w:t xml:space="preserve">Les pièces ont un coût de </w:t>
      </w:r>
      <w:r w:rsidR="00830622">
        <w:rPr>
          <w:sz w:val="24"/>
          <w:szCs w:val="24"/>
        </w:rPr>
        <w:t>875 $ chacune (total 35 000 $</w:t>
      </w:r>
      <w:r w:rsidR="001367C8">
        <w:rPr>
          <w:sz w:val="24"/>
          <w:szCs w:val="24"/>
        </w:rPr>
        <w:t xml:space="preserve"> pour les 40 pièces</w:t>
      </w:r>
      <w:r w:rsidR="00830622">
        <w:rPr>
          <w:sz w:val="24"/>
          <w:szCs w:val="24"/>
        </w:rPr>
        <w:t>)</w:t>
      </w:r>
      <w:r w:rsidR="001367C8">
        <w:rPr>
          <w:sz w:val="24"/>
          <w:szCs w:val="24"/>
        </w:rPr>
        <w:t>. I</w:t>
      </w:r>
      <w:r w:rsidR="00830622">
        <w:rPr>
          <w:sz w:val="24"/>
          <w:szCs w:val="24"/>
        </w:rPr>
        <w:t>l faut déterminer la valeur nette de réalisation</w:t>
      </w:r>
    </w:p>
    <w:p w14:paraId="4925AA79" w14:textId="4D1A0E05" w:rsidR="00830622" w:rsidRPr="00A629E6" w:rsidRDefault="0010761F" w:rsidP="00082B35">
      <w:pPr>
        <w:jc w:val="both"/>
        <w:rPr>
          <w:color w:val="4472C4" w:themeColor="accent1"/>
          <w:sz w:val="24"/>
          <w:szCs w:val="24"/>
        </w:rPr>
      </w:pPr>
      <w:r w:rsidRPr="00A629E6">
        <w:rPr>
          <w:rFonts w:ascii="Arial" w:hAnsi="Arial" w:cs="Arial"/>
          <w:color w:val="4472C4" w:themeColor="accent1"/>
          <w:sz w:val="21"/>
          <w:szCs w:val="21"/>
          <w:shd w:val="clear" w:color="auto" w:fill="FFFFFF"/>
        </w:rPr>
        <w:t>b)     La </w:t>
      </w:r>
      <w:r w:rsidRPr="00A629E6">
        <w:rPr>
          <w:rFonts w:ascii="Arial" w:hAnsi="Arial" w:cs="Arial"/>
          <w:b/>
          <w:bCs/>
          <w:color w:val="4472C4" w:themeColor="accent1"/>
          <w:sz w:val="21"/>
          <w:szCs w:val="21"/>
          <w:shd w:val="clear" w:color="auto" w:fill="FFFFFF"/>
        </w:rPr>
        <w:t>valeur nette de réalisation</w:t>
      </w:r>
      <w:r w:rsidRPr="00A629E6">
        <w:rPr>
          <w:rFonts w:ascii="Arial" w:hAnsi="Arial" w:cs="Arial"/>
          <w:color w:val="4472C4" w:themeColor="accent1"/>
          <w:sz w:val="21"/>
          <w:szCs w:val="21"/>
          <w:shd w:val="clear" w:color="auto" w:fill="FFFFFF"/>
        </w:rPr>
        <w:t> est le prix de vente estimé dans le cours normal de l'activité, diminué des coûts estimés pour l'achèvement et des coûts estimés nécessaires pour réaliser la vente.</w:t>
      </w:r>
    </w:p>
    <w:p w14:paraId="7A5D5944" w14:textId="12B9647B" w:rsidR="0010761F" w:rsidRDefault="00FF0103" w:rsidP="00082B35">
      <w:pPr>
        <w:jc w:val="both"/>
        <w:rPr>
          <w:sz w:val="24"/>
          <w:szCs w:val="24"/>
        </w:rPr>
      </w:pPr>
      <w:r>
        <w:rPr>
          <w:sz w:val="24"/>
          <w:szCs w:val="24"/>
        </w:rPr>
        <w:t xml:space="preserve">Le prix de vente estimé est de </w:t>
      </w:r>
      <w:r w:rsidR="00FB25CF">
        <w:rPr>
          <w:sz w:val="24"/>
          <w:szCs w:val="24"/>
        </w:rPr>
        <w:t xml:space="preserve">1 000 $ par pièce (total 40 000 $). Pour vendre les pièces, API doit payer </w:t>
      </w:r>
      <w:r w:rsidR="00874A67">
        <w:rPr>
          <w:sz w:val="24"/>
          <w:szCs w:val="24"/>
        </w:rPr>
        <w:t xml:space="preserve">des frais </w:t>
      </w:r>
      <w:r w:rsidR="0019381F">
        <w:rPr>
          <w:sz w:val="24"/>
          <w:szCs w:val="24"/>
        </w:rPr>
        <w:t>de transformation de 100 $ par pièce</w:t>
      </w:r>
      <w:r w:rsidR="00193E5A">
        <w:rPr>
          <w:sz w:val="24"/>
          <w:szCs w:val="24"/>
        </w:rPr>
        <w:t xml:space="preserve"> (total de 4 000 $) pour réaliser la vente</w:t>
      </w:r>
      <w:r w:rsidR="007D44B4">
        <w:rPr>
          <w:sz w:val="24"/>
          <w:szCs w:val="24"/>
        </w:rPr>
        <w:t xml:space="preserve"> ainsi que </w:t>
      </w:r>
      <w:r w:rsidR="007D44B4">
        <w:rPr>
          <w:sz w:val="24"/>
          <w:szCs w:val="24"/>
        </w:rPr>
        <w:t>des frais de livraison de 3 000 $</w:t>
      </w:r>
      <w:r w:rsidR="00193E5A">
        <w:rPr>
          <w:sz w:val="24"/>
          <w:szCs w:val="24"/>
        </w:rPr>
        <w:t xml:space="preserve">. La valeur </w:t>
      </w:r>
      <w:r w:rsidR="00D54535">
        <w:rPr>
          <w:sz w:val="24"/>
          <w:szCs w:val="24"/>
        </w:rPr>
        <w:t xml:space="preserve">nette </w:t>
      </w:r>
      <w:r w:rsidR="00193E5A">
        <w:rPr>
          <w:sz w:val="24"/>
          <w:szCs w:val="24"/>
        </w:rPr>
        <w:t xml:space="preserve">de réalisation est de </w:t>
      </w:r>
      <w:r w:rsidR="0062172F">
        <w:rPr>
          <w:sz w:val="24"/>
          <w:szCs w:val="24"/>
        </w:rPr>
        <w:t>33 000 $ (40 000 $ - 3 000 $ - 4 000$).</w:t>
      </w:r>
    </w:p>
    <w:p w14:paraId="4ACDF96C" w14:textId="72B02C65" w:rsidR="000F7582" w:rsidRPr="00A629E6" w:rsidRDefault="000F7582" w:rsidP="00082B35">
      <w:pPr>
        <w:jc w:val="both"/>
        <w:rPr>
          <w:color w:val="4472C4" w:themeColor="accent1"/>
          <w:sz w:val="24"/>
          <w:szCs w:val="24"/>
        </w:rPr>
      </w:pPr>
      <w:r w:rsidRPr="00A629E6">
        <w:rPr>
          <w:rFonts w:ascii="Arial" w:hAnsi="Arial" w:cs="Arial"/>
          <w:i/>
          <w:iCs/>
          <w:color w:val="4472C4" w:themeColor="accent1"/>
          <w:sz w:val="21"/>
          <w:szCs w:val="21"/>
          <w:shd w:val="clear" w:color="auto" w:fill="FFFFFF"/>
        </w:rPr>
        <w:t>Le montant de toute dépréciation des stocks pour les ramener à leur valeur nette de réalisation et toutes les pertes de stocks doivent être comptabilisés en charges de la période au cours de laquelle la dépréciation ou la perte se produit.</w:t>
      </w:r>
    </w:p>
    <w:p w14:paraId="36EA6441" w14:textId="40DD50E7" w:rsidR="000F7582" w:rsidRDefault="00837538" w:rsidP="00082B35">
      <w:pPr>
        <w:jc w:val="both"/>
        <w:rPr>
          <w:sz w:val="24"/>
          <w:szCs w:val="24"/>
        </w:rPr>
      </w:pPr>
      <w:r>
        <w:rPr>
          <w:sz w:val="24"/>
          <w:szCs w:val="24"/>
        </w:rPr>
        <w:t>Il faut comptabiliser une perte en charge dans l’exercice 202</w:t>
      </w:r>
      <w:r w:rsidR="00A629E6">
        <w:rPr>
          <w:sz w:val="24"/>
          <w:szCs w:val="24"/>
        </w:rPr>
        <w:t>3</w:t>
      </w:r>
    </w:p>
    <w:p w14:paraId="12716C09" w14:textId="0A83F9E6" w:rsidR="00082B35" w:rsidRDefault="00082B35" w:rsidP="00082B35">
      <w:pPr>
        <w:jc w:val="both"/>
        <w:rPr>
          <w:sz w:val="24"/>
          <w:szCs w:val="24"/>
        </w:rPr>
      </w:pPr>
      <w:r>
        <w:rPr>
          <w:sz w:val="24"/>
          <w:szCs w:val="24"/>
        </w:rPr>
        <w:t>Impact :</w:t>
      </w:r>
      <w:r w:rsidR="00837538">
        <w:rPr>
          <w:sz w:val="24"/>
          <w:szCs w:val="24"/>
        </w:rPr>
        <w:t xml:space="preserve"> Voici l’ajustement à comptabiliser</w:t>
      </w:r>
    </w:p>
    <w:p w14:paraId="063D4086" w14:textId="07B9369B" w:rsidR="003D2284" w:rsidRDefault="003D2284" w:rsidP="00D54535">
      <w:pPr>
        <w:spacing w:after="0"/>
        <w:jc w:val="both"/>
        <w:rPr>
          <w:sz w:val="24"/>
          <w:szCs w:val="24"/>
        </w:rPr>
      </w:pPr>
      <w:r>
        <w:rPr>
          <w:sz w:val="24"/>
          <w:szCs w:val="24"/>
        </w:rPr>
        <w:t>Perte de valeur – RN</w:t>
      </w:r>
      <w:r>
        <w:rPr>
          <w:sz w:val="24"/>
          <w:szCs w:val="24"/>
        </w:rPr>
        <w:tab/>
      </w:r>
      <w:r>
        <w:rPr>
          <w:sz w:val="24"/>
          <w:szCs w:val="24"/>
        </w:rPr>
        <w:tab/>
        <w:t>2 000 $</w:t>
      </w:r>
    </w:p>
    <w:p w14:paraId="642DEA00" w14:textId="47DDBAFA" w:rsidR="003D2284" w:rsidRDefault="003D2284" w:rsidP="00082B35">
      <w:pPr>
        <w:jc w:val="both"/>
        <w:rPr>
          <w:sz w:val="24"/>
          <w:szCs w:val="24"/>
        </w:rPr>
      </w:pPr>
      <w:r>
        <w:rPr>
          <w:sz w:val="24"/>
          <w:szCs w:val="24"/>
        </w:rPr>
        <w:t>@Stocks</w:t>
      </w:r>
      <w:r>
        <w:rPr>
          <w:sz w:val="24"/>
          <w:szCs w:val="24"/>
        </w:rPr>
        <w:tab/>
      </w:r>
      <w:r>
        <w:rPr>
          <w:sz w:val="24"/>
          <w:szCs w:val="24"/>
        </w:rPr>
        <w:tab/>
      </w:r>
      <w:r>
        <w:rPr>
          <w:sz w:val="24"/>
          <w:szCs w:val="24"/>
        </w:rPr>
        <w:tab/>
      </w:r>
      <w:r>
        <w:rPr>
          <w:sz w:val="24"/>
          <w:szCs w:val="24"/>
        </w:rPr>
        <w:tab/>
        <w:t>2 000 $</w:t>
      </w:r>
    </w:p>
    <w:p w14:paraId="244A47FF" w14:textId="03F91E76" w:rsidR="00082B35" w:rsidRPr="00160610" w:rsidRDefault="00082B35" w:rsidP="00082B35">
      <w:pPr>
        <w:jc w:val="both"/>
        <w:rPr>
          <w:sz w:val="24"/>
          <w:szCs w:val="24"/>
        </w:rPr>
      </w:pPr>
      <w:r>
        <w:rPr>
          <w:sz w:val="24"/>
          <w:szCs w:val="24"/>
        </w:rPr>
        <w:t>Conclusion :</w:t>
      </w:r>
      <w:r w:rsidR="003D2284">
        <w:rPr>
          <w:sz w:val="24"/>
          <w:szCs w:val="24"/>
        </w:rPr>
        <w:t xml:space="preserve"> Il faut comptabiliser une perte de valeur sur les pièces</w:t>
      </w:r>
      <w:r w:rsidR="00B44058">
        <w:rPr>
          <w:sz w:val="24"/>
          <w:szCs w:val="24"/>
        </w:rPr>
        <w:t>, car leur valeur de réalisation est inférieure au coût</w:t>
      </w:r>
      <w:r w:rsidR="00D54535">
        <w:rPr>
          <w:sz w:val="24"/>
          <w:szCs w:val="24"/>
        </w:rPr>
        <w:t xml:space="preserve"> (33 000</w:t>
      </w:r>
      <w:r w:rsidR="00C97ABC">
        <w:rPr>
          <w:sz w:val="24"/>
          <w:szCs w:val="24"/>
        </w:rPr>
        <w:t xml:space="preserve"> $</w:t>
      </w:r>
      <w:r w:rsidR="00D54535">
        <w:rPr>
          <w:sz w:val="24"/>
          <w:szCs w:val="24"/>
        </w:rPr>
        <w:t xml:space="preserve"> – 35 000</w:t>
      </w:r>
      <w:r w:rsidR="00C97ABC">
        <w:rPr>
          <w:sz w:val="24"/>
          <w:szCs w:val="24"/>
        </w:rPr>
        <w:t xml:space="preserve"> $</w:t>
      </w:r>
      <w:r w:rsidR="00D54535">
        <w:rPr>
          <w:sz w:val="24"/>
          <w:szCs w:val="24"/>
        </w:rPr>
        <w:t>)</w:t>
      </w:r>
      <w:r w:rsidR="00C97ABC">
        <w:rPr>
          <w:sz w:val="24"/>
          <w:szCs w:val="24"/>
        </w:rPr>
        <w:t>.</w:t>
      </w:r>
    </w:p>
    <w:p w14:paraId="5B2FDD81" w14:textId="77777777" w:rsidR="00082B35" w:rsidRDefault="00082B35" w:rsidP="00160610">
      <w:pPr>
        <w:jc w:val="both"/>
        <w:rPr>
          <w:sz w:val="24"/>
          <w:szCs w:val="24"/>
        </w:rPr>
      </w:pPr>
    </w:p>
    <w:p w14:paraId="7DBF0163" w14:textId="77777777" w:rsidR="005C6D65" w:rsidRDefault="005C6D65" w:rsidP="00160610">
      <w:pPr>
        <w:jc w:val="both"/>
        <w:rPr>
          <w:sz w:val="24"/>
          <w:szCs w:val="24"/>
        </w:rPr>
      </w:pPr>
    </w:p>
    <w:p w14:paraId="13ABAA2B" w14:textId="77777777" w:rsidR="005C6D65" w:rsidRDefault="005C6D65" w:rsidP="00160610">
      <w:pPr>
        <w:jc w:val="both"/>
        <w:rPr>
          <w:sz w:val="24"/>
          <w:szCs w:val="24"/>
        </w:rPr>
      </w:pPr>
    </w:p>
    <w:p w14:paraId="748EF41D" w14:textId="5A97AA42" w:rsidR="00082B35" w:rsidRDefault="00082B35" w:rsidP="00082B35">
      <w:pPr>
        <w:jc w:val="both"/>
        <w:rPr>
          <w:sz w:val="24"/>
          <w:szCs w:val="24"/>
        </w:rPr>
      </w:pPr>
      <w:r w:rsidRPr="00A629E6">
        <w:rPr>
          <w:sz w:val="24"/>
          <w:szCs w:val="24"/>
          <w:highlight w:val="cyan"/>
        </w:rPr>
        <w:t xml:space="preserve">Problématique : Il s’agit de déterminer </w:t>
      </w:r>
      <w:r w:rsidR="00A629E6" w:rsidRPr="00A629E6">
        <w:rPr>
          <w:sz w:val="24"/>
          <w:szCs w:val="24"/>
          <w:highlight w:val="cyan"/>
        </w:rPr>
        <w:t>le traitement comptable de la poursuite</w:t>
      </w:r>
    </w:p>
    <w:p w14:paraId="2B37E6C9" w14:textId="77DB3C74" w:rsidR="00082B35" w:rsidRDefault="00082B35" w:rsidP="00082B35">
      <w:pPr>
        <w:jc w:val="both"/>
        <w:rPr>
          <w:sz w:val="24"/>
          <w:szCs w:val="24"/>
        </w:rPr>
      </w:pPr>
      <w:r>
        <w:rPr>
          <w:sz w:val="24"/>
          <w:szCs w:val="24"/>
        </w:rPr>
        <w:t xml:space="preserve">Analyse : Selon NCECF </w:t>
      </w:r>
      <w:r w:rsidR="00311423">
        <w:rPr>
          <w:sz w:val="24"/>
          <w:szCs w:val="24"/>
        </w:rPr>
        <w:t>32</w:t>
      </w:r>
      <w:r w:rsidR="007A0969">
        <w:rPr>
          <w:sz w:val="24"/>
          <w:szCs w:val="24"/>
        </w:rPr>
        <w:t>90</w:t>
      </w:r>
    </w:p>
    <w:p w14:paraId="565235DA" w14:textId="0468C08E" w:rsidR="007A0969" w:rsidRPr="00A629E6" w:rsidRDefault="00B15A76" w:rsidP="00082B35">
      <w:pPr>
        <w:jc w:val="both"/>
        <w:rPr>
          <w:color w:val="4472C4" w:themeColor="accent1"/>
          <w:sz w:val="24"/>
          <w:szCs w:val="24"/>
        </w:rPr>
      </w:pPr>
      <w:r w:rsidRPr="00A629E6">
        <w:rPr>
          <w:rFonts w:ascii="Arial" w:hAnsi="Arial" w:cs="Arial"/>
          <w:color w:val="4472C4" w:themeColor="accent1"/>
          <w:sz w:val="21"/>
          <w:szCs w:val="21"/>
          <w:shd w:val="clear" w:color="auto" w:fill="FFFFFF"/>
        </w:rPr>
        <w:t>On entend par </w:t>
      </w:r>
      <w:r w:rsidRPr="00A629E6">
        <w:rPr>
          <w:rFonts w:ascii="Arial" w:hAnsi="Arial" w:cs="Arial"/>
          <w:b/>
          <w:bCs/>
          <w:color w:val="4472C4" w:themeColor="accent1"/>
          <w:sz w:val="21"/>
          <w:szCs w:val="21"/>
          <w:shd w:val="clear" w:color="auto" w:fill="FFFFFF"/>
        </w:rPr>
        <w:t>éventualité</w:t>
      </w:r>
      <w:r w:rsidRPr="00A629E6">
        <w:rPr>
          <w:rFonts w:ascii="Arial" w:hAnsi="Arial" w:cs="Arial"/>
          <w:color w:val="4472C4" w:themeColor="accent1"/>
          <w:sz w:val="21"/>
          <w:szCs w:val="21"/>
          <w:shd w:val="clear" w:color="auto" w:fill="FFFFFF"/>
        </w:rPr>
        <w:t> toute situation incertaine susceptible d'entraîner un gain ou une perte pour l'entreprise et dont l'issue ultime dépend d'un ou de plusieurs événements futurs dont on ne sait si, effectivement, ils se produiront. Le dénouement de l'incertitude viendra, selon les cas, confirmer une augmentation de l'actif ou une diminution du passif, ou encore la perte ou la dépréciation d'un bien ou la création d'une dette.</w:t>
      </w:r>
    </w:p>
    <w:p w14:paraId="016AF0B7" w14:textId="68D011AA" w:rsidR="00B15A76" w:rsidRDefault="00B123D9" w:rsidP="00082B35">
      <w:pPr>
        <w:jc w:val="both"/>
        <w:rPr>
          <w:sz w:val="24"/>
          <w:szCs w:val="24"/>
        </w:rPr>
      </w:pPr>
      <w:r>
        <w:rPr>
          <w:sz w:val="24"/>
          <w:szCs w:val="24"/>
        </w:rPr>
        <w:t>La poursuite représente une éventualité, car la situation risque d’entrainer une perte pour API</w:t>
      </w:r>
      <w:r w:rsidR="00FC6B96">
        <w:rPr>
          <w:sz w:val="24"/>
          <w:szCs w:val="24"/>
        </w:rPr>
        <w:t xml:space="preserve"> et l’issue dépend du procès (évènement futur).</w:t>
      </w:r>
    </w:p>
    <w:p w14:paraId="57BCF806" w14:textId="77777777" w:rsidR="00A7738A" w:rsidRPr="00A629E6" w:rsidRDefault="00A7738A" w:rsidP="00A7738A">
      <w:pPr>
        <w:pStyle w:val="paragraphnumber"/>
        <w:shd w:val="clear" w:color="auto" w:fill="FFFFFF"/>
        <w:spacing w:before="65" w:beforeAutospacing="0" w:after="65" w:afterAutospacing="0"/>
        <w:ind w:left="785" w:hanging="653"/>
        <w:rPr>
          <w:rFonts w:ascii="Arial" w:hAnsi="Arial" w:cs="Arial"/>
          <w:color w:val="4472C4" w:themeColor="accent1"/>
          <w:sz w:val="21"/>
          <w:szCs w:val="21"/>
        </w:rPr>
      </w:pPr>
      <w:r w:rsidRPr="00A629E6">
        <w:rPr>
          <w:rFonts w:ascii="Arial" w:hAnsi="Arial" w:cs="Arial"/>
          <w:color w:val="4472C4" w:themeColor="accent1"/>
          <w:sz w:val="21"/>
          <w:szCs w:val="21"/>
        </w:rPr>
        <w:lastRenderedPageBreak/>
        <w:t>.12    </w:t>
      </w:r>
      <w:r w:rsidRPr="00A629E6">
        <w:rPr>
          <w:rFonts w:ascii="Arial" w:hAnsi="Arial" w:cs="Arial"/>
          <w:i/>
          <w:iCs/>
          <w:color w:val="4472C4" w:themeColor="accent1"/>
          <w:sz w:val="21"/>
          <w:szCs w:val="21"/>
        </w:rPr>
        <w:t>Le montant d'une perte éventuelle doit être comptabilisé dans les états financiers, par passation en charges, lorsque les deux conditions suivantes sont remplies :</w:t>
      </w:r>
    </w:p>
    <w:p w14:paraId="0783E283" w14:textId="375FC23A" w:rsidR="00A7738A" w:rsidRPr="00A629E6" w:rsidRDefault="00A7738A" w:rsidP="00A7738A">
      <w:pPr>
        <w:pStyle w:val="bullet"/>
        <w:numPr>
          <w:ilvl w:val="0"/>
          <w:numId w:val="2"/>
        </w:numPr>
        <w:shd w:val="clear" w:color="auto" w:fill="FFFFFF"/>
        <w:spacing w:before="65" w:beforeAutospacing="0" w:after="65" w:afterAutospacing="0"/>
        <w:rPr>
          <w:rFonts w:ascii="Arial" w:hAnsi="Arial" w:cs="Arial"/>
          <w:i/>
          <w:iCs/>
          <w:color w:val="4472C4" w:themeColor="accent1"/>
          <w:sz w:val="21"/>
          <w:szCs w:val="21"/>
        </w:rPr>
      </w:pPr>
      <w:bookmarkStart w:id="4" w:name="para_24"/>
      <w:bookmarkEnd w:id="4"/>
      <w:r w:rsidRPr="00A629E6">
        <w:rPr>
          <w:rFonts w:ascii="Arial" w:hAnsi="Arial" w:cs="Arial"/>
          <w:i/>
          <w:iCs/>
          <w:color w:val="4472C4" w:themeColor="accent1"/>
          <w:sz w:val="21"/>
          <w:szCs w:val="21"/>
        </w:rPr>
        <w:t>il est probable qu'un événement futur confirmera qu'un actif avait subi une dépréciation ou qu'un passif avait été créé avant la date du bilan;</w:t>
      </w:r>
    </w:p>
    <w:p w14:paraId="2781BDEC" w14:textId="1A0A606E" w:rsidR="00A7738A" w:rsidRPr="00A7738A" w:rsidRDefault="00A629E6" w:rsidP="00A7738A">
      <w:pPr>
        <w:pStyle w:val="bullet"/>
        <w:shd w:val="clear" w:color="auto" w:fill="FFFFFF"/>
        <w:spacing w:before="65" w:beforeAutospacing="0" w:after="65" w:afterAutospacing="0"/>
        <w:ind w:left="1284"/>
        <w:rPr>
          <w:rFonts w:ascii="Arial" w:hAnsi="Arial" w:cs="Arial"/>
          <w:b/>
          <w:bCs/>
          <w:color w:val="444444"/>
          <w:sz w:val="21"/>
          <w:szCs w:val="21"/>
        </w:rPr>
      </w:pPr>
      <w:r>
        <w:rPr>
          <w:rFonts w:ascii="Arial" w:hAnsi="Arial" w:cs="Arial"/>
          <w:b/>
          <w:bCs/>
          <w:color w:val="444444"/>
          <w:sz w:val="21"/>
          <w:szCs w:val="21"/>
        </w:rPr>
        <w:t>OUI, s</w:t>
      </w:r>
      <w:r w:rsidR="00A7738A">
        <w:rPr>
          <w:rFonts w:ascii="Arial" w:hAnsi="Arial" w:cs="Arial"/>
          <w:b/>
          <w:bCs/>
          <w:color w:val="444444"/>
          <w:sz w:val="21"/>
          <w:szCs w:val="21"/>
        </w:rPr>
        <w:t>elon les avocats</w:t>
      </w:r>
      <w:r w:rsidR="005C2E44">
        <w:rPr>
          <w:rFonts w:ascii="Arial" w:hAnsi="Arial" w:cs="Arial"/>
          <w:b/>
          <w:bCs/>
          <w:color w:val="444444"/>
          <w:sz w:val="21"/>
          <w:szCs w:val="21"/>
        </w:rPr>
        <w:t xml:space="preserve"> d’API, API devra très probablement payer un montant au client</w:t>
      </w:r>
    </w:p>
    <w:p w14:paraId="69957761" w14:textId="189448D7" w:rsidR="00A7738A" w:rsidRPr="00A629E6" w:rsidRDefault="00A7738A" w:rsidP="005C2E44">
      <w:pPr>
        <w:pStyle w:val="bullet"/>
        <w:numPr>
          <w:ilvl w:val="0"/>
          <w:numId w:val="2"/>
        </w:numPr>
        <w:shd w:val="clear" w:color="auto" w:fill="FFFFFF"/>
        <w:spacing w:before="65" w:beforeAutospacing="0" w:after="65" w:afterAutospacing="0"/>
        <w:rPr>
          <w:rFonts w:ascii="Arial" w:hAnsi="Arial" w:cs="Arial"/>
          <w:i/>
          <w:iCs/>
          <w:color w:val="4472C4" w:themeColor="accent1"/>
          <w:sz w:val="21"/>
          <w:szCs w:val="21"/>
        </w:rPr>
      </w:pPr>
      <w:bookmarkStart w:id="5" w:name="para_25"/>
      <w:bookmarkEnd w:id="5"/>
      <w:r w:rsidRPr="00A629E6">
        <w:rPr>
          <w:rFonts w:ascii="Arial" w:hAnsi="Arial" w:cs="Arial"/>
          <w:i/>
          <w:iCs/>
          <w:color w:val="4472C4" w:themeColor="accent1"/>
          <w:sz w:val="21"/>
          <w:szCs w:val="21"/>
        </w:rPr>
        <w:t>le montant de la perte en question peut faire l'objet d'une estimation raisonnable.</w:t>
      </w:r>
    </w:p>
    <w:p w14:paraId="78315B9B" w14:textId="7640C046" w:rsidR="005C2E44" w:rsidRPr="005C2E44" w:rsidRDefault="00A629E6" w:rsidP="005C2E44">
      <w:pPr>
        <w:pStyle w:val="bullet"/>
        <w:shd w:val="clear" w:color="auto" w:fill="FFFFFF"/>
        <w:spacing w:before="65" w:beforeAutospacing="0" w:after="65" w:afterAutospacing="0"/>
        <w:ind w:left="1284"/>
        <w:rPr>
          <w:rFonts w:ascii="Arial" w:hAnsi="Arial" w:cs="Arial"/>
          <w:b/>
          <w:bCs/>
          <w:color w:val="444444"/>
          <w:sz w:val="21"/>
          <w:szCs w:val="21"/>
        </w:rPr>
      </w:pPr>
      <w:r>
        <w:rPr>
          <w:rFonts w:ascii="Arial" w:hAnsi="Arial" w:cs="Arial"/>
          <w:b/>
          <w:bCs/>
          <w:color w:val="444444"/>
          <w:sz w:val="21"/>
          <w:szCs w:val="21"/>
        </w:rPr>
        <w:t>OUI, l</w:t>
      </w:r>
      <w:r w:rsidR="005C2E44">
        <w:rPr>
          <w:rFonts w:ascii="Arial" w:hAnsi="Arial" w:cs="Arial"/>
          <w:b/>
          <w:bCs/>
          <w:color w:val="444444"/>
          <w:sz w:val="21"/>
          <w:szCs w:val="21"/>
        </w:rPr>
        <w:t xml:space="preserve">e montant à payer selon les avocats </w:t>
      </w:r>
      <w:r w:rsidR="00F12771">
        <w:rPr>
          <w:rFonts w:ascii="Arial" w:hAnsi="Arial" w:cs="Arial"/>
          <w:b/>
          <w:bCs/>
          <w:color w:val="444444"/>
          <w:sz w:val="21"/>
          <w:szCs w:val="21"/>
        </w:rPr>
        <w:t>se situe entre 15 000 $ et 25 000 $ ce qui est une estimation fiable</w:t>
      </w:r>
    </w:p>
    <w:p w14:paraId="44E97E97" w14:textId="53FBCB50" w:rsidR="00FC6B96" w:rsidRDefault="00F12771" w:rsidP="00082B35">
      <w:pPr>
        <w:jc w:val="both"/>
        <w:rPr>
          <w:sz w:val="24"/>
          <w:szCs w:val="24"/>
        </w:rPr>
      </w:pPr>
      <w:r>
        <w:rPr>
          <w:sz w:val="24"/>
          <w:szCs w:val="24"/>
        </w:rPr>
        <w:t>Il convient de comptabiliser la perte éventuelle en charge</w:t>
      </w:r>
      <w:r w:rsidR="00C97ABC">
        <w:rPr>
          <w:sz w:val="24"/>
          <w:szCs w:val="24"/>
        </w:rPr>
        <w:t xml:space="preserve"> et provision</w:t>
      </w:r>
      <w:r w:rsidR="00FD7BEE">
        <w:rPr>
          <w:sz w:val="24"/>
          <w:szCs w:val="24"/>
        </w:rPr>
        <w:t xml:space="preserve">, car les </w:t>
      </w:r>
      <w:r w:rsidR="00C97ABC">
        <w:rPr>
          <w:sz w:val="24"/>
          <w:szCs w:val="24"/>
        </w:rPr>
        <w:t>deux</w:t>
      </w:r>
      <w:r w:rsidR="00FD7BEE">
        <w:rPr>
          <w:sz w:val="24"/>
          <w:szCs w:val="24"/>
        </w:rPr>
        <w:t xml:space="preserve"> critères sont respectés</w:t>
      </w:r>
      <w:r w:rsidR="00A629E6">
        <w:rPr>
          <w:sz w:val="24"/>
          <w:szCs w:val="24"/>
        </w:rPr>
        <w:t>.</w:t>
      </w:r>
    </w:p>
    <w:p w14:paraId="0A734005" w14:textId="0F90BC1F" w:rsidR="00FD7BEE" w:rsidRPr="00A629E6" w:rsidRDefault="00FD7BEE" w:rsidP="00082B35">
      <w:pPr>
        <w:jc w:val="both"/>
        <w:rPr>
          <w:color w:val="4472C4" w:themeColor="accent1"/>
          <w:sz w:val="24"/>
          <w:szCs w:val="24"/>
        </w:rPr>
      </w:pPr>
      <w:r w:rsidRPr="00A629E6">
        <w:rPr>
          <w:rFonts w:ascii="Arial" w:hAnsi="Arial" w:cs="Arial"/>
          <w:color w:val="4472C4" w:themeColor="accent1"/>
          <w:sz w:val="21"/>
          <w:szCs w:val="21"/>
          <w:shd w:val="clear" w:color="auto" w:fill="FFFFFF"/>
        </w:rPr>
        <w:t>.13    L'estimation du montant de la perte éventuelle à comptabiliser dans les états financiers peut être basée sur des renseignements indiquant la fourchette dans laquelle se situera le montant de la perte. Si, à l'intérieur de cette fourchette, un montant quelconque semble plus probable que tout autre, c'est ce montant que l'on porte dans les états financiers. Si aucun montant situé à l'intérieur de cette fourchette ne peut être considéré comme plus probable que les autres, on comptabilise le montant minimum.</w:t>
      </w:r>
    </w:p>
    <w:p w14:paraId="3B0DA57E" w14:textId="3B1EA739" w:rsidR="00FD7BEE" w:rsidRDefault="00195905" w:rsidP="00082B35">
      <w:pPr>
        <w:jc w:val="both"/>
        <w:rPr>
          <w:sz w:val="24"/>
          <w:szCs w:val="24"/>
        </w:rPr>
      </w:pPr>
      <w:r>
        <w:rPr>
          <w:sz w:val="24"/>
          <w:szCs w:val="24"/>
        </w:rPr>
        <w:t xml:space="preserve">Il n’y a aucun montant plus probable dans l’intervalle de 15 000 $ </w:t>
      </w:r>
      <w:r w:rsidR="00A629E6">
        <w:rPr>
          <w:sz w:val="24"/>
          <w:szCs w:val="24"/>
        </w:rPr>
        <w:t>à</w:t>
      </w:r>
      <w:r>
        <w:rPr>
          <w:sz w:val="24"/>
          <w:szCs w:val="24"/>
        </w:rPr>
        <w:t xml:space="preserve"> 25 000 $, par conséquent il faut comptabiliser le montant minimal de 15 000 $</w:t>
      </w:r>
      <w:r w:rsidR="00EB71F9">
        <w:rPr>
          <w:sz w:val="24"/>
          <w:szCs w:val="24"/>
        </w:rPr>
        <w:t>.</w:t>
      </w:r>
    </w:p>
    <w:p w14:paraId="1A9D7660" w14:textId="78AA9E40" w:rsidR="00082B35" w:rsidRDefault="00082B35" w:rsidP="00082B35">
      <w:pPr>
        <w:jc w:val="both"/>
        <w:rPr>
          <w:sz w:val="24"/>
          <w:szCs w:val="24"/>
        </w:rPr>
      </w:pPr>
      <w:r>
        <w:rPr>
          <w:sz w:val="24"/>
          <w:szCs w:val="24"/>
        </w:rPr>
        <w:t>Impact :</w:t>
      </w:r>
      <w:r w:rsidR="00EB71F9">
        <w:rPr>
          <w:sz w:val="24"/>
          <w:szCs w:val="24"/>
        </w:rPr>
        <w:t xml:space="preserve"> Voici l’écriture à comptabiliser</w:t>
      </w:r>
    </w:p>
    <w:p w14:paraId="60599F57" w14:textId="7658EE1E" w:rsidR="00EB71F9" w:rsidRDefault="00EB71F9" w:rsidP="00A629E6">
      <w:pPr>
        <w:spacing w:after="0"/>
        <w:jc w:val="both"/>
        <w:rPr>
          <w:sz w:val="24"/>
          <w:szCs w:val="24"/>
        </w:rPr>
      </w:pPr>
      <w:r>
        <w:rPr>
          <w:sz w:val="24"/>
          <w:szCs w:val="24"/>
        </w:rPr>
        <w:t>Charge</w:t>
      </w:r>
      <w:r w:rsidR="00A629E6">
        <w:rPr>
          <w:sz w:val="24"/>
          <w:szCs w:val="24"/>
        </w:rPr>
        <w:tab/>
      </w:r>
      <w:r w:rsidR="00A629E6">
        <w:rPr>
          <w:sz w:val="24"/>
          <w:szCs w:val="24"/>
        </w:rPr>
        <w:tab/>
      </w:r>
      <w:r>
        <w:rPr>
          <w:sz w:val="24"/>
          <w:szCs w:val="24"/>
        </w:rPr>
        <w:tab/>
      </w:r>
      <w:r>
        <w:rPr>
          <w:sz w:val="24"/>
          <w:szCs w:val="24"/>
        </w:rPr>
        <w:tab/>
        <w:t>15 000 $</w:t>
      </w:r>
    </w:p>
    <w:p w14:paraId="4849D2A8" w14:textId="3CF5E398" w:rsidR="00EB71F9" w:rsidRDefault="00EB71F9" w:rsidP="00082B35">
      <w:pPr>
        <w:jc w:val="both"/>
        <w:rPr>
          <w:sz w:val="24"/>
          <w:szCs w:val="24"/>
        </w:rPr>
      </w:pPr>
      <w:r>
        <w:rPr>
          <w:sz w:val="24"/>
          <w:szCs w:val="24"/>
        </w:rPr>
        <w:t>@</w:t>
      </w:r>
      <w:r w:rsidR="00EF0B0D">
        <w:rPr>
          <w:sz w:val="24"/>
          <w:szCs w:val="24"/>
        </w:rPr>
        <w:t>Provision pour poursuite</w:t>
      </w:r>
      <w:r w:rsidR="00EF0B0D">
        <w:rPr>
          <w:sz w:val="24"/>
          <w:szCs w:val="24"/>
        </w:rPr>
        <w:tab/>
      </w:r>
      <w:r w:rsidR="00EF0B0D">
        <w:rPr>
          <w:sz w:val="24"/>
          <w:szCs w:val="24"/>
        </w:rPr>
        <w:tab/>
        <w:t>15 000 $</w:t>
      </w:r>
    </w:p>
    <w:p w14:paraId="25D3140C" w14:textId="64C3DCCA" w:rsidR="00082B35" w:rsidRPr="00160610" w:rsidRDefault="00082B35" w:rsidP="00082B35">
      <w:pPr>
        <w:jc w:val="both"/>
        <w:rPr>
          <w:sz w:val="24"/>
          <w:szCs w:val="24"/>
        </w:rPr>
      </w:pPr>
      <w:r>
        <w:rPr>
          <w:sz w:val="24"/>
          <w:szCs w:val="24"/>
        </w:rPr>
        <w:t>Conclusion :</w:t>
      </w:r>
      <w:r w:rsidR="00EF0B0D">
        <w:rPr>
          <w:sz w:val="24"/>
          <w:szCs w:val="24"/>
        </w:rPr>
        <w:t xml:space="preserve"> Il faut comptabiliser immédiatement la perte éventuelle par rapport à la poursuite</w:t>
      </w:r>
      <w:r w:rsidR="00A75BC7">
        <w:rPr>
          <w:sz w:val="24"/>
          <w:szCs w:val="24"/>
        </w:rPr>
        <w:t xml:space="preserve"> du client.</w:t>
      </w:r>
      <w:r w:rsidR="00582AA7">
        <w:rPr>
          <w:sz w:val="24"/>
          <w:szCs w:val="24"/>
        </w:rPr>
        <w:t xml:space="preserve"> Il faut également rédiger une note décrivant cette poursuite et préciser que le montant peut atteindre 25 000 $.</w:t>
      </w:r>
    </w:p>
    <w:p w14:paraId="5174452F" w14:textId="77777777" w:rsidR="00082B35" w:rsidRDefault="00082B35" w:rsidP="00160610">
      <w:pPr>
        <w:jc w:val="both"/>
        <w:rPr>
          <w:sz w:val="24"/>
          <w:szCs w:val="24"/>
        </w:rPr>
      </w:pPr>
    </w:p>
    <w:p w14:paraId="4C1E23A4" w14:textId="77777777" w:rsidR="005C6D65" w:rsidRDefault="005C6D65" w:rsidP="00160610">
      <w:pPr>
        <w:jc w:val="both"/>
        <w:rPr>
          <w:sz w:val="24"/>
          <w:szCs w:val="24"/>
        </w:rPr>
      </w:pPr>
    </w:p>
    <w:p w14:paraId="29802AB9" w14:textId="77777777" w:rsidR="005C6D65" w:rsidRDefault="005C6D65" w:rsidP="00160610">
      <w:pPr>
        <w:jc w:val="both"/>
        <w:rPr>
          <w:sz w:val="24"/>
          <w:szCs w:val="24"/>
        </w:rPr>
      </w:pPr>
    </w:p>
    <w:p w14:paraId="66D06087" w14:textId="4201D882" w:rsidR="00082B35" w:rsidRDefault="00082B35" w:rsidP="00082B35">
      <w:pPr>
        <w:jc w:val="both"/>
        <w:rPr>
          <w:sz w:val="24"/>
          <w:szCs w:val="24"/>
        </w:rPr>
      </w:pPr>
      <w:r w:rsidRPr="00A629E6">
        <w:rPr>
          <w:sz w:val="24"/>
          <w:szCs w:val="24"/>
          <w:highlight w:val="cyan"/>
        </w:rPr>
        <w:t xml:space="preserve">Problématique : Il s’agit de déterminer </w:t>
      </w:r>
      <w:r w:rsidR="00A629E6" w:rsidRPr="00A629E6">
        <w:rPr>
          <w:sz w:val="24"/>
          <w:szCs w:val="24"/>
          <w:highlight w:val="cyan"/>
        </w:rPr>
        <w:t xml:space="preserve">à </w:t>
      </w:r>
      <w:r w:rsidRPr="00A629E6">
        <w:rPr>
          <w:sz w:val="24"/>
          <w:szCs w:val="24"/>
          <w:highlight w:val="cyan"/>
        </w:rPr>
        <w:t xml:space="preserve">quel montant il faut comptabiliser </w:t>
      </w:r>
      <w:r w:rsidR="00A75BC7" w:rsidRPr="00A629E6">
        <w:rPr>
          <w:sz w:val="24"/>
          <w:szCs w:val="24"/>
          <w:highlight w:val="cyan"/>
        </w:rPr>
        <w:t>l’acquisition de la machine</w:t>
      </w:r>
    </w:p>
    <w:p w14:paraId="631412C7" w14:textId="71950D47" w:rsidR="00082B35" w:rsidRDefault="00082B35" w:rsidP="00082B35">
      <w:pPr>
        <w:jc w:val="both"/>
        <w:rPr>
          <w:sz w:val="24"/>
          <w:szCs w:val="24"/>
        </w:rPr>
      </w:pPr>
      <w:r>
        <w:rPr>
          <w:sz w:val="24"/>
          <w:szCs w:val="24"/>
        </w:rPr>
        <w:t>Analyse : Selon NCECF 30</w:t>
      </w:r>
      <w:r w:rsidR="00E46DA4">
        <w:rPr>
          <w:sz w:val="24"/>
          <w:szCs w:val="24"/>
        </w:rPr>
        <w:t>6</w:t>
      </w:r>
      <w:r>
        <w:rPr>
          <w:sz w:val="24"/>
          <w:szCs w:val="24"/>
        </w:rPr>
        <w:t>1</w:t>
      </w:r>
    </w:p>
    <w:p w14:paraId="6267ADE5" w14:textId="7853D103" w:rsidR="00E95766" w:rsidRPr="001C23C3" w:rsidRDefault="00E95766" w:rsidP="00082B35">
      <w:pPr>
        <w:jc w:val="both"/>
        <w:rPr>
          <w:color w:val="4472C4" w:themeColor="accent1"/>
          <w:sz w:val="24"/>
          <w:szCs w:val="24"/>
        </w:rPr>
      </w:pPr>
      <w:r w:rsidRPr="001C23C3">
        <w:rPr>
          <w:rFonts w:ascii="Arial" w:hAnsi="Arial" w:cs="Arial"/>
          <w:color w:val="4472C4" w:themeColor="accent1"/>
          <w:sz w:val="21"/>
          <w:szCs w:val="21"/>
          <w:shd w:val="clear" w:color="auto" w:fill="FFFFFF"/>
        </w:rPr>
        <w:t>.05    Le coût d'une immobilisation corporelle comprend le prix d'achat et les autres coûts d'acquisition tels que le prix de levée d'un droit d'option, les frais de courtage, les frais d'installation, y compris les frais de conception et les honoraires des architectes et des ingénieurs, les frais juridiques, les frais d'arpentage, les frais d'assainissement et d'aménagement d'un terrain, les frais de transport, les frais d'assurance transport, les droits de douane et autres droits, ainsi que les frais d'essai et de préparation.</w:t>
      </w:r>
    </w:p>
    <w:p w14:paraId="04D751DC" w14:textId="39C1D39F" w:rsidR="005C6D65" w:rsidRDefault="004D6D04" w:rsidP="00082B35">
      <w:pPr>
        <w:jc w:val="both"/>
        <w:rPr>
          <w:sz w:val="24"/>
          <w:szCs w:val="24"/>
        </w:rPr>
      </w:pPr>
      <w:r>
        <w:rPr>
          <w:sz w:val="24"/>
          <w:szCs w:val="24"/>
        </w:rPr>
        <w:lastRenderedPageBreak/>
        <w:t>Il faut comptabiliser les immobilisations corporelles au coût</w:t>
      </w:r>
      <w:r w:rsidR="00727347">
        <w:rPr>
          <w:sz w:val="24"/>
          <w:szCs w:val="24"/>
        </w:rPr>
        <w:t>. V</w:t>
      </w:r>
      <w:r>
        <w:rPr>
          <w:sz w:val="24"/>
          <w:szCs w:val="24"/>
        </w:rPr>
        <w:t>oici les coûts qui sont inclus</w:t>
      </w:r>
      <w:r w:rsidR="00E95766">
        <w:rPr>
          <w:sz w:val="24"/>
          <w:szCs w:val="24"/>
        </w:rPr>
        <w:t xml:space="preserve"> à l’actif</w:t>
      </w:r>
    </w:p>
    <w:p w14:paraId="7FA21007" w14:textId="7432621A" w:rsidR="00E95766" w:rsidRDefault="00E95766" w:rsidP="00E95766">
      <w:pPr>
        <w:pStyle w:val="Paragraphedeliste"/>
        <w:numPr>
          <w:ilvl w:val="0"/>
          <w:numId w:val="1"/>
        </w:numPr>
        <w:jc w:val="both"/>
        <w:rPr>
          <w:sz w:val="24"/>
          <w:szCs w:val="24"/>
        </w:rPr>
      </w:pPr>
      <w:r>
        <w:rPr>
          <w:sz w:val="24"/>
          <w:szCs w:val="24"/>
        </w:rPr>
        <w:t xml:space="preserve">Frais juridique : </w:t>
      </w:r>
      <w:r w:rsidR="003A11FB">
        <w:rPr>
          <w:sz w:val="24"/>
          <w:szCs w:val="24"/>
        </w:rPr>
        <w:t>Les frais juridiques sont inclus dans le coût selon le paragraphe 5</w:t>
      </w:r>
    </w:p>
    <w:p w14:paraId="7B1C387C" w14:textId="780D6ACC" w:rsidR="003A11FB" w:rsidRDefault="003A11FB" w:rsidP="00E95766">
      <w:pPr>
        <w:pStyle w:val="Paragraphedeliste"/>
        <w:numPr>
          <w:ilvl w:val="0"/>
          <w:numId w:val="1"/>
        </w:numPr>
        <w:jc w:val="both"/>
        <w:rPr>
          <w:sz w:val="24"/>
          <w:szCs w:val="24"/>
        </w:rPr>
      </w:pPr>
      <w:r>
        <w:rPr>
          <w:sz w:val="24"/>
          <w:szCs w:val="24"/>
        </w:rPr>
        <w:t>Frais d’aménagement de la ligne de production : Les frais d’aménagement sont inclus</w:t>
      </w:r>
      <w:r w:rsidR="0088425D">
        <w:rPr>
          <w:sz w:val="24"/>
          <w:szCs w:val="24"/>
        </w:rPr>
        <w:t xml:space="preserve"> dans le coût, car ils sont nécessaires pour l’installation de la machine</w:t>
      </w:r>
    </w:p>
    <w:p w14:paraId="2EB9D189" w14:textId="52ED0930" w:rsidR="0088425D" w:rsidRDefault="0088425D" w:rsidP="00E95766">
      <w:pPr>
        <w:pStyle w:val="Paragraphedeliste"/>
        <w:numPr>
          <w:ilvl w:val="0"/>
          <w:numId w:val="1"/>
        </w:numPr>
        <w:jc w:val="both"/>
        <w:rPr>
          <w:sz w:val="24"/>
          <w:szCs w:val="24"/>
        </w:rPr>
      </w:pPr>
      <w:r>
        <w:rPr>
          <w:sz w:val="24"/>
          <w:szCs w:val="24"/>
        </w:rPr>
        <w:t xml:space="preserve">Frais pour les tests </w:t>
      </w:r>
      <w:r w:rsidR="00A35521">
        <w:rPr>
          <w:sz w:val="24"/>
          <w:szCs w:val="24"/>
        </w:rPr>
        <w:t>de fonctionnement : Les frais de tests sont inclus dans le coût, car ils sont nécessaires pour la préparation de la machine</w:t>
      </w:r>
    </w:p>
    <w:p w14:paraId="3D696979" w14:textId="4150FC47" w:rsidR="00A35521" w:rsidRDefault="00C4418D" w:rsidP="00A35521">
      <w:pPr>
        <w:jc w:val="both"/>
        <w:rPr>
          <w:sz w:val="24"/>
          <w:szCs w:val="24"/>
        </w:rPr>
      </w:pPr>
      <w:r>
        <w:rPr>
          <w:sz w:val="24"/>
          <w:szCs w:val="24"/>
        </w:rPr>
        <w:t xml:space="preserve">Les frais de formation ne sont pas inclus dans le coût </w:t>
      </w:r>
      <w:r w:rsidR="00F776E0">
        <w:rPr>
          <w:sz w:val="24"/>
          <w:szCs w:val="24"/>
        </w:rPr>
        <w:t>de la machine, car ils ne sont pas nécessaires à la préparation de la machine, ce sont des coûts engagés après l’installation de la machine</w:t>
      </w:r>
      <w:r w:rsidR="001A4907">
        <w:rPr>
          <w:sz w:val="24"/>
          <w:szCs w:val="24"/>
        </w:rPr>
        <w:t>, pour son utilisation</w:t>
      </w:r>
      <w:r w:rsidR="00F776E0">
        <w:rPr>
          <w:sz w:val="24"/>
          <w:szCs w:val="24"/>
        </w:rPr>
        <w:t>.</w:t>
      </w:r>
    </w:p>
    <w:p w14:paraId="4C5EAA14" w14:textId="77777777" w:rsidR="00855DB6" w:rsidRPr="001C23C3" w:rsidRDefault="00855DB6" w:rsidP="00855DB6">
      <w:pPr>
        <w:pStyle w:val="paragraphnumber"/>
        <w:shd w:val="clear" w:color="auto" w:fill="FFFFFF"/>
        <w:spacing w:before="65" w:beforeAutospacing="0" w:after="65" w:afterAutospacing="0"/>
        <w:ind w:left="785" w:hanging="653"/>
        <w:rPr>
          <w:rFonts w:ascii="Arial" w:hAnsi="Arial" w:cs="Arial"/>
          <w:color w:val="4472C4" w:themeColor="accent1"/>
          <w:sz w:val="21"/>
          <w:szCs w:val="21"/>
        </w:rPr>
      </w:pPr>
      <w:r w:rsidRPr="001C23C3">
        <w:rPr>
          <w:rFonts w:ascii="Arial" w:hAnsi="Arial" w:cs="Arial"/>
          <w:color w:val="4472C4" w:themeColor="accent1"/>
          <w:sz w:val="21"/>
          <w:szCs w:val="21"/>
        </w:rPr>
        <w:t>.16    </w:t>
      </w:r>
      <w:r w:rsidRPr="001C23C3">
        <w:rPr>
          <w:rFonts w:ascii="Arial" w:hAnsi="Arial" w:cs="Arial"/>
          <w:i/>
          <w:iCs/>
          <w:color w:val="4472C4" w:themeColor="accent1"/>
          <w:sz w:val="21"/>
          <w:szCs w:val="21"/>
        </w:rPr>
        <w:t>L'amortissement doit être comptabilisé d'une manière logique et systématique qui soit appropriée par rapport à la nature des immobilisations corporelles dont la durée de vie est limitée, ainsi qu'à leur utilisation par l'entreprise. Le montant d'amortissement qui doit être passé en charges est le plus élevé des montants suivants :</w:t>
      </w:r>
    </w:p>
    <w:p w14:paraId="66AF9E53" w14:textId="77777777" w:rsidR="00855DB6" w:rsidRPr="001C23C3" w:rsidRDefault="00855DB6" w:rsidP="00855DB6">
      <w:pPr>
        <w:pStyle w:val="bullet"/>
        <w:shd w:val="clear" w:color="auto" w:fill="FFFFFF"/>
        <w:spacing w:before="65" w:beforeAutospacing="0" w:after="65" w:afterAutospacing="0"/>
        <w:ind w:left="1488" w:hanging="684"/>
        <w:rPr>
          <w:rFonts w:ascii="Arial" w:hAnsi="Arial" w:cs="Arial"/>
          <w:color w:val="4472C4" w:themeColor="accent1"/>
          <w:sz w:val="21"/>
          <w:szCs w:val="21"/>
        </w:rPr>
      </w:pPr>
      <w:bookmarkStart w:id="6" w:name="para_46"/>
      <w:bookmarkEnd w:id="6"/>
      <w:r w:rsidRPr="001C23C3">
        <w:rPr>
          <w:rFonts w:ascii="Arial" w:hAnsi="Arial" w:cs="Arial"/>
          <w:i/>
          <w:iCs/>
          <w:color w:val="4472C4" w:themeColor="accent1"/>
          <w:sz w:val="21"/>
          <w:szCs w:val="21"/>
        </w:rPr>
        <w:t>a)     le coût, moins la valeur de récupération, réparti sur la durée de vie de l'immobilisation;</w:t>
      </w:r>
    </w:p>
    <w:p w14:paraId="7A59D261" w14:textId="77777777" w:rsidR="00855DB6" w:rsidRPr="001C23C3" w:rsidRDefault="00855DB6" w:rsidP="00855DB6">
      <w:pPr>
        <w:pStyle w:val="bullet"/>
        <w:shd w:val="clear" w:color="auto" w:fill="FFFFFF"/>
        <w:spacing w:before="65" w:beforeAutospacing="0" w:after="65" w:afterAutospacing="0"/>
        <w:ind w:left="1488" w:hanging="684"/>
        <w:rPr>
          <w:rFonts w:ascii="Arial" w:hAnsi="Arial" w:cs="Arial"/>
          <w:color w:val="4472C4" w:themeColor="accent1"/>
          <w:sz w:val="21"/>
          <w:szCs w:val="21"/>
        </w:rPr>
      </w:pPr>
      <w:bookmarkStart w:id="7" w:name="para_47"/>
      <w:bookmarkEnd w:id="7"/>
      <w:r w:rsidRPr="001C23C3">
        <w:rPr>
          <w:rFonts w:ascii="Arial" w:hAnsi="Arial" w:cs="Arial"/>
          <w:i/>
          <w:iCs/>
          <w:color w:val="4472C4" w:themeColor="accent1"/>
          <w:sz w:val="21"/>
          <w:szCs w:val="21"/>
        </w:rPr>
        <w:t>b)     le coût, moins la valeur résiduelle, réparti sur la durée de vie utile de l'immobilisation.</w:t>
      </w:r>
    </w:p>
    <w:p w14:paraId="0E33D84B" w14:textId="474C52F0" w:rsidR="00855DB6" w:rsidRDefault="00855DB6" w:rsidP="00A35521">
      <w:pPr>
        <w:jc w:val="both"/>
        <w:rPr>
          <w:sz w:val="24"/>
          <w:szCs w:val="24"/>
        </w:rPr>
      </w:pPr>
      <w:r>
        <w:rPr>
          <w:sz w:val="24"/>
          <w:szCs w:val="24"/>
        </w:rPr>
        <w:t xml:space="preserve">Il faut donc amortir la machine sur sa durée de vie utile, soit </w:t>
      </w:r>
      <w:r w:rsidR="001C23C3">
        <w:rPr>
          <w:sz w:val="24"/>
          <w:szCs w:val="24"/>
        </w:rPr>
        <w:t>cinq</w:t>
      </w:r>
      <w:r>
        <w:rPr>
          <w:sz w:val="24"/>
          <w:szCs w:val="24"/>
        </w:rPr>
        <w:t xml:space="preserve"> ans</w:t>
      </w:r>
      <w:r w:rsidR="00DB1280">
        <w:rPr>
          <w:sz w:val="24"/>
          <w:szCs w:val="24"/>
        </w:rPr>
        <w:t>.</w:t>
      </w:r>
    </w:p>
    <w:p w14:paraId="261AB319" w14:textId="259E9018" w:rsidR="00BE56A0" w:rsidRDefault="00BE56A0" w:rsidP="00A35521">
      <w:pPr>
        <w:jc w:val="both"/>
        <w:rPr>
          <w:sz w:val="24"/>
          <w:szCs w:val="24"/>
        </w:rPr>
      </w:pPr>
      <w:r>
        <w:rPr>
          <w:sz w:val="24"/>
          <w:szCs w:val="24"/>
        </w:rPr>
        <w:t>Selon mes calculs</w:t>
      </w:r>
      <w:r w:rsidR="00DC7EAE">
        <w:rPr>
          <w:sz w:val="24"/>
          <w:szCs w:val="24"/>
        </w:rPr>
        <w:t xml:space="preserve">, l’amortissement pour l’exercice est de 31 550 $ (voir </w:t>
      </w:r>
      <w:r w:rsidR="001C23C3">
        <w:rPr>
          <w:sz w:val="24"/>
          <w:szCs w:val="24"/>
        </w:rPr>
        <w:t>Annexe II</w:t>
      </w:r>
      <w:r w:rsidR="00DC7EAE">
        <w:rPr>
          <w:sz w:val="24"/>
          <w:szCs w:val="24"/>
        </w:rPr>
        <w:t>)</w:t>
      </w:r>
      <w:r w:rsidR="00F65974">
        <w:rPr>
          <w:sz w:val="24"/>
          <w:szCs w:val="24"/>
        </w:rPr>
        <w:t xml:space="preserve"> en prenant en compte le traitement pour la subvention.</w:t>
      </w:r>
    </w:p>
    <w:p w14:paraId="421A814F" w14:textId="449D126C" w:rsidR="00F65974" w:rsidRPr="001C23C3" w:rsidRDefault="0054232E" w:rsidP="00A35521">
      <w:pPr>
        <w:jc w:val="both"/>
        <w:rPr>
          <w:color w:val="4472C4" w:themeColor="accent1"/>
          <w:sz w:val="24"/>
          <w:szCs w:val="24"/>
        </w:rPr>
      </w:pPr>
      <w:r w:rsidRPr="001C23C3">
        <w:rPr>
          <w:rFonts w:ascii="Arial" w:hAnsi="Arial" w:cs="Arial"/>
          <w:color w:val="4472C4" w:themeColor="accent1"/>
          <w:sz w:val="21"/>
          <w:szCs w:val="21"/>
          <w:shd w:val="clear" w:color="auto" w:fill="FFFFFF"/>
        </w:rPr>
        <w:t>14    Les coûts engagés pour accroître le potentiel de service d'une immobilisation corporelle représentent une amélioration. Le potentiel de service peut être accru lorsque la capacité de production physique ou de service estimée antérieurement est augmentée, que les frais d'exploitation y afférents sont réduits, que la durée de vie ou durée de vie utile est prolongée ou que la qualité des extrants est améliorée.</w:t>
      </w:r>
    </w:p>
    <w:p w14:paraId="1DD6C1FA" w14:textId="7B179D90" w:rsidR="0054232E" w:rsidRDefault="0054232E" w:rsidP="00082B35">
      <w:pPr>
        <w:jc w:val="both"/>
        <w:rPr>
          <w:sz w:val="24"/>
          <w:szCs w:val="24"/>
        </w:rPr>
      </w:pPr>
      <w:r>
        <w:rPr>
          <w:sz w:val="24"/>
          <w:szCs w:val="24"/>
        </w:rPr>
        <w:t>Les frais de 46 000 $ permettent d’améliorer la capacité</w:t>
      </w:r>
      <w:r w:rsidR="00786CFC">
        <w:rPr>
          <w:sz w:val="24"/>
          <w:szCs w:val="24"/>
        </w:rPr>
        <w:t xml:space="preserve"> de production, ce qui représente une amélioration. Il faut comptabiliser le montant à l’actif.</w:t>
      </w:r>
    </w:p>
    <w:p w14:paraId="517772FA" w14:textId="4B0A2966" w:rsidR="00786CFC" w:rsidRPr="001C23C3" w:rsidRDefault="008514B3" w:rsidP="00082B35">
      <w:pPr>
        <w:jc w:val="both"/>
        <w:rPr>
          <w:color w:val="4472C4" w:themeColor="accent1"/>
          <w:sz w:val="24"/>
          <w:szCs w:val="24"/>
        </w:rPr>
      </w:pPr>
      <w:r w:rsidRPr="001C23C3">
        <w:rPr>
          <w:rFonts w:ascii="Arial" w:hAnsi="Arial" w:cs="Arial"/>
          <w:color w:val="4472C4" w:themeColor="accent1"/>
          <w:sz w:val="21"/>
          <w:szCs w:val="21"/>
          <w:shd w:val="clear" w:color="auto" w:fill="FFFFFF"/>
        </w:rPr>
        <w:t>.21    </w:t>
      </w:r>
      <w:r w:rsidRPr="001C23C3">
        <w:rPr>
          <w:rFonts w:ascii="Arial" w:hAnsi="Arial" w:cs="Arial"/>
          <w:i/>
          <w:iCs/>
          <w:color w:val="4472C4" w:themeColor="accent1"/>
          <w:sz w:val="21"/>
          <w:szCs w:val="21"/>
          <w:shd w:val="clear" w:color="auto" w:fill="FFFFFF"/>
        </w:rPr>
        <w:t>La méthode d'amortissement ainsi que les estimations de la durée de vie et de la durée de vie utile d'une immobilisation corporelle doivent être révisées périodiquement.</w:t>
      </w:r>
    </w:p>
    <w:p w14:paraId="66CAA33A" w14:textId="3184F600" w:rsidR="008514B3" w:rsidRDefault="008514B3" w:rsidP="00082B35">
      <w:pPr>
        <w:jc w:val="both"/>
        <w:rPr>
          <w:sz w:val="24"/>
          <w:szCs w:val="24"/>
        </w:rPr>
      </w:pPr>
      <w:r>
        <w:rPr>
          <w:sz w:val="24"/>
          <w:szCs w:val="24"/>
        </w:rPr>
        <w:t xml:space="preserve">Il serait pertinent de réviser la durée de vie utile de la machine afin de calculer correctement </w:t>
      </w:r>
      <w:r w:rsidR="00EA2BD4">
        <w:rPr>
          <w:sz w:val="24"/>
          <w:szCs w:val="24"/>
        </w:rPr>
        <w:t>pour l’exercice 202</w:t>
      </w:r>
      <w:r w:rsidR="001C23C3">
        <w:rPr>
          <w:sz w:val="24"/>
          <w:szCs w:val="24"/>
        </w:rPr>
        <w:t>4</w:t>
      </w:r>
      <w:r w:rsidR="00EA2BD4">
        <w:rPr>
          <w:sz w:val="24"/>
          <w:szCs w:val="24"/>
        </w:rPr>
        <w:t>. Aucun ajustement ne doit être fait, car l’amélioration a eu lieu le 31 décembre.</w:t>
      </w:r>
    </w:p>
    <w:p w14:paraId="1421402D" w14:textId="64345C58" w:rsidR="00082B35" w:rsidRDefault="00082B35" w:rsidP="00082B35">
      <w:pPr>
        <w:jc w:val="both"/>
        <w:rPr>
          <w:sz w:val="24"/>
          <w:szCs w:val="24"/>
        </w:rPr>
      </w:pPr>
      <w:r>
        <w:rPr>
          <w:sz w:val="24"/>
          <w:szCs w:val="24"/>
        </w:rPr>
        <w:t>Impact :</w:t>
      </w:r>
      <w:r w:rsidR="00AF025B">
        <w:rPr>
          <w:sz w:val="24"/>
          <w:szCs w:val="24"/>
        </w:rPr>
        <w:t xml:space="preserve"> Voici les </w:t>
      </w:r>
      <w:r w:rsidR="004569CE">
        <w:rPr>
          <w:sz w:val="24"/>
          <w:szCs w:val="24"/>
        </w:rPr>
        <w:t>écritures qu’il aurait fallu faire</w:t>
      </w:r>
    </w:p>
    <w:p w14:paraId="25E0071F" w14:textId="119796A2" w:rsidR="00AF025B" w:rsidRDefault="00AF025B" w:rsidP="00082B35">
      <w:pPr>
        <w:jc w:val="both"/>
        <w:rPr>
          <w:sz w:val="24"/>
          <w:szCs w:val="24"/>
        </w:rPr>
      </w:pPr>
      <w:r>
        <w:rPr>
          <w:sz w:val="24"/>
          <w:szCs w:val="24"/>
        </w:rPr>
        <w:t>1</w:t>
      </w:r>
      <w:r w:rsidRPr="00AF025B">
        <w:rPr>
          <w:sz w:val="24"/>
          <w:szCs w:val="24"/>
          <w:vertAlign w:val="superscript"/>
        </w:rPr>
        <w:t>er</w:t>
      </w:r>
      <w:r>
        <w:rPr>
          <w:sz w:val="24"/>
          <w:szCs w:val="24"/>
        </w:rPr>
        <w:t xml:space="preserve"> juillet</w:t>
      </w:r>
      <w:r w:rsidR="009E3A54">
        <w:rPr>
          <w:sz w:val="24"/>
          <w:szCs w:val="24"/>
        </w:rPr>
        <w:t xml:space="preserve"> (frais à capitaliser)</w:t>
      </w:r>
    </w:p>
    <w:p w14:paraId="0D894171" w14:textId="65AF41B5" w:rsidR="00AF025B" w:rsidRDefault="00031CE9" w:rsidP="001C23C3">
      <w:pPr>
        <w:spacing w:after="0"/>
        <w:jc w:val="both"/>
        <w:rPr>
          <w:sz w:val="24"/>
          <w:szCs w:val="24"/>
        </w:rPr>
      </w:pPr>
      <w:r>
        <w:rPr>
          <w:sz w:val="24"/>
          <w:szCs w:val="24"/>
        </w:rPr>
        <w:t>Immobilisation corporelle – Machine</w:t>
      </w:r>
      <w:r>
        <w:rPr>
          <w:sz w:val="24"/>
          <w:szCs w:val="24"/>
        </w:rPr>
        <w:tab/>
        <w:t>27 500 $</w:t>
      </w:r>
    </w:p>
    <w:p w14:paraId="239FEF94" w14:textId="5AEB0596" w:rsidR="00031CE9" w:rsidRDefault="00031CE9" w:rsidP="00082B35">
      <w:pPr>
        <w:jc w:val="both"/>
        <w:rPr>
          <w:sz w:val="24"/>
          <w:szCs w:val="24"/>
        </w:rPr>
      </w:pPr>
      <w:r>
        <w:rPr>
          <w:sz w:val="24"/>
          <w:szCs w:val="24"/>
        </w:rPr>
        <w:t>@</w:t>
      </w:r>
      <w:r w:rsidR="001A4907">
        <w:rPr>
          <w:sz w:val="24"/>
          <w:szCs w:val="24"/>
        </w:rPr>
        <w:t xml:space="preserve"> </w:t>
      </w:r>
      <w:r>
        <w:rPr>
          <w:sz w:val="24"/>
          <w:szCs w:val="24"/>
        </w:rPr>
        <w:t>Trésorerie</w:t>
      </w:r>
      <w:r>
        <w:rPr>
          <w:sz w:val="24"/>
          <w:szCs w:val="24"/>
        </w:rPr>
        <w:tab/>
      </w:r>
      <w:r>
        <w:rPr>
          <w:sz w:val="24"/>
          <w:szCs w:val="24"/>
        </w:rPr>
        <w:tab/>
      </w:r>
      <w:r>
        <w:rPr>
          <w:sz w:val="24"/>
          <w:szCs w:val="24"/>
        </w:rPr>
        <w:tab/>
      </w:r>
      <w:r>
        <w:rPr>
          <w:sz w:val="24"/>
          <w:szCs w:val="24"/>
        </w:rPr>
        <w:tab/>
      </w:r>
      <w:r>
        <w:rPr>
          <w:sz w:val="24"/>
          <w:szCs w:val="24"/>
        </w:rPr>
        <w:tab/>
      </w:r>
      <w:r>
        <w:rPr>
          <w:sz w:val="24"/>
          <w:szCs w:val="24"/>
        </w:rPr>
        <w:tab/>
        <w:t>27 500 $</w:t>
      </w:r>
    </w:p>
    <w:p w14:paraId="09CAA3F4" w14:textId="77777777" w:rsidR="009E3A54" w:rsidRDefault="009E3A54" w:rsidP="00082B35">
      <w:pPr>
        <w:jc w:val="both"/>
        <w:rPr>
          <w:sz w:val="24"/>
          <w:szCs w:val="24"/>
        </w:rPr>
      </w:pPr>
    </w:p>
    <w:p w14:paraId="3EA3AA36" w14:textId="23B87660" w:rsidR="009E3A54" w:rsidRDefault="009E3A54" w:rsidP="009E3A54">
      <w:pPr>
        <w:jc w:val="both"/>
        <w:rPr>
          <w:sz w:val="24"/>
          <w:szCs w:val="24"/>
        </w:rPr>
      </w:pPr>
      <w:r>
        <w:rPr>
          <w:sz w:val="24"/>
          <w:szCs w:val="24"/>
        </w:rPr>
        <w:t>1</w:t>
      </w:r>
      <w:r w:rsidRPr="00AF025B">
        <w:rPr>
          <w:sz w:val="24"/>
          <w:szCs w:val="24"/>
          <w:vertAlign w:val="superscript"/>
        </w:rPr>
        <w:t>er</w:t>
      </w:r>
      <w:r>
        <w:rPr>
          <w:sz w:val="24"/>
          <w:szCs w:val="24"/>
        </w:rPr>
        <w:t xml:space="preserve"> juillet (subvention)</w:t>
      </w:r>
    </w:p>
    <w:p w14:paraId="37D6F85F" w14:textId="246F362E" w:rsidR="009E3A54" w:rsidRDefault="009E3A54" w:rsidP="001C23C3">
      <w:pPr>
        <w:spacing w:after="0"/>
        <w:jc w:val="both"/>
        <w:rPr>
          <w:sz w:val="24"/>
          <w:szCs w:val="24"/>
        </w:rPr>
      </w:pPr>
      <w:r>
        <w:rPr>
          <w:sz w:val="24"/>
          <w:szCs w:val="24"/>
        </w:rPr>
        <w:t>Trésorerie</w:t>
      </w:r>
      <w:r>
        <w:rPr>
          <w:sz w:val="24"/>
          <w:szCs w:val="24"/>
        </w:rPr>
        <w:tab/>
      </w:r>
      <w:r>
        <w:rPr>
          <w:sz w:val="24"/>
          <w:szCs w:val="24"/>
        </w:rPr>
        <w:tab/>
      </w:r>
      <w:r>
        <w:rPr>
          <w:sz w:val="24"/>
          <w:szCs w:val="24"/>
        </w:rPr>
        <w:tab/>
      </w:r>
      <w:r w:rsidR="001A4907">
        <w:rPr>
          <w:sz w:val="24"/>
          <w:szCs w:val="24"/>
        </w:rPr>
        <w:tab/>
      </w:r>
      <w:r>
        <w:rPr>
          <w:sz w:val="24"/>
          <w:szCs w:val="24"/>
        </w:rPr>
        <w:tab/>
        <w:t>275 000 $</w:t>
      </w:r>
    </w:p>
    <w:p w14:paraId="4D031DCB" w14:textId="05422483" w:rsidR="009E3A54" w:rsidRDefault="009E3A54" w:rsidP="009E3A54">
      <w:pPr>
        <w:jc w:val="both"/>
        <w:rPr>
          <w:sz w:val="24"/>
          <w:szCs w:val="24"/>
        </w:rPr>
      </w:pPr>
      <w:r>
        <w:rPr>
          <w:sz w:val="24"/>
          <w:szCs w:val="24"/>
        </w:rPr>
        <w:t>@</w:t>
      </w:r>
      <w:r w:rsidR="001A4907">
        <w:rPr>
          <w:sz w:val="24"/>
          <w:szCs w:val="24"/>
        </w:rPr>
        <w:t xml:space="preserve"> </w:t>
      </w:r>
      <w:r>
        <w:rPr>
          <w:sz w:val="24"/>
          <w:szCs w:val="24"/>
        </w:rPr>
        <w:t>Immobilisation corporelle – Machine</w:t>
      </w:r>
      <w:r>
        <w:rPr>
          <w:sz w:val="24"/>
          <w:szCs w:val="24"/>
        </w:rPr>
        <w:tab/>
      </w:r>
      <w:r>
        <w:rPr>
          <w:sz w:val="24"/>
          <w:szCs w:val="24"/>
        </w:rPr>
        <w:tab/>
        <w:t>275 000 $</w:t>
      </w:r>
    </w:p>
    <w:p w14:paraId="343DB709" w14:textId="77777777" w:rsidR="009E3A54" w:rsidRDefault="009E3A54" w:rsidP="00082B35">
      <w:pPr>
        <w:jc w:val="both"/>
        <w:rPr>
          <w:sz w:val="24"/>
          <w:szCs w:val="24"/>
        </w:rPr>
      </w:pPr>
    </w:p>
    <w:p w14:paraId="40D41396" w14:textId="56B412C5" w:rsidR="009E3A54" w:rsidRDefault="009E3A54" w:rsidP="00082B35">
      <w:pPr>
        <w:jc w:val="both"/>
        <w:rPr>
          <w:sz w:val="24"/>
          <w:szCs w:val="24"/>
        </w:rPr>
      </w:pPr>
      <w:r>
        <w:rPr>
          <w:sz w:val="24"/>
          <w:szCs w:val="24"/>
        </w:rPr>
        <w:t>31 décembre</w:t>
      </w:r>
      <w:r w:rsidR="00BE16CB">
        <w:rPr>
          <w:sz w:val="24"/>
          <w:szCs w:val="24"/>
        </w:rPr>
        <w:t xml:space="preserve"> (amortissement)</w:t>
      </w:r>
    </w:p>
    <w:p w14:paraId="71301D49" w14:textId="64EEF5B4" w:rsidR="009E3A54" w:rsidRDefault="009E3A54" w:rsidP="001C23C3">
      <w:pPr>
        <w:spacing w:after="0"/>
        <w:jc w:val="both"/>
        <w:rPr>
          <w:sz w:val="24"/>
          <w:szCs w:val="24"/>
        </w:rPr>
      </w:pPr>
      <w:r>
        <w:rPr>
          <w:sz w:val="24"/>
          <w:szCs w:val="24"/>
        </w:rPr>
        <w:t>Charge amortissement</w:t>
      </w:r>
      <w:r>
        <w:rPr>
          <w:sz w:val="24"/>
          <w:szCs w:val="24"/>
        </w:rPr>
        <w:tab/>
      </w:r>
      <w:r>
        <w:rPr>
          <w:sz w:val="24"/>
          <w:szCs w:val="24"/>
        </w:rPr>
        <w:tab/>
      </w:r>
      <w:r>
        <w:rPr>
          <w:sz w:val="24"/>
          <w:szCs w:val="24"/>
        </w:rPr>
        <w:tab/>
        <w:t>31 550 $</w:t>
      </w:r>
    </w:p>
    <w:p w14:paraId="21DA1F13" w14:textId="670420E7" w:rsidR="009E3A54" w:rsidRDefault="009E3A54" w:rsidP="00082B35">
      <w:pPr>
        <w:jc w:val="both"/>
        <w:rPr>
          <w:sz w:val="24"/>
          <w:szCs w:val="24"/>
        </w:rPr>
      </w:pPr>
      <w:r>
        <w:rPr>
          <w:sz w:val="24"/>
          <w:szCs w:val="24"/>
        </w:rPr>
        <w:t>@</w:t>
      </w:r>
      <w:r w:rsidR="001A4907">
        <w:rPr>
          <w:sz w:val="24"/>
          <w:szCs w:val="24"/>
        </w:rPr>
        <w:t xml:space="preserve"> Amortissement cumulé</w:t>
      </w:r>
      <w:r>
        <w:rPr>
          <w:sz w:val="24"/>
          <w:szCs w:val="24"/>
        </w:rPr>
        <w:t xml:space="preserve"> – Machine</w:t>
      </w:r>
      <w:r>
        <w:rPr>
          <w:sz w:val="24"/>
          <w:szCs w:val="24"/>
        </w:rPr>
        <w:tab/>
      </w:r>
      <w:r>
        <w:rPr>
          <w:sz w:val="24"/>
          <w:szCs w:val="24"/>
        </w:rPr>
        <w:tab/>
        <w:t>31 550 $</w:t>
      </w:r>
    </w:p>
    <w:p w14:paraId="34365497" w14:textId="77777777" w:rsidR="009E3A54" w:rsidRDefault="009E3A54" w:rsidP="00082B35">
      <w:pPr>
        <w:jc w:val="both"/>
        <w:rPr>
          <w:sz w:val="24"/>
          <w:szCs w:val="24"/>
        </w:rPr>
      </w:pPr>
    </w:p>
    <w:p w14:paraId="7DD9321D" w14:textId="01805430" w:rsidR="009E3A54" w:rsidRDefault="009E3A54" w:rsidP="00082B35">
      <w:pPr>
        <w:jc w:val="both"/>
        <w:rPr>
          <w:sz w:val="24"/>
          <w:szCs w:val="24"/>
        </w:rPr>
      </w:pPr>
      <w:r>
        <w:rPr>
          <w:sz w:val="24"/>
          <w:szCs w:val="24"/>
        </w:rPr>
        <w:t>31 décembre</w:t>
      </w:r>
      <w:r w:rsidR="00BE16CB">
        <w:rPr>
          <w:sz w:val="24"/>
          <w:szCs w:val="24"/>
        </w:rPr>
        <w:t xml:space="preserve"> (amélioration)</w:t>
      </w:r>
    </w:p>
    <w:p w14:paraId="100A01E5" w14:textId="597E4AA4" w:rsidR="009E3A54" w:rsidRDefault="00BE16CB" w:rsidP="001C23C3">
      <w:pPr>
        <w:spacing w:after="0"/>
        <w:jc w:val="both"/>
        <w:rPr>
          <w:sz w:val="24"/>
          <w:szCs w:val="24"/>
        </w:rPr>
      </w:pPr>
      <w:r>
        <w:rPr>
          <w:sz w:val="24"/>
          <w:szCs w:val="24"/>
        </w:rPr>
        <w:t>Immobilisation corporelle – Machine</w:t>
      </w:r>
      <w:r>
        <w:rPr>
          <w:sz w:val="24"/>
          <w:szCs w:val="24"/>
        </w:rPr>
        <w:tab/>
        <w:t>46 000 $</w:t>
      </w:r>
    </w:p>
    <w:p w14:paraId="22E7E2D9" w14:textId="0A1B123D" w:rsidR="00BE16CB" w:rsidRDefault="00BE16CB" w:rsidP="00082B35">
      <w:pPr>
        <w:jc w:val="both"/>
        <w:rPr>
          <w:sz w:val="24"/>
          <w:szCs w:val="24"/>
        </w:rPr>
      </w:pPr>
      <w:r>
        <w:rPr>
          <w:sz w:val="24"/>
          <w:szCs w:val="24"/>
        </w:rPr>
        <w:t>@</w:t>
      </w:r>
      <w:r w:rsidR="00AB72DB">
        <w:rPr>
          <w:sz w:val="24"/>
          <w:szCs w:val="24"/>
        </w:rPr>
        <w:t xml:space="preserve"> </w:t>
      </w:r>
      <w:r>
        <w:rPr>
          <w:sz w:val="24"/>
          <w:szCs w:val="24"/>
        </w:rPr>
        <w:t>Trésorerie</w:t>
      </w:r>
      <w:r>
        <w:rPr>
          <w:sz w:val="24"/>
          <w:szCs w:val="24"/>
        </w:rPr>
        <w:tab/>
      </w:r>
      <w:r>
        <w:rPr>
          <w:sz w:val="24"/>
          <w:szCs w:val="24"/>
        </w:rPr>
        <w:tab/>
      </w:r>
      <w:r>
        <w:rPr>
          <w:sz w:val="24"/>
          <w:szCs w:val="24"/>
        </w:rPr>
        <w:tab/>
      </w:r>
      <w:r>
        <w:rPr>
          <w:sz w:val="24"/>
          <w:szCs w:val="24"/>
        </w:rPr>
        <w:tab/>
      </w:r>
      <w:r>
        <w:rPr>
          <w:sz w:val="24"/>
          <w:szCs w:val="24"/>
        </w:rPr>
        <w:tab/>
      </w:r>
      <w:r>
        <w:rPr>
          <w:sz w:val="24"/>
          <w:szCs w:val="24"/>
        </w:rPr>
        <w:tab/>
        <w:t>46 000 $</w:t>
      </w:r>
    </w:p>
    <w:p w14:paraId="5AA7B6B1" w14:textId="7647B2F7" w:rsidR="00082B35" w:rsidRPr="00160610" w:rsidRDefault="00082B35" w:rsidP="00082B35">
      <w:pPr>
        <w:jc w:val="both"/>
        <w:rPr>
          <w:sz w:val="24"/>
          <w:szCs w:val="24"/>
        </w:rPr>
      </w:pPr>
      <w:r>
        <w:rPr>
          <w:sz w:val="24"/>
          <w:szCs w:val="24"/>
        </w:rPr>
        <w:t>Conclusion :</w:t>
      </w:r>
      <w:r w:rsidR="00BE16CB">
        <w:rPr>
          <w:sz w:val="24"/>
          <w:szCs w:val="24"/>
        </w:rPr>
        <w:t xml:space="preserve"> Il faut capitaliser les frais juridiques, les frais d’aménagement</w:t>
      </w:r>
      <w:r w:rsidR="00FE61AB">
        <w:rPr>
          <w:sz w:val="24"/>
          <w:szCs w:val="24"/>
        </w:rPr>
        <w:t xml:space="preserve"> et les frais de tests. Il faut comptabiliser l’amortissement sur la durée de vie utile de </w:t>
      </w:r>
      <w:r w:rsidR="001C23C3">
        <w:rPr>
          <w:sz w:val="24"/>
          <w:szCs w:val="24"/>
        </w:rPr>
        <w:t>cinq</w:t>
      </w:r>
      <w:r w:rsidR="00FE61AB">
        <w:rPr>
          <w:sz w:val="24"/>
          <w:szCs w:val="24"/>
        </w:rPr>
        <w:t xml:space="preserve"> ans et comptabiliser l’amélioration de la </w:t>
      </w:r>
      <w:r w:rsidR="00AB72DB">
        <w:rPr>
          <w:sz w:val="24"/>
          <w:szCs w:val="24"/>
        </w:rPr>
        <w:t>machine</w:t>
      </w:r>
      <w:r w:rsidR="00FE61AB">
        <w:rPr>
          <w:sz w:val="24"/>
          <w:szCs w:val="24"/>
        </w:rPr>
        <w:t xml:space="preserve"> à l’actif.</w:t>
      </w:r>
    </w:p>
    <w:p w14:paraId="054FF0AA" w14:textId="77777777" w:rsidR="00082B35" w:rsidRDefault="00082B35" w:rsidP="00160610">
      <w:pPr>
        <w:jc w:val="both"/>
        <w:rPr>
          <w:sz w:val="24"/>
          <w:szCs w:val="24"/>
        </w:rPr>
      </w:pPr>
    </w:p>
    <w:p w14:paraId="410A9FAE" w14:textId="77777777" w:rsidR="00FE61AB" w:rsidRDefault="00FE61AB" w:rsidP="00160610">
      <w:pPr>
        <w:jc w:val="both"/>
        <w:rPr>
          <w:sz w:val="24"/>
          <w:szCs w:val="24"/>
        </w:rPr>
      </w:pPr>
    </w:p>
    <w:p w14:paraId="4AA1A2CE" w14:textId="77777777" w:rsidR="00FE61AB" w:rsidRDefault="00FE61AB" w:rsidP="00160610">
      <w:pPr>
        <w:jc w:val="both"/>
        <w:rPr>
          <w:sz w:val="24"/>
          <w:szCs w:val="24"/>
        </w:rPr>
      </w:pPr>
    </w:p>
    <w:p w14:paraId="37F83EC2" w14:textId="77777777" w:rsidR="00FE61AB" w:rsidRDefault="00FE61AB" w:rsidP="00160610">
      <w:pPr>
        <w:jc w:val="both"/>
        <w:rPr>
          <w:sz w:val="24"/>
          <w:szCs w:val="24"/>
        </w:rPr>
      </w:pPr>
    </w:p>
    <w:p w14:paraId="2AB0EB11" w14:textId="21C1FA68" w:rsidR="00A70C7E" w:rsidRDefault="00A70C7E" w:rsidP="00A70C7E">
      <w:pPr>
        <w:jc w:val="both"/>
        <w:rPr>
          <w:sz w:val="24"/>
          <w:szCs w:val="24"/>
        </w:rPr>
      </w:pPr>
      <w:r w:rsidRPr="001C23C3">
        <w:rPr>
          <w:sz w:val="24"/>
          <w:szCs w:val="24"/>
          <w:highlight w:val="cyan"/>
        </w:rPr>
        <w:t xml:space="preserve">Problématique : Il s’agit de déterminer </w:t>
      </w:r>
      <w:r w:rsidR="00F73F01" w:rsidRPr="001C23C3">
        <w:rPr>
          <w:sz w:val="24"/>
          <w:szCs w:val="24"/>
          <w:highlight w:val="cyan"/>
        </w:rPr>
        <w:t>s’il faut comptabiliser la subvention</w:t>
      </w:r>
    </w:p>
    <w:p w14:paraId="6036C1CB" w14:textId="7BF27DBA" w:rsidR="00A70C7E" w:rsidRDefault="00A70C7E" w:rsidP="00A70C7E">
      <w:pPr>
        <w:jc w:val="both"/>
        <w:rPr>
          <w:sz w:val="24"/>
          <w:szCs w:val="24"/>
        </w:rPr>
      </w:pPr>
      <w:r>
        <w:rPr>
          <w:sz w:val="24"/>
          <w:szCs w:val="24"/>
        </w:rPr>
        <w:t>Analyse : Selon NCECF 3</w:t>
      </w:r>
      <w:r w:rsidR="00F73F01">
        <w:rPr>
          <w:sz w:val="24"/>
          <w:szCs w:val="24"/>
        </w:rPr>
        <w:t>800</w:t>
      </w:r>
    </w:p>
    <w:p w14:paraId="6B193E8B" w14:textId="01A900DD" w:rsidR="00F73F01" w:rsidRPr="001C23C3" w:rsidRDefault="00F73F01" w:rsidP="00A70C7E">
      <w:pPr>
        <w:jc w:val="both"/>
        <w:rPr>
          <w:color w:val="4472C4" w:themeColor="accent1"/>
          <w:sz w:val="24"/>
          <w:szCs w:val="24"/>
        </w:rPr>
      </w:pPr>
      <w:r w:rsidRPr="001C23C3">
        <w:rPr>
          <w:rFonts w:ascii="Arial" w:hAnsi="Arial" w:cs="Arial"/>
          <w:color w:val="4472C4" w:themeColor="accent1"/>
          <w:sz w:val="21"/>
          <w:szCs w:val="21"/>
          <w:shd w:val="clear" w:color="auto" w:fill="FFFFFF"/>
        </w:rPr>
        <w:t>.27    </w:t>
      </w:r>
      <w:r w:rsidRPr="001C23C3">
        <w:rPr>
          <w:rFonts w:ascii="Arial" w:hAnsi="Arial" w:cs="Arial"/>
          <w:i/>
          <w:iCs/>
          <w:color w:val="4472C4" w:themeColor="accent1"/>
          <w:sz w:val="21"/>
          <w:szCs w:val="21"/>
          <w:shd w:val="clear" w:color="auto" w:fill="FFFFFF"/>
        </w:rPr>
        <w:t>Pour un exercice donné, on doit comptabiliser la portion appropriée du total estimatif de l'aide gouvernementale que l'on compte recevoir, à condition que l'on soit raisonnablement certain que l'entreprise s'est conformée et continuera de se conformer à toutes les conditions se rattachant à l'octroi de cette aide.</w:t>
      </w:r>
    </w:p>
    <w:p w14:paraId="64FB5A2C" w14:textId="0715FE7C" w:rsidR="00F73F01" w:rsidRDefault="00271DB9" w:rsidP="00A70C7E">
      <w:pPr>
        <w:jc w:val="both"/>
        <w:rPr>
          <w:sz w:val="24"/>
          <w:szCs w:val="24"/>
        </w:rPr>
      </w:pPr>
      <w:r>
        <w:rPr>
          <w:sz w:val="24"/>
          <w:szCs w:val="24"/>
        </w:rPr>
        <w:t xml:space="preserve">La subvention a déjà été reçue par API et </w:t>
      </w:r>
      <w:r w:rsidR="0036242D">
        <w:rPr>
          <w:sz w:val="24"/>
          <w:szCs w:val="24"/>
        </w:rPr>
        <w:t>API se conforme aux conditions de la subvention, car la machine respecte la norme environnementale PFT. Par conséquent, il convient de comptabiliser</w:t>
      </w:r>
      <w:r w:rsidR="001322E4">
        <w:rPr>
          <w:sz w:val="24"/>
          <w:szCs w:val="24"/>
        </w:rPr>
        <w:t xml:space="preserve"> la subvention durant l’exercice</w:t>
      </w:r>
      <w:r w:rsidR="00F8798F">
        <w:rPr>
          <w:sz w:val="24"/>
          <w:szCs w:val="24"/>
        </w:rPr>
        <w:t xml:space="preserve"> 202</w:t>
      </w:r>
      <w:r w:rsidR="00743D1F">
        <w:rPr>
          <w:sz w:val="24"/>
          <w:szCs w:val="24"/>
        </w:rPr>
        <w:t>3</w:t>
      </w:r>
      <w:r w:rsidR="00F8798F">
        <w:rPr>
          <w:sz w:val="24"/>
          <w:szCs w:val="24"/>
        </w:rPr>
        <w:t>.</w:t>
      </w:r>
    </w:p>
    <w:p w14:paraId="6073E417" w14:textId="77777777" w:rsidR="00321C9D" w:rsidRPr="001C23C3" w:rsidRDefault="00321C9D" w:rsidP="00321C9D">
      <w:pPr>
        <w:pStyle w:val="paragraphnumber"/>
        <w:shd w:val="clear" w:color="auto" w:fill="FFFFFF"/>
        <w:spacing w:before="65" w:beforeAutospacing="0" w:after="65" w:afterAutospacing="0"/>
        <w:ind w:left="785" w:hanging="653"/>
        <w:rPr>
          <w:rFonts w:ascii="Arial" w:hAnsi="Arial" w:cs="Arial"/>
          <w:color w:val="4472C4" w:themeColor="accent1"/>
          <w:sz w:val="21"/>
          <w:szCs w:val="21"/>
        </w:rPr>
      </w:pPr>
      <w:r w:rsidRPr="001C23C3">
        <w:rPr>
          <w:rFonts w:ascii="Arial" w:hAnsi="Arial" w:cs="Arial"/>
          <w:color w:val="4472C4" w:themeColor="accent1"/>
          <w:sz w:val="21"/>
          <w:szCs w:val="21"/>
        </w:rPr>
        <w:t>.21    Certains programmes gouvernementaux prévoient l'octroi d'une aide pour l'acquisition d'immobilisations. En pareils cas, le décaissement net est passé en charges au cours de la vie utile des immobilisations en question.</w:t>
      </w:r>
    </w:p>
    <w:p w14:paraId="59023F70" w14:textId="77777777" w:rsidR="00321C9D" w:rsidRPr="001C23C3" w:rsidRDefault="00321C9D" w:rsidP="00321C9D">
      <w:pPr>
        <w:pStyle w:val="paragraphnumber"/>
        <w:shd w:val="clear" w:color="auto" w:fill="FFFFFF"/>
        <w:spacing w:before="65" w:beforeAutospacing="0" w:after="65" w:afterAutospacing="0"/>
        <w:ind w:left="785" w:hanging="653"/>
        <w:rPr>
          <w:rFonts w:ascii="Arial" w:hAnsi="Arial" w:cs="Arial"/>
          <w:color w:val="4472C4" w:themeColor="accent1"/>
          <w:sz w:val="21"/>
          <w:szCs w:val="21"/>
        </w:rPr>
      </w:pPr>
      <w:bookmarkStart w:id="8" w:name="3800.22"/>
      <w:bookmarkEnd w:id="8"/>
      <w:r w:rsidRPr="001C23C3">
        <w:rPr>
          <w:rFonts w:ascii="Arial" w:hAnsi="Arial" w:cs="Arial"/>
          <w:color w:val="4472C4" w:themeColor="accent1"/>
          <w:sz w:val="21"/>
          <w:szCs w:val="21"/>
        </w:rPr>
        <w:t>.22    </w:t>
      </w:r>
      <w:r w:rsidRPr="001C23C3">
        <w:rPr>
          <w:rFonts w:ascii="Arial" w:hAnsi="Arial" w:cs="Arial"/>
          <w:i/>
          <w:iCs/>
          <w:color w:val="4472C4" w:themeColor="accent1"/>
          <w:sz w:val="21"/>
          <w:szCs w:val="21"/>
        </w:rPr>
        <w:t>Toute subvention gouvernementale pour l'achat d'immobilisations doit être :</w:t>
      </w:r>
    </w:p>
    <w:p w14:paraId="464899E8" w14:textId="77777777" w:rsidR="00321C9D" w:rsidRPr="001C23C3" w:rsidRDefault="00321C9D" w:rsidP="00321C9D">
      <w:pPr>
        <w:pStyle w:val="bullet"/>
        <w:shd w:val="clear" w:color="auto" w:fill="FFFFFF"/>
        <w:spacing w:before="65" w:beforeAutospacing="0" w:after="65" w:afterAutospacing="0"/>
        <w:ind w:left="1488" w:hanging="684"/>
        <w:rPr>
          <w:rFonts w:ascii="Arial" w:hAnsi="Arial" w:cs="Arial"/>
          <w:color w:val="4472C4" w:themeColor="accent1"/>
          <w:sz w:val="21"/>
          <w:szCs w:val="21"/>
        </w:rPr>
      </w:pPr>
      <w:bookmarkStart w:id="9" w:name="para_45"/>
      <w:bookmarkEnd w:id="9"/>
      <w:r w:rsidRPr="001C23C3">
        <w:rPr>
          <w:rFonts w:ascii="Arial" w:hAnsi="Arial" w:cs="Arial"/>
          <w:i/>
          <w:iCs/>
          <w:color w:val="4472C4" w:themeColor="accent1"/>
          <w:sz w:val="21"/>
          <w:szCs w:val="21"/>
        </w:rPr>
        <w:lastRenderedPageBreak/>
        <w:t>a)     soit déduite du coût des immobilisations en cause, l'amortissement étant alors calculé à partir du montant net;</w:t>
      </w:r>
    </w:p>
    <w:p w14:paraId="6A453A89" w14:textId="77777777" w:rsidR="00321C9D" w:rsidRPr="001C23C3" w:rsidRDefault="00321C9D" w:rsidP="00321C9D">
      <w:pPr>
        <w:pStyle w:val="bullet"/>
        <w:shd w:val="clear" w:color="auto" w:fill="FFFFFF"/>
        <w:spacing w:before="65" w:beforeAutospacing="0" w:after="65" w:afterAutospacing="0"/>
        <w:ind w:left="1488" w:hanging="684"/>
        <w:rPr>
          <w:rFonts w:ascii="Arial" w:hAnsi="Arial" w:cs="Arial"/>
          <w:color w:val="4472C4" w:themeColor="accent1"/>
          <w:sz w:val="21"/>
          <w:szCs w:val="21"/>
        </w:rPr>
      </w:pPr>
      <w:r w:rsidRPr="001C23C3">
        <w:rPr>
          <w:rFonts w:ascii="Arial" w:hAnsi="Arial" w:cs="Arial"/>
          <w:i/>
          <w:iCs/>
          <w:color w:val="4472C4" w:themeColor="accent1"/>
          <w:sz w:val="21"/>
          <w:szCs w:val="21"/>
        </w:rPr>
        <w:t>b)     soit reportée pour être amortie au même rythme que les immobilisations en cause.</w:t>
      </w:r>
    </w:p>
    <w:p w14:paraId="3659729B" w14:textId="6D6DCCA1" w:rsidR="00AE59FA" w:rsidRDefault="002C53C6" w:rsidP="00A70C7E">
      <w:pPr>
        <w:jc w:val="both"/>
        <w:rPr>
          <w:sz w:val="24"/>
          <w:szCs w:val="24"/>
        </w:rPr>
      </w:pPr>
      <w:r>
        <w:rPr>
          <w:sz w:val="24"/>
          <w:szCs w:val="24"/>
        </w:rPr>
        <w:t>La subvention a été octroyée pour l’achat de la machine</w:t>
      </w:r>
      <w:r w:rsidR="003A7D77">
        <w:rPr>
          <w:sz w:val="24"/>
          <w:szCs w:val="24"/>
        </w:rPr>
        <w:t>, il s’agit d’une subvention pour achat d’immobilisation.</w:t>
      </w:r>
    </w:p>
    <w:p w14:paraId="25EDC9D0" w14:textId="5071210F" w:rsidR="003A7D77" w:rsidRDefault="003A7D77" w:rsidP="00A70C7E">
      <w:pPr>
        <w:jc w:val="both"/>
        <w:rPr>
          <w:sz w:val="24"/>
          <w:szCs w:val="24"/>
        </w:rPr>
      </w:pPr>
      <w:r>
        <w:rPr>
          <w:sz w:val="24"/>
          <w:szCs w:val="24"/>
        </w:rPr>
        <w:t>Par soucis de simplicité, je recommande de déduire la subvention du coût</w:t>
      </w:r>
      <w:r w:rsidR="00EC12D5">
        <w:rPr>
          <w:sz w:val="24"/>
          <w:szCs w:val="24"/>
        </w:rPr>
        <w:t xml:space="preserve"> de la machine.</w:t>
      </w:r>
    </w:p>
    <w:p w14:paraId="2FB561B0" w14:textId="341BD370" w:rsidR="00A70C7E" w:rsidRDefault="00A70C7E" w:rsidP="00A70C7E">
      <w:pPr>
        <w:jc w:val="both"/>
        <w:rPr>
          <w:sz w:val="24"/>
          <w:szCs w:val="24"/>
        </w:rPr>
      </w:pPr>
      <w:r>
        <w:rPr>
          <w:sz w:val="24"/>
          <w:szCs w:val="24"/>
        </w:rPr>
        <w:t>Impact :</w:t>
      </w:r>
      <w:r w:rsidR="00EC12D5">
        <w:rPr>
          <w:sz w:val="24"/>
          <w:szCs w:val="24"/>
        </w:rPr>
        <w:t xml:space="preserve"> Voici comment il </w:t>
      </w:r>
      <w:r w:rsidR="00743D1F">
        <w:rPr>
          <w:sz w:val="24"/>
          <w:szCs w:val="24"/>
        </w:rPr>
        <w:t>aurait fallu</w:t>
      </w:r>
      <w:r w:rsidR="00EC12D5">
        <w:rPr>
          <w:sz w:val="24"/>
          <w:szCs w:val="24"/>
        </w:rPr>
        <w:t xml:space="preserve"> comptabiliser </w:t>
      </w:r>
      <w:r w:rsidR="001A6645">
        <w:rPr>
          <w:sz w:val="24"/>
          <w:szCs w:val="24"/>
        </w:rPr>
        <w:t>la subvention</w:t>
      </w:r>
    </w:p>
    <w:p w14:paraId="0A5D1AD6" w14:textId="78F12782" w:rsidR="001A6645" w:rsidRDefault="001A6645" w:rsidP="001C23C3">
      <w:pPr>
        <w:spacing w:after="0"/>
        <w:jc w:val="both"/>
        <w:rPr>
          <w:sz w:val="24"/>
          <w:szCs w:val="24"/>
        </w:rPr>
      </w:pPr>
      <w:r>
        <w:rPr>
          <w:sz w:val="24"/>
          <w:szCs w:val="24"/>
        </w:rPr>
        <w:t>Trésorerie</w:t>
      </w:r>
      <w:r>
        <w:rPr>
          <w:sz w:val="24"/>
          <w:szCs w:val="24"/>
        </w:rPr>
        <w:tab/>
      </w:r>
      <w:r>
        <w:rPr>
          <w:sz w:val="24"/>
          <w:szCs w:val="24"/>
        </w:rPr>
        <w:tab/>
      </w:r>
      <w:r>
        <w:rPr>
          <w:sz w:val="24"/>
          <w:szCs w:val="24"/>
        </w:rPr>
        <w:tab/>
      </w:r>
      <w:r w:rsidR="00907D32">
        <w:rPr>
          <w:sz w:val="24"/>
          <w:szCs w:val="24"/>
        </w:rPr>
        <w:tab/>
      </w:r>
      <w:r>
        <w:rPr>
          <w:sz w:val="24"/>
          <w:szCs w:val="24"/>
        </w:rPr>
        <w:tab/>
        <w:t>275 000 $</w:t>
      </w:r>
    </w:p>
    <w:p w14:paraId="168AEF09" w14:textId="31023029" w:rsidR="001A6645" w:rsidRDefault="001A6645" w:rsidP="00A70C7E">
      <w:pPr>
        <w:jc w:val="both"/>
        <w:rPr>
          <w:sz w:val="24"/>
          <w:szCs w:val="24"/>
        </w:rPr>
      </w:pPr>
      <w:r>
        <w:rPr>
          <w:sz w:val="24"/>
          <w:szCs w:val="24"/>
        </w:rPr>
        <w:t>@Immobilisation corporelle – Machine</w:t>
      </w:r>
      <w:r>
        <w:rPr>
          <w:sz w:val="24"/>
          <w:szCs w:val="24"/>
        </w:rPr>
        <w:tab/>
      </w:r>
      <w:r>
        <w:rPr>
          <w:sz w:val="24"/>
          <w:szCs w:val="24"/>
        </w:rPr>
        <w:tab/>
        <w:t>275 000 $</w:t>
      </w:r>
    </w:p>
    <w:p w14:paraId="22A3D83A" w14:textId="77777777" w:rsidR="00907D32" w:rsidRDefault="00907D32" w:rsidP="00A70C7E">
      <w:pPr>
        <w:jc w:val="both"/>
        <w:rPr>
          <w:sz w:val="24"/>
          <w:szCs w:val="24"/>
        </w:rPr>
      </w:pPr>
    </w:p>
    <w:p w14:paraId="700C9654" w14:textId="492052AA" w:rsidR="00907D32" w:rsidRPr="00907D32" w:rsidRDefault="00907D32" w:rsidP="00A70C7E">
      <w:pPr>
        <w:jc w:val="both"/>
        <w:rPr>
          <w:i/>
          <w:iCs/>
          <w:sz w:val="24"/>
          <w:szCs w:val="24"/>
        </w:rPr>
      </w:pPr>
      <w:r w:rsidRPr="00907D32">
        <w:rPr>
          <w:i/>
          <w:iCs/>
          <w:sz w:val="24"/>
          <w:szCs w:val="24"/>
        </w:rPr>
        <w:t xml:space="preserve">L’écriture de correction serait donc : </w:t>
      </w:r>
    </w:p>
    <w:p w14:paraId="72DBAB78" w14:textId="50521B61" w:rsidR="00907D32" w:rsidRDefault="00907D32" w:rsidP="00907D32">
      <w:pPr>
        <w:spacing w:after="0"/>
        <w:jc w:val="both"/>
        <w:rPr>
          <w:sz w:val="24"/>
          <w:szCs w:val="24"/>
        </w:rPr>
      </w:pPr>
      <w:r>
        <w:rPr>
          <w:sz w:val="24"/>
          <w:szCs w:val="24"/>
        </w:rPr>
        <w:t>Autres produits</w:t>
      </w:r>
      <w:r>
        <w:rPr>
          <w:sz w:val="24"/>
          <w:szCs w:val="24"/>
        </w:rPr>
        <w:tab/>
      </w:r>
      <w:r>
        <w:rPr>
          <w:sz w:val="24"/>
          <w:szCs w:val="24"/>
        </w:rPr>
        <w:tab/>
      </w:r>
      <w:r>
        <w:rPr>
          <w:sz w:val="24"/>
          <w:szCs w:val="24"/>
        </w:rPr>
        <w:tab/>
      </w:r>
      <w:r>
        <w:rPr>
          <w:sz w:val="24"/>
          <w:szCs w:val="24"/>
        </w:rPr>
        <w:tab/>
        <w:t>275 000 $</w:t>
      </w:r>
    </w:p>
    <w:p w14:paraId="704E000B" w14:textId="77777777" w:rsidR="00907D32" w:rsidRDefault="00907D32" w:rsidP="00907D32">
      <w:pPr>
        <w:jc w:val="both"/>
        <w:rPr>
          <w:sz w:val="24"/>
          <w:szCs w:val="24"/>
        </w:rPr>
      </w:pPr>
      <w:r>
        <w:rPr>
          <w:sz w:val="24"/>
          <w:szCs w:val="24"/>
        </w:rPr>
        <w:t>@Immobilisation corporelle – Machine</w:t>
      </w:r>
      <w:r>
        <w:rPr>
          <w:sz w:val="24"/>
          <w:szCs w:val="24"/>
        </w:rPr>
        <w:tab/>
      </w:r>
      <w:r>
        <w:rPr>
          <w:sz w:val="24"/>
          <w:szCs w:val="24"/>
        </w:rPr>
        <w:tab/>
        <w:t>275 000 $</w:t>
      </w:r>
    </w:p>
    <w:p w14:paraId="3D70CCDC" w14:textId="77777777" w:rsidR="00907D32" w:rsidRDefault="00907D32" w:rsidP="00A70C7E">
      <w:pPr>
        <w:jc w:val="both"/>
        <w:rPr>
          <w:sz w:val="24"/>
          <w:szCs w:val="24"/>
        </w:rPr>
      </w:pPr>
    </w:p>
    <w:p w14:paraId="5C7167B7" w14:textId="0E8D8B8B" w:rsidR="00A70C7E" w:rsidRPr="00160610" w:rsidRDefault="00A70C7E" w:rsidP="00A70C7E">
      <w:pPr>
        <w:jc w:val="both"/>
        <w:rPr>
          <w:sz w:val="24"/>
          <w:szCs w:val="24"/>
        </w:rPr>
      </w:pPr>
      <w:r>
        <w:rPr>
          <w:sz w:val="24"/>
          <w:szCs w:val="24"/>
        </w:rPr>
        <w:t>Conclusion :</w:t>
      </w:r>
      <w:r w:rsidR="001A6645">
        <w:rPr>
          <w:sz w:val="24"/>
          <w:szCs w:val="24"/>
        </w:rPr>
        <w:t xml:space="preserve"> Il faut comptabiliser</w:t>
      </w:r>
      <w:r w:rsidR="00E6638B">
        <w:rPr>
          <w:sz w:val="24"/>
          <w:szCs w:val="24"/>
        </w:rPr>
        <w:t xml:space="preserve"> la subvention durant l’exercice en réduction de l’immobilisation corporelle.</w:t>
      </w:r>
    </w:p>
    <w:p w14:paraId="1DADAC1F" w14:textId="76D3EE38" w:rsidR="007C5141" w:rsidRDefault="007C5141">
      <w:pPr>
        <w:rPr>
          <w:sz w:val="24"/>
          <w:szCs w:val="24"/>
        </w:rPr>
      </w:pPr>
      <w:r>
        <w:rPr>
          <w:sz w:val="24"/>
          <w:szCs w:val="24"/>
        </w:rPr>
        <w:br w:type="page"/>
      </w:r>
    </w:p>
    <w:p w14:paraId="3B66DB12" w14:textId="5829A1D0" w:rsidR="00A70C7E" w:rsidRDefault="00E70241" w:rsidP="00160610">
      <w:pPr>
        <w:jc w:val="both"/>
        <w:rPr>
          <w:sz w:val="24"/>
          <w:szCs w:val="24"/>
        </w:rPr>
      </w:pPr>
      <w:r>
        <w:rPr>
          <w:sz w:val="24"/>
          <w:szCs w:val="24"/>
        </w:rPr>
        <w:object w:dxaOrig="7491" w:dyaOrig="3789" w14:anchorId="503197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4.25pt;height:189.75pt" o:ole="">
            <v:imagedata r:id="rId7" o:title=""/>
          </v:shape>
          <o:OLEObject Type="Embed" ProgID="Excel.Sheet.12" ShapeID="_x0000_i1025" DrawAspect="Content" ObjectID="_1767348034" r:id="rId8"/>
        </w:object>
      </w:r>
    </w:p>
    <w:p w14:paraId="48C3B15D" w14:textId="77777777" w:rsidR="00E70241" w:rsidRDefault="00E70241" w:rsidP="00160610">
      <w:pPr>
        <w:jc w:val="both"/>
        <w:rPr>
          <w:sz w:val="24"/>
          <w:szCs w:val="24"/>
        </w:rPr>
      </w:pPr>
    </w:p>
    <w:p w14:paraId="1AE8A8B1" w14:textId="77777777" w:rsidR="00E70241" w:rsidRDefault="00E70241" w:rsidP="00160610">
      <w:pPr>
        <w:jc w:val="both"/>
        <w:rPr>
          <w:sz w:val="24"/>
          <w:szCs w:val="24"/>
        </w:rPr>
      </w:pPr>
    </w:p>
    <w:p w14:paraId="0A62E0A3" w14:textId="1AA2DFEE" w:rsidR="00E70241" w:rsidRPr="00160610" w:rsidRDefault="00504F15" w:rsidP="00160610">
      <w:pPr>
        <w:jc w:val="both"/>
        <w:rPr>
          <w:sz w:val="24"/>
          <w:szCs w:val="24"/>
        </w:rPr>
      </w:pPr>
      <w:r>
        <w:rPr>
          <w:sz w:val="24"/>
          <w:szCs w:val="24"/>
        </w:rPr>
        <w:object w:dxaOrig="6148" w:dyaOrig="5529" w14:anchorId="75757E4E">
          <v:shape id="_x0000_i1026" type="#_x0000_t75" style="width:307.5pt;height:276.75pt" o:ole="">
            <v:imagedata r:id="rId9" o:title=""/>
          </v:shape>
          <o:OLEObject Type="Embed" ProgID="Excel.Sheet.12" ShapeID="_x0000_i1026" DrawAspect="Content" ObjectID="_1767348035" r:id="rId10"/>
        </w:object>
      </w:r>
    </w:p>
    <w:sectPr w:rsidR="00E70241" w:rsidRPr="00160610">
      <w:headerReference w:type="default" r:id="rId11"/>
      <w:footerReference w:type="default" r:id="rId12"/>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B5B7AF" w14:textId="77777777" w:rsidR="00FD4AA5" w:rsidRDefault="00FD4AA5" w:rsidP="00D500E6">
      <w:pPr>
        <w:spacing w:after="0" w:line="240" w:lineRule="auto"/>
      </w:pPr>
      <w:r>
        <w:separator/>
      </w:r>
    </w:p>
  </w:endnote>
  <w:endnote w:type="continuationSeparator" w:id="0">
    <w:p w14:paraId="6D951970" w14:textId="77777777" w:rsidR="00FD4AA5" w:rsidRDefault="00FD4AA5" w:rsidP="00D500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A7021" w14:textId="4D7F64AE" w:rsidR="00D500E6" w:rsidRPr="00D500E6" w:rsidRDefault="00D500E6">
    <w:pPr>
      <w:pStyle w:val="Pieddepage"/>
      <w:rPr>
        <w:i/>
        <w:iCs/>
      </w:rPr>
    </w:pPr>
    <w:r w:rsidRPr="00D500E6">
      <w:rPr>
        <w:i/>
        <w:iCs/>
      </w:rPr>
      <w:t>Solution rédigée par Félix Mailhot, révisée par Louise Overbeek, janvier 2024</w:t>
    </w:r>
  </w:p>
  <w:p w14:paraId="18148C6C" w14:textId="77777777" w:rsidR="00D500E6" w:rsidRDefault="00D500E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72C35B" w14:textId="77777777" w:rsidR="00FD4AA5" w:rsidRDefault="00FD4AA5" w:rsidP="00D500E6">
      <w:pPr>
        <w:spacing w:after="0" w:line="240" w:lineRule="auto"/>
      </w:pPr>
      <w:r>
        <w:separator/>
      </w:r>
    </w:p>
  </w:footnote>
  <w:footnote w:type="continuationSeparator" w:id="0">
    <w:p w14:paraId="6A4D81ED" w14:textId="77777777" w:rsidR="00FD4AA5" w:rsidRDefault="00FD4AA5" w:rsidP="00D500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2617836"/>
      <w:docPartObj>
        <w:docPartGallery w:val="Page Numbers (Top of Page)"/>
        <w:docPartUnique/>
      </w:docPartObj>
    </w:sdtPr>
    <w:sdtContent>
      <w:p w14:paraId="1E15948E" w14:textId="114C2357" w:rsidR="00D500E6" w:rsidRDefault="00D500E6">
        <w:pPr>
          <w:pStyle w:val="En-tte"/>
          <w:jc w:val="right"/>
        </w:pPr>
        <w:r>
          <w:fldChar w:fldCharType="begin"/>
        </w:r>
        <w:r>
          <w:instrText>PAGE   \* MERGEFORMAT</w:instrText>
        </w:r>
        <w:r>
          <w:fldChar w:fldCharType="separate"/>
        </w:r>
        <w:r>
          <w:rPr>
            <w:lang w:val="fr-FR"/>
          </w:rPr>
          <w:t>2</w:t>
        </w:r>
        <w:r>
          <w:fldChar w:fldCharType="end"/>
        </w:r>
      </w:p>
    </w:sdtContent>
  </w:sdt>
  <w:p w14:paraId="250A30EE" w14:textId="77777777" w:rsidR="00D500E6" w:rsidRDefault="00D500E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ED1060"/>
    <w:multiLevelType w:val="hybridMultilevel"/>
    <w:tmpl w:val="DB525A68"/>
    <w:lvl w:ilvl="0" w:tplc="7438FA5A">
      <w:start w:val="1"/>
      <w:numFmt w:val="lowerLetter"/>
      <w:lvlText w:val="%1)"/>
      <w:lvlJc w:val="left"/>
      <w:pPr>
        <w:ind w:left="1284" w:hanging="480"/>
      </w:pPr>
      <w:rPr>
        <w:rFonts w:hint="default"/>
      </w:rPr>
    </w:lvl>
    <w:lvl w:ilvl="1" w:tplc="0C0C0019" w:tentative="1">
      <w:start w:val="1"/>
      <w:numFmt w:val="lowerLetter"/>
      <w:lvlText w:val="%2."/>
      <w:lvlJc w:val="left"/>
      <w:pPr>
        <w:ind w:left="1884" w:hanging="360"/>
      </w:pPr>
    </w:lvl>
    <w:lvl w:ilvl="2" w:tplc="0C0C001B" w:tentative="1">
      <w:start w:val="1"/>
      <w:numFmt w:val="lowerRoman"/>
      <w:lvlText w:val="%3."/>
      <w:lvlJc w:val="right"/>
      <w:pPr>
        <w:ind w:left="2604" w:hanging="180"/>
      </w:pPr>
    </w:lvl>
    <w:lvl w:ilvl="3" w:tplc="0C0C000F" w:tentative="1">
      <w:start w:val="1"/>
      <w:numFmt w:val="decimal"/>
      <w:lvlText w:val="%4."/>
      <w:lvlJc w:val="left"/>
      <w:pPr>
        <w:ind w:left="3324" w:hanging="360"/>
      </w:pPr>
    </w:lvl>
    <w:lvl w:ilvl="4" w:tplc="0C0C0019" w:tentative="1">
      <w:start w:val="1"/>
      <w:numFmt w:val="lowerLetter"/>
      <w:lvlText w:val="%5."/>
      <w:lvlJc w:val="left"/>
      <w:pPr>
        <w:ind w:left="4044" w:hanging="360"/>
      </w:pPr>
    </w:lvl>
    <w:lvl w:ilvl="5" w:tplc="0C0C001B" w:tentative="1">
      <w:start w:val="1"/>
      <w:numFmt w:val="lowerRoman"/>
      <w:lvlText w:val="%6."/>
      <w:lvlJc w:val="right"/>
      <w:pPr>
        <w:ind w:left="4764" w:hanging="180"/>
      </w:pPr>
    </w:lvl>
    <w:lvl w:ilvl="6" w:tplc="0C0C000F" w:tentative="1">
      <w:start w:val="1"/>
      <w:numFmt w:val="decimal"/>
      <w:lvlText w:val="%7."/>
      <w:lvlJc w:val="left"/>
      <w:pPr>
        <w:ind w:left="5484" w:hanging="360"/>
      </w:pPr>
    </w:lvl>
    <w:lvl w:ilvl="7" w:tplc="0C0C0019" w:tentative="1">
      <w:start w:val="1"/>
      <w:numFmt w:val="lowerLetter"/>
      <w:lvlText w:val="%8."/>
      <w:lvlJc w:val="left"/>
      <w:pPr>
        <w:ind w:left="6204" w:hanging="360"/>
      </w:pPr>
    </w:lvl>
    <w:lvl w:ilvl="8" w:tplc="0C0C001B" w:tentative="1">
      <w:start w:val="1"/>
      <w:numFmt w:val="lowerRoman"/>
      <w:lvlText w:val="%9."/>
      <w:lvlJc w:val="right"/>
      <w:pPr>
        <w:ind w:left="6924" w:hanging="180"/>
      </w:pPr>
    </w:lvl>
  </w:abstractNum>
  <w:abstractNum w:abstractNumId="1" w15:restartNumberingAfterBreak="0">
    <w:nsid w:val="3DC03385"/>
    <w:multiLevelType w:val="hybridMultilevel"/>
    <w:tmpl w:val="1C4E61B2"/>
    <w:lvl w:ilvl="0" w:tplc="5EC4EBA0">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900169748">
    <w:abstractNumId w:val="1"/>
  </w:num>
  <w:num w:numId="2" w16cid:durableId="265190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610"/>
    <w:rsid w:val="00031CE9"/>
    <w:rsid w:val="00082B35"/>
    <w:rsid w:val="000F4078"/>
    <w:rsid w:val="000F7582"/>
    <w:rsid w:val="0010352A"/>
    <w:rsid w:val="0010761F"/>
    <w:rsid w:val="00123839"/>
    <w:rsid w:val="001322E4"/>
    <w:rsid w:val="001367C8"/>
    <w:rsid w:val="00160610"/>
    <w:rsid w:val="0019381F"/>
    <w:rsid w:val="00193E5A"/>
    <w:rsid w:val="00195905"/>
    <w:rsid w:val="001A4907"/>
    <w:rsid w:val="001A6645"/>
    <w:rsid w:val="001C23C3"/>
    <w:rsid w:val="001E711A"/>
    <w:rsid w:val="00263347"/>
    <w:rsid w:val="00271DB9"/>
    <w:rsid w:val="002C53C6"/>
    <w:rsid w:val="002D5426"/>
    <w:rsid w:val="002F0246"/>
    <w:rsid w:val="00311423"/>
    <w:rsid w:val="00321C9D"/>
    <w:rsid w:val="0036242D"/>
    <w:rsid w:val="00395CA9"/>
    <w:rsid w:val="003A11FB"/>
    <w:rsid w:val="003A7D77"/>
    <w:rsid w:val="003B3FC5"/>
    <w:rsid w:val="003D2284"/>
    <w:rsid w:val="0040575B"/>
    <w:rsid w:val="004569CE"/>
    <w:rsid w:val="004D6D04"/>
    <w:rsid w:val="004F3898"/>
    <w:rsid w:val="00504F15"/>
    <w:rsid w:val="00507BEE"/>
    <w:rsid w:val="0054232E"/>
    <w:rsid w:val="00572616"/>
    <w:rsid w:val="00582AA7"/>
    <w:rsid w:val="005C2E44"/>
    <w:rsid w:val="005C6D65"/>
    <w:rsid w:val="0062172F"/>
    <w:rsid w:val="006466CB"/>
    <w:rsid w:val="006E2D6D"/>
    <w:rsid w:val="00717C67"/>
    <w:rsid w:val="00727347"/>
    <w:rsid w:val="00743D1F"/>
    <w:rsid w:val="00786CFC"/>
    <w:rsid w:val="007A0969"/>
    <w:rsid w:val="007C5141"/>
    <w:rsid w:val="007D44B4"/>
    <w:rsid w:val="007F48B0"/>
    <w:rsid w:val="00830622"/>
    <w:rsid w:val="00837538"/>
    <w:rsid w:val="008514B3"/>
    <w:rsid w:val="00855DB6"/>
    <w:rsid w:val="00874A67"/>
    <w:rsid w:val="0088425D"/>
    <w:rsid w:val="00907D32"/>
    <w:rsid w:val="009E3A54"/>
    <w:rsid w:val="00A23ED9"/>
    <w:rsid w:val="00A35521"/>
    <w:rsid w:val="00A629E6"/>
    <w:rsid w:val="00A70C7E"/>
    <w:rsid w:val="00A75BC7"/>
    <w:rsid w:val="00A7738A"/>
    <w:rsid w:val="00AB72DB"/>
    <w:rsid w:val="00AD173D"/>
    <w:rsid w:val="00AD1AF7"/>
    <w:rsid w:val="00AE59FA"/>
    <w:rsid w:val="00AF025B"/>
    <w:rsid w:val="00B123D9"/>
    <w:rsid w:val="00B15A76"/>
    <w:rsid w:val="00B354E1"/>
    <w:rsid w:val="00B44058"/>
    <w:rsid w:val="00B67A22"/>
    <w:rsid w:val="00BE16CB"/>
    <w:rsid w:val="00BE56A0"/>
    <w:rsid w:val="00C4418D"/>
    <w:rsid w:val="00C97ABC"/>
    <w:rsid w:val="00CE7582"/>
    <w:rsid w:val="00D04BA6"/>
    <w:rsid w:val="00D500E6"/>
    <w:rsid w:val="00D54535"/>
    <w:rsid w:val="00D6500C"/>
    <w:rsid w:val="00D944A2"/>
    <w:rsid w:val="00DB1280"/>
    <w:rsid w:val="00DC7EAE"/>
    <w:rsid w:val="00E46DA4"/>
    <w:rsid w:val="00E6638B"/>
    <w:rsid w:val="00E70241"/>
    <w:rsid w:val="00E95766"/>
    <w:rsid w:val="00EA2BD4"/>
    <w:rsid w:val="00EB71F9"/>
    <w:rsid w:val="00EC12D5"/>
    <w:rsid w:val="00EC20EB"/>
    <w:rsid w:val="00EF0B0D"/>
    <w:rsid w:val="00F12771"/>
    <w:rsid w:val="00F3592A"/>
    <w:rsid w:val="00F47BD6"/>
    <w:rsid w:val="00F65974"/>
    <w:rsid w:val="00F73F01"/>
    <w:rsid w:val="00F776E0"/>
    <w:rsid w:val="00F8798F"/>
    <w:rsid w:val="00FB25CF"/>
    <w:rsid w:val="00FC6B96"/>
    <w:rsid w:val="00FD4AA5"/>
    <w:rsid w:val="00FD7BEE"/>
    <w:rsid w:val="00FE61AB"/>
    <w:rsid w:val="00FE71CF"/>
    <w:rsid w:val="00FF0103"/>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F46E6"/>
  <w15:chartTrackingRefBased/>
  <w15:docId w15:val="{C685EE09-15EA-4F2A-ABB4-FC6C6626B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23ED9"/>
    <w:pPr>
      <w:ind w:left="720"/>
      <w:contextualSpacing/>
    </w:pPr>
  </w:style>
  <w:style w:type="paragraph" w:customStyle="1" w:styleId="paragraphnumber">
    <w:name w:val="paragraphnumber"/>
    <w:basedOn w:val="Normal"/>
    <w:rsid w:val="006466CB"/>
    <w:pPr>
      <w:spacing w:before="100" w:beforeAutospacing="1" w:after="100" w:afterAutospacing="1" w:line="240" w:lineRule="auto"/>
    </w:pPr>
    <w:rPr>
      <w:rFonts w:ascii="Times New Roman" w:eastAsia="Times New Roman" w:hAnsi="Times New Roman" w:cs="Times New Roman"/>
      <w:kern w:val="0"/>
      <w:sz w:val="24"/>
      <w:szCs w:val="24"/>
      <w:lang w:eastAsia="fr-CA"/>
      <w14:ligatures w14:val="none"/>
    </w:rPr>
  </w:style>
  <w:style w:type="paragraph" w:customStyle="1" w:styleId="bullet">
    <w:name w:val="bullet"/>
    <w:basedOn w:val="Normal"/>
    <w:rsid w:val="006466CB"/>
    <w:pPr>
      <w:spacing w:before="100" w:beforeAutospacing="1" w:after="100" w:afterAutospacing="1" w:line="240" w:lineRule="auto"/>
    </w:pPr>
    <w:rPr>
      <w:rFonts w:ascii="Times New Roman" w:eastAsia="Times New Roman" w:hAnsi="Times New Roman" w:cs="Times New Roman"/>
      <w:kern w:val="0"/>
      <w:sz w:val="24"/>
      <w:szCs w:val="24"/>
      <w:lang w:eastAsia="fr-CA"/>
      <w14:ligatures w14:val="none"/>
    </w:rPr>
  </w:style>
  <w:style w:type="paragraph" w:styleId="En-tte">
    <w:name w:val="header"/>
    <w:basedOn w:val="Normal"/>
    <w:link w:val="En-tteCar"/>
    <w:uiPriority w:val="99"/>
    <w:unhideWhenUsed/>
    <w:rsid w:val="00D500E6"/>
    <w:pPr>
      <w:tabs>
        <w:tab w:val="center" w:pos="4153"/>
        <w:tab w:val="right" w:pos="8306"/>
      </w:tabs>
      <w:spacing w:after="0" w:line="240" w:lineRule="auto"/>
    </w:pPr>
  </w:style>
  <w:style w:type="character" w:customStyle="1" w:styleId="En-tteCar">
    <w:name w:val="En-tête Car"/>
    <w:basedOn w:val="Policepardfaut"/>
    <w:link w:val="En-tte"/>
    <w:uiPriority w:val="99"/>
    <w:rsid w:val="00D500E6"/>
  </w:style>
  <w:style w:type="paragraph" w:styleId="Pieddepage">
    <w:name w:val="footer"/>
    <w:basedOn w:val="Normal"/>
    <w:link w:val="PieddepageCar"/>
    <w:uiPriority w:val="99"/>
    <w:unhideWhenUsed/>
    <w:rsid w:val="00D500E6"/>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D500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403725">
      <w:bodyDiv w:val="1"/>
      <w:marLeft w:val="0"/>
      <w:marRight w:val="0"/>
      <w:marTop w:val="0"/>
      <w:marBottom w:val="0"/>
      <w:divBdr>
        <w:top w:val="none" w:sz="0" w:space="0" w:color="auto"/>
        <w:left w:val="none" w:sz="0" w:space="0" w:color="auto"/>
        <w:bottom w:val="none" w:sz="0" w:space="0" w:color="auto"/>
        <w:right w:val="none" w:sz="0" w:space="0" w:color="auto"/>
      </w:divBdr>
      <w:divsChild>
        <w:div w:id="2037346992">
          <w:marLeft w:val="0"/>
          <w:marRight w:val="0"/>
          <w:marTop w:val="0"/>
          <w:marBottom w:val="0"/>
          <w:divBdr>
            <w:top w:val="none" w:sz="0" w:space="0" w:color="auto"/>
            <w:left w:val="none" w:sz="0" w:space="0" w:color="auto"/>
            <w:bottom w:val="none" w:sz="0" w:space="0" w:color="auto"/>
            <w:right w:val="none" w:sz="0" w:space="0" w:color="auto"/>
          </w:divBdr>
        </w:div>
        <w:div w:id="77405729">
          <w:marLeft w:val="0"/>
          <w:marRight w:val="0"/>
          <w:marTop w:val="0"/>
          <w:marBottom w:val="0"/>
          <w:divBdr>
            <w:top w:val="none" w:sz="0" w:space="0" w:color="auto"/>
            <w:left w:val="none" w:sz="0" w:space="0" w:color="auto"/>
            <w:bottom w:val="none" w:sz="0" w:space="0" w:color="auto"/>
            <w:right w:val="none" w:sz="0" w:space="0" w:color="auto"/>
          </w:divBdr>
        </w:div>
        <w:div w:id="1829058885">
          <w:marLeft w:val="0"/>
          <w:marRight w:val="0"/>
          <w:marTop w:val="0"/>
          <w:marBottom w:val="0"/>
          <w:divBdr>
            <w:top w:val="none" w:sz="0" w:space="0" w:color="auto"/>
            <w:left w:val="none" w:sz="0" w:space="0" w:color="auto"/>
            <w:bottom w:val="none" w:sz="0" w:space="0" w:color="auto"/>
            <w:right w:val="none" w:sz="0" w:space="0" w:color="auto"/>
          </w:divBdr>
        </w:div>
      </w:divsChild>
    </w:div>
    <w:div w:id="546332946">
      <w:bodyDiv w:val="1"/>
      <w:marLeft w:val="0"/>
      <w:marRight w:val="0"/>
      <w:marTop w:val="0"/>
      <w:marBottom w:val="0"/>
      <w:divBdr>
        <w:top w:val="none" w:sz="0" w:space="0" w:color="auto"/>
        <w:left w:val="none" w:sz="0" w:space="0" w:color="auto"/>
        <w:bottom w:val="none" w:sz="0" w:space="0" w:color="auto"/>
        <w:right w:val="none" w:sz="0" w:space="0" w:color="auto"/>
      </w:divBdr>
      <w:divsChild>
        <w:div w:id="922758032">
          <w:marLeft w:val="0"/>
          <w:marRight w:val="0"/>
          <w:marTop w:val="0"/>
          <w:marBottom w:val="0"/>
          <w:divBdr>
            <w:top w:val="none" w:sz="0" w:space="0" w:color="auto"/>
            <w:left w:val="none" w:sz="0" w:space="0" w:color="auto"/>
            <w:bottom w:val="none" w:sz="0" w:space="0" w:color="auto"/>
            <w:right w:val="none" w:sz="0" w:space="0" w:color="auto"/>
          </w:divBdr>
        </w:div>
        <w:div w:id="1528563387">
          <w:marLeft w:val="0"/>
          <w:marRight w:val="0"/>
          <w:marTop w:val="0"/>
          <w:marBottom w:val="0"/>
          <w:divBdr>
            <w:top w:val="none" w:sz="0" w:space="0" w:color="auto"/>
            <w:left w:val="none" w:sz="0" w:space="0" w:color="auto"/>
            <w:bottom w:val="none" w:sz="0" w:space="0" w:color="auto"/>
            <w:right w:val="none" w:sz="0" w:space="0" w:color="auto"/>
          </w:divBdr>
        </w:div>
        <w:div w:id="1342930306">
          <w:marLeft w:val="0"/>
          <w:marRight w:val="0"/>
          <w:marTop w:val="0"/>
          <w:marBottom w:val="0"/>
          <w:divBdr>
            <w:top w:val="none" w:sz="0" w:space="0" w:color="auto"/>
            <w:left w:val="none" w:sz="0" w:space="0" w:color="auto"/>
            <w:bottom w:val="none" w:sz="0" w:space="0" w:color="auto"/>
            <w:right w:val="none" w:sz="0" w:space="0" w:color="auto"/>
          </w:divBdr>
        </w:div>
      </w:divsChild>
    </w:div>
    <w:div w:id="788857294">
      <w:bodyDiv w:val="1"/>
      <w:marLeft w:val="0"/>
      <w:marRight w:val="0"/>
      <w:marTop w:val="0"/>
      <w:marBottom w:val="0"/>
      <w:divBdr>
        <w:top w:val="none" w:sz="0" w:space="0" w:color="auto"/>
        <w:left w:val="none" w:sz="0" w:space="0" w:color="auto"/>
        <w:bottom w:val="none" w:sz="0" w:space="0" w:color="auto"/>
        <w:right w:val="none" w:sz="0" w:space="0" w:color="auto"/>
      </w:divBdr>
      <w:divsChild>
        <w:div w:id="1903636567">
          <w:marLeft w:val="0"/>
          <w:marRight w:val="0"/>
          <w:marTop w:val="0"/>
          <w:marBottom w:val="0"/>
          <w:divBdr>
            <w:top w:val="none" w:sz="0" w:space="0" w:color="auto"/>
            <w:left w:val="none" w:sz="0" w:space="0" w:color="auto"/>
            <w:bottom w:val="none" w:sz="0" w:space="0" w:color="auto"/>
            <w:right w:val="none" w:sz="0" w:space="0" w:color="auto"/>
          </w:divBdr>
        </w:div>
        <w:div w:id="268852774">
          <w:marLeft w:val="0"/>
          <w:marRight w:val="0"/>
          <w:marTop w:val="0"/>
          <w:marBottom w:val="0"/>
          <w:divBdr>
            <w:top w:val="none" w:sz="0" w:space="0" w:color="auto"/>
            <w:left w:val="none" w:sz="0" w:space="0" w:color="auto"/>
            <w:bottom w:val="none" w:sz="0" w:space="0" w:color="auto"/>
            <w:right w:val="none" w:sz="0" w:space="0" w:color="auto"/>
          </w:divBdr>
        </w:div>
        <w:div w:id="141166627">
          <w:marLeft w:val="0"/>
          <w:marRight w:val="0"/>
          <w:marTop w:val="0"/>
          <w:marBottom w:val="0"/>
          <w:divBdr>
            <w:top w:val="none" w:sz="0" w:space="0" w:color="auto"/>
            <w:left w:val="none" w:sz="0" w:space="0" w:color="auto"/>
            <w:bottom w:val="none" w:sz="0" w:space="0" w:color="auto"/>
            <w:right w:val="none" w:sz="0" w:space="0" w:color="auto"/>
          </w:divBdr>
        </w:div>
        <w:div w:id="806702676">
          <w:marLeft w:val="0"/>
          <w:marRight w:val="0"/>
          <w:marTop w:val="0"/>
          <w:marBottom w:val="0"/>
          <w:divBdr>
            <w:top w:val="none" w:sz="0" w:space="0" w:color="auto"/>
            <w:left w:val="none" w:sz="0" w:space="0" w:color="auto"/>
            <w:bottom w:val="none" w:sz="0" w:space="0" w:color="auto"/>
            <w:right w:val="none" w:sz="0" w:space="0" w:color="auto"/>
          </w:divBdr>
        </w:div>
        <w:div w:id="36703544">
          <w:marLeft w:val="0"/>
          <w:marRight w:val="0"/>
          <w:marTop w:val="0"/>
          <w:marBottom w:val="0"/>
          <w:divBdr>
            <w:top w:val="none" w:sz="0" w:space="0" w:color="auto"/>
            <w:left w:val="none" w:sz="0" w:space="0" w:color="auto"/>
            <w:bottom w:val="none" w:sz="0" w:space="0" w:color="auto"/>
            <w:right w:val="none" w:sz="0" w:space="0" w:color="auto"/>
          </w:divBdr>
        </w:div>
      </w:divsChild>
    </w:div>
    <w:div w:id="945234267">
      <w:bodyDiv w:val="1"/>
      <w:marLeft w:val="0"/>
      <w:marRight w:val="0"/>
      <w:marTop w:val="0"/>
      <w:marBottom w:val="0"/>
      <w:divBdr>
        <w:top w:val="none" w:sz="0" w:space="0" w:color="auto"/>
        <w:left w:val="none" w:sz="0" w:space="0" w:color="auto"/>
        <w:bottom w:val="none" w:sz="0" w:space="0" w:color="auto"/>
        <w:right w:val="none" w:sz="0" w:space="0" w:color="auto"/>
      </w:divBdr>
      <w:divsChild>
        <w:div w:id="745617099">
          <w:marLeft w:val="0"/>
          <w:marRight w:val="0"/>
          <w:marTop w:val="0"/>
          <w:marBottom w:val="0"/>
          <w:divBdr>
            <w:top w:val="none" w:sz="0" w:space="0" w:color="auto"/>
            <w:left w:val="none" w:sz="0" w:space="0" w:color="auto"/>
            <w:bottom w:val="none" w:sz="0" w:space="0" w:color="auto"/>
            <w:right w:val="none" w:sz="0" w:space="0" w:color="auto"/>
          </w:divBdr>
        </w:div>
        <w:div w:id="616063466">
          <w:marLeft w:val="0"/>
          <w:marRight w:val="0"/>
          <w:marTop w:val="0"/>
          <w:marBottom w:val="0"/>
          <w:divBdr>
            <w:top w:val="none" w:sz="0" w:space="0" w:color="auto"/>
            <w:left w:val="none" w:sz="0" w:space="0" w:color="auto"/>
            <w:bottom w:val="none" w:sz="0" w:space="0" w:color="auto"/>
            <w:right w:val="none" w:sz="0" w:space="0" w:color="auto"/>
          </w:divBdr>
        </w:div>
        <w:div w:id="1805805510">
          <w:marLeft w:val="0"/>
          <w:marRight w:val="0"/>
          <w:marTop w:val="0"/>
          <w:marBottom w:val="0"/>
          <w:divBdr>
            <w:top w:val="none" w:sz="0" w:space="0" w:color="auto"/>
            <w:left w:val="none" w:sz="0" w:space="0" w:color="auto"/>
            <w:bottom w:val="none" w:sz="0" w:space="0" w:color="auto"/>
            <w:right w:val="none" w:sz="0" w:space="0" w:color="auto"/>
          </w:divBdr>
        </w:div>
        <w:div w:id="1197625341">
          <w:marLeft w:val="0"/>
          <w:marRight w:val="0"/>
          <w:marTop w:val="0"/>
          <w:marBottom w:val="0"/>
          <w:divBdr>
            <w:top w:val="none" w:sz="0" w:space="0" w:color="auto"/>
            <w:left w:val="none" w:sz="0" w:space="0" w:color="auto"/>
            <w:bottom w:val="none" w:sz="0" w:space="0" w:color="auto"/>
            <w:right w:val="none" w:sz="0" w:space="0" w:color="auto"/>
          </w:divBdr>
        </w:div>
      </w:divsChild>
    </w:div>
    <w:div w:id="1987203392">
      <w:bodyDiv w:val="1"/>
      <w:marLeft w:val="0"/>
      <w:marRight w:val="0"/>
      <w:marTop w:val="0"/>
      <w:marBottom w:val="0"/>
      <w:divBdr>
        <w:top w:val="none" w:sz="0" w:space="0" w:color="auto"/>
        <w:left w:val="none" w:sz="0" w:space="0" w:color="auto"/>
        <w:bottom w:val="none" w:sz="0" w:space="0" w:color="auto"/>
        <w:right w:val="none" w:sz="0" w:space="0" w:color="auto"/>
      </w:divBdr>
      <w:divsChild>
        <w:div w:id="1773238224">
          <w:marLeft w:val="0"/>
          <w:marRight w:val="0"/>
          <w:marTop w:val="0"/>
          <w:marBottom w:val="0"/>
          <w:divBdr>
            <w:top w:val="none" w:sz="0" w:space="0" w:color="auto"/>
            <w:left w:val="none" w:sz="0" w:space="0" w:color="auto"/>
            <w:bottom w:val="none" w:sz="0" w:space="0" w:color="auto"/>
            <w:right w:val="none" w:sz="0" w:space="0" w:color="auto"/>
          </w:divBdr>
        </w:div>
        <w:div w:id="11421020">
          <w:marLeft w:val="0"/>
          <w:marRight w:val="0"/>
          <w:marTop w:val="0"/>
          <w:marBottom w:val="0"/>
          <w:divBdr>
            <w:top w:val="none" w:sz="0" w:space="0" w:color="auto"/>
            <w:left w:val="none" w:sz="0" w:space="0" w:color="auto"/>
            <w:bottom w:val="none" w:sz="0" w:space="0" w:color="auto"/>
            <w:right w:val="none" w:sz="0" w:space="0" w:color="auto"/>
          </w:divBdr>
        </w:div>
        <w:div w:id="2107340151">
          <w:marLeft w:val="0"/>
          <w:marRight w:val="0"/>
          <w:marTop w:val="0"/>
          <w:marBottom w:val="0"/>
          <w:divBdr>
            <w:top w:val="none" w:sz="0" w:space="0" w:color="auto"/>
            <w:left w:val="none" w:sz="0" w:space="0" w:color="auto"/>
            <w:bottom w:val="none" w:sz="0" w:space="0" w:color="auto"/>
            <w:right w:val="none" w:sz="0" w:space="0" w:color="auto"/>
          </w:divBdr>
        </w:div>
        <w:div w:id="2081437822">
          <w:marLeft w:val="0"/>
          <w:marRight w:val="0"/>
          <w:marTop w:val="0"/>
          <w:marBottom w:val="0"/>
          <w:divBdr>
            <w:top w:val="none" w:sz="0" w:space="0" w:color="auto"/>
            <w:left w:val="none" w:sz="0" w:space="0" w:color="auto"/>
            <w:bottom w:val="none" w:sz="0" w:space="0" w:color="auto"/>
            <w:right w:val="none" w:sz="0" w:space="0" w:color="auto"/>
          </w:divBdr>
        </w:div>
        <w:div w:id="16825099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package" Target="embeddings/Microsoft_Excel_Worksheet1.xlsx"/><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7</Pages>
  <Words>1745</Words>
  <Characters>9602</Characters>
  <Application>Microsoft Office Word</Application>
  <DocSecurity>0</DocSecurity>
  <Lines>80</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Félix Mailhot</dc:creator>
  <cp:keywords/>
  <dc:description/>
  <cp:lastModifiedBy>Louise Overbeek</cp:lastModifiedBy>
  <cp:revision>18</cp:revision>
  <dcterms:created xsi:type="dcterms:W3CDTF">2024-01-15T23:46:00Z</dcterms:created>
  <dcterms:modified xsi:type="dcterms:W3CDTF">2024-01-21T18:14:00Z</dcterms:modified>
</cp:coreProperties>
</file>