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40268" w14:textId="0C54FC7E" w:rsidR="006414B1" w:rsidRDefault="009243BF" w:rsidP="003C03BC">
      <w:pPr>
        <w:jc w:val="center"/>
        <w:rPr>
          <w:b/>
          <w:sz w:val="24"/>
        </w:rPr>
      </w:pPr>
      <w:r>
        <w:rPr>
          <w:b/>
          <w:sz w:val="24"/>
        </w:rPr>
        <w:t>Micro-cas</w:t>
      </w:r>
      <w:r w:rsidR="00E31043">
        <w:rPr>
          <w:b/>
          <w:sz w:val="24"/>
        </w:rPr>
        <w:t xml:space="preserve"> – version « en classe »</w:t>
      </w:r>
    </w:p>
    <w:p w14:paraId="529D3469" w14:textId="77777777" w:rsidR="009243BF" w:rsidRPr="003C03BC" w:rsidRDefault="009243BF" w:rsidP="003C03BC">
      <w:pPr>
        <w:jc w:val="center"/>
        <w:rPr>
          <w:b/>
          <w:sz w:val="24"/>
        </w:rPr>
      </w:pPr>
    </w:p>
    <w:p w14:paraId="73F077CF" w14:textId="77777777" w:rsidR="003C03BC" w:rsidRDefault="003C03BC"/>
    <w:p w14:paraId="33C90DFC" w14:textId="1BE270E5" w:rsidR="00E31043" w:rsidRDefault="00B74D40" w:rsidP="00E31043">
      <w:pPr>
        <w:jc w:val="both"/>
      </w:pPr>
      <w:r w:rsidRPr="00B74D40">
        <w:t xml:space="preserve">Grandeur inc. </w:t>
      </w:r>
      <w:r w:rsidR="00E31043">
        <w:t xml:space="preserve">détient depuis de nombreuses années un </w:t>
      </w:r>
      <w:r w:rsidRPr="00B74D40">
        <w:t>immeuble</w:t>
      </w:r>
      <w:r w:rsidR="00E31043">
        <w:t>. Elle occupait les différents espaces pour les activités de l’entreprise : département comptable, juridique, ventes…</w:t>
      </w:r>
    </w:p>
    <w:p w14:paraId="6B312DF8" w14:textId="30001480" w:rsidR="00B74D40" w:rsidRPr="00B74D40" w:rsidRDefault="00E31043" w:rsidP="00E31043">
      <w:pPr>
        <w:jc w:val="both"/>
      </w:pPr>
      <w:bookmarkStart w:id="0" w:name="_Hlk51503404"/>
      <w:r>
        <w:t>Or, en septembre 20</w:t>
      </w:r>
      <w:r w:rsidR="00906993">
        <w:t>x</w:t>
      </w:r>
      <w:r w:rsidR="00372417">
        <w:t>3</w:t>
      </w:r>
      <w:r>
        <w:t xml:space="preserve">, elle décide de déménager une partie de ses activités dans un nouvel immeuble situé dans le même quartier car elle manquait d’espace. L’espace dans le nouvel immeuble est loué pour une période de cinq ans avec une option de renouvellement au prix qui sera alors en vigueur dans cette région. </w:t>
      </w:r>
      <w:r w:rsidR="000D274E">
        <w:t>L’équipe marketing</w:t>
      </w:r>
      <w:r>
        <w:t xml:space="preserve"> ne déménage toutefois pas et continuera à occuper</w:t>
      </w:r>
      <w:r w:rsidR="00B74D40" w:rsidRPr="00B74D40">
        <w:t xml:space="preserve"> </w:t>
      </w:r>
      <w:r w:rsidR="000D274E">
        <w:t>quelques bureaux sur le cinquième étage</w:t>
      </w:r>
      <w:r w:rsidR="00686A73">
        <w:t>, alors que l’immeuble compte 15 étages</w:t>
      </w:r>
      <w:r w:rsidR="00B74D40" w:rsidRPr="00B74D40">
        <w:t>.</w:t>
      </w:r>
      <w:r w:rsidR="009243BF">
        <w:t xml:space="preserve"> </w:t>
      </w:r>
      <w:r w:rsidR="000D274E">
        <w:t>Tous les espaces autre</w:t>
      </w:r>
      <w:r w:rsidR="0004015C">
        <w:t>s</w:t>
      </w:r>
      <w:r w:rsidR="000D274E">
        <w:t xml:space="preserve"> que l’espace retenu</w:t>
      </w:r>
      <w:r>
        <w:t xml:space="preserve"> ont déjà été</w:t>
      </w:r>
      <w:r w:rsidR="009243BF">
        <w:t xml:space="preserve"> loués à des tiers</w:t>
      </w:r>
      <w:r>
        <w:t xml:space="preserve"> et ceux-ci emménageront en octobre 20</w:t>
      </w:r>
      <w:r w:rsidR="00A022CD">
        <w:t>x3</w:t>
      </w:r>
      <w:r w:rsidR="009243BF">
        <w:t>.</w:t>
      </w:r>
    </w:p>
    <w:bookmarkEnd w:id="0"/>
    <w:p w14:paraId="58BD60FA" w14:textId="31D9151D" w:rsidR="00B74D40" w:rsidRDefault="009243BF" w:rsidP="00E31043">
      <w:pPr>
        <w:jc w:val="both"/>
      </w:pPr>
      <w:r>
        <w:t>Elle</w:t>
      </w:r>
      <w:r w:rsidR="00B74D40" w:rsidRPr="00B74D40">
        <w:t xml:space="preserve"> aimerait comprendre l’impact </w:t>
      </w:r>
      <w:r w:rsidR="00E31043">
        <w:t>que le déplacement d’une partie de ses activités</w:t>
      </w:r>
      <w:r w:rsidR="00B74D40" w:rsidRPr="00B74D40">
        <w:t xml:space="preserve"> aura sur ses états financiers. </w:t>
      </w:r>
    </w:p>
    <w:p w14:paraId="700BD818" w14:textId="116DF367" w:rsidR="00E31043" w:rsidRDefault="00E31043" w:rsidP="00E31043">
      <w:pPr>
        <w:jc w:val="both"/>
      </w:pPr>
    </w:p>
    <w:p w14:paraId="421F7270" w14:textId="70B0DBE5" w:rsidR="00E31043" w:rsidRDefault="00E31043" w:rsidP="00E31043">
      <w:pPr>
        <w:jc w:val="both"/>
      </w:pPr>
      <w:r>
        <w:t>La valeur comptable nette de l’immeuble est 1 200 000 $ au 30 septembre, sa juste valeur est 1 800 000 $ et faite l’hypothèse que la juste valeur de l’immeuble sera 1 900 000 $ au 31 décembre 20</w:t>
      </w:r>
      <w:r w:rsidR="007F2E5F">
        <w:t>x3</w:t>
      </w:r>
      <w:r>
        <w:t>. Il s’agit du seul immeuble détenu par Grandeur.</w:t>
      </w:r>
    </w:p>
    <w:p w14:paraId="743E4796" w14:textId="77777777" w:rsidR="00B74D40" w:rsidRPr="00B74D40" w:rsidRDefault="00B74D40" w:rsidP="00B74D40"/>
    <w:p w14:paraId="144D2D7F" w14:textId="1D55D0D9" w:rsidR="00B74D40" w:rsidRDefault="009243BF" w:rsidP="00B74D40">
      <w:pPr>
        <w:rPr>
          <w:i/>
          <w:iCs/>
        </w:rPr>
      </w:pPr>
      <w:r>
        <w:rPr>
          <w:i/>
          <w:iCs/>
        </w:rPr>
        <w:t>(IFRS et NCECF</w:t>
      </w:r>
      <w:r w:rsidR="00B74D40" w:rsidRPr="00B74D40">
        <w:rPr>
          <w:i/>
          <w:iCs/>
        </w:rPr>
        <w:t>)</w:t>
      </w:r>
    </w:p>
    <w:p w14:paraId="0039C816" w14:textId="43BDB0C2" w:rsidR="000D274E" w:rsidRDefault="000D274E" w:rsidP="00B74D40">
      <w:pPr>
        <w:rPr>
          <w:i/>
          <w:iCs/>
        </w:rPr>
      </w:pPr>
    </w:p>
    <w:p w14:paraId="247BEE0F" w14:textId="705587A1" w:rsidR="000D274E" w:rsidRDefault="000D274E" w:rsidP="00B74D40">
      <w:pPr>
        <w:rPr>
          <w:color w:val="FF0000"/>
        </w:rPr>
      </w:pPr>
      <w:r>
        <w:rPr>
          <w:color w:val="FF0000"/>
        </w:rPr>
        <w:t>Solution</w:t>
      </w:r>
    </w:p>
    <w:p w14:paraId="1C411F41" w14:textId="4E03C012" w:rsidR="000D274E" w:rsidRDefault="000D274E" w:rsidP="00B74D40">
      <w:r>
        <w:t>Avant le déménagement : immeuble occupé par le propriétaire – IAS 16</w:t>
      </w:r>
    </w:p>
    <w:p w14:paraId="00EC4F87" w14:textId="463AE0DE" w:rsidR="000D274E" w:rsidRDefault="000D274E" w:rsidP="00B74D40">
      <w:r>
        <w:t>« </w:t>
      </w:r>
      <w:r>
        <w:rPr>
          <w:rFonts w:ascii="Arial" w:hAnsi="Arial" w:cs="Arial"/>
          <w:b/>
          <w:bCs/>
          <w:color w:val="444444"/>
          <w:sz w:val="21"/>
          <w:szCs w:val="21"/>
          <w:shd w:val="clear" w:color="auto" w:fill="FFFFFF"/>
        </w:rPr>
        <w:t> Un </w:t>
      </w:r>
      <w:r>
        <w:rPr>
          <w:rFonts w:ascii="Arial" w:hAnsi="Arial" w:cs="Arial"/>
          <w:b/>
          <w:bCs/>
          <w:i/>
          <w:iCs/>
          <w:color w:val="444444"/>
          <w:sz w:val="21"/>
          <w:szCs w:val="21"/>
          <w:shd w:val="clear" w:color="auto" w:fill="FFFFFF"/>
        </w:rPr>
        <w:t>bien immobilier occupé par son propriétaire</w:t>
      </w:r>
      <w:r>
        <w:rPr>
          <w:rFonts w:ascii="Arial" w:hAnsi="Arial" w:cs="Arial"/>
          <w:b/>
          <w:bCs/>
          <w:color w:val="444444"/>
          <w:sz w:val="21"/>
          <w:szCs w:val="21"/>
          <w:shd w:val="clear" w:color="auto" w:fill="FFFFFF"/>
        </w:rPr>
        <w:t> est un bien immobilier détenu (par le propriétaire ou, en tant qu'actif au titre du droit d'utilisation, par le preneur) pour être utilisé dans la production ou la fourniture de biens ou de services, ou à des fins administratives. »</w:t>
      </w:r>
    </w:p>
    <w:p w14:paraId="3D290A16" w14:textId="5BD17293" w:rsidR="000D274E" w:rsidRDefault="000D274E" w:rsidP="00B74D40">
      <w:r>
        <w:t>Au déménagement, devient immeuble à double usage</w:t>
      </w:r>
    </w:p>
    <w:p w14:paraId="0D2547A6" w14:textId="1FAB23E8" w:rsidR="000D274E" w:rsidRDefault="000D274E" w:rsidP="00B74D40">
      <w:pPr>
        <w:rPr>
          <w:rFonts w:ascii="Arial" w:hAnsi="Arial" w:cs="Arial"/>
          <w:color w:val="444444"/>
          <w:sz w:val="21"/>
          <w:szCs w:val="21"/>
          <w:shd w:val="clear" w:color="auto" w:fill="FFFFFF"/>
        </w:rPr>
      </w:pPr>
      <w:r>
        <w:rPr>
          <w:rFonts w:ascii="Arial" w:hAnsi="Arial" w:cs="Arial"/>
          <w:color w:val="444444"/>
          <w:sz w:val="21"/>
          <w:szCs w:val="21"/>
          <w:shd w:val="clear" w:color="auto" w:fill="FFFFFF"/>
        </w:rPr>
        <w:t xml:space="preserve">10      Certains biens immobiliers comprennent une partie qui est détenue pour en retirer des loyers ou réaliser une plus-value en capital et une autre partie qui est détenue pour être utilisée dans le processus de production ou de fourniture de biens ou de services ou à des fins administratives. Si ces deux parties peuvent être vendues séparément (ou louées séparément dans le cadre d'un contrat de location-financement), l'entité les comptabilise séparément. Si les deux parties ne peuvent être vendues séparément, le bien immobilier est un immeuble de placement seulement si la partie détenue pour être utilisée dans le processus de production ou de fourniture de biens ou de services à des fins administratives </w:t>
      </w:r>
      <w:r w:rsidRPr="000D274E">
        <w:rPr>
          <w:rFonts w:ascii="Arial" w:hAnsi="Arial" w:cs="Arial"/>
          <w:color w:val="444444"/>
          <w:sz w:val="21"/>
          <w:szCs w:val="21"/>
          <w:u w:val="single"/>
          <w:shd w:val="clear" w:color="auto" w:fill="FFFFFF"/>
        </w:rPr>
        <w:t>n'est pas significative</w:t>
      </w:r>
      <w:r>
        <w:rPr>
          <w:rFonts w:ascii="Arial" w:hAnsi="Arial" w:cs="Arial"/>
          <w:color w:val="444444"/>
          <w:sz w:val="21"/>
          <w:szCs w:val="21"/>
          <w:shd w:val="clear" w:color="auto" w:fill="FFFFFF"/>
        </w:rPr>
        <w:t>.</w:t>
      </w:r>
    </w:p>
    <w:p w14:paraId="038D2B8A" w14:textId="274CBB75" w:rsidR="000D274E" w:rsidRDefault="000D274E" w:rsidP="00B74D40">
      <w:pPr>
        <w:rPr>
          <w:rFonts w:ascii="Arial" w:hAnsi="Arial" w:cs="Arial"/>
          <w:color w:val="444444"/>
          <w:sz w:val="21"/>
          <w:szCs w:val="21"/>
          <w:shd w:val="clear" w:color="auto" w:fill="FFFFFF"/>
        </w:rPr>
      </w:pPr>
      <w:r>
        <w:rPr>
          <w:rFonts w:ascii="Arial" w:hAnsi="Arial" w:cs="Arial"/>
          <w:color w:val="444444"/>
          <w:sz w:val="21"/>
          <w:szCs w:val="21"/>
          <w:shd w:val="clear" w:color="auto" w:fill="FFFFFF"/>
        </w:rPr>
        <w:lastRenderedPageBreak/>
        <w:t>Ici quelques bureaux d’un étage ne représente</w:t>
      </w:r>
      <w:r w:rsidR="000D0C1B">
        <w:rPr>
          <w:rFonts w:ascii="Arial" w:hAnsi="Arial" w:cs="Arial"/>
          <w:color w:val="444444"/>
          <w:sz w:val="21"/>
          <w:szCs w:val="21"/>
          <w:shd w:val="clear" w:color="auto" w:fill="FFFFFF"/>
        </w:rPr>
        <w:t>nt</w:t>
      </w:r>
      <w:r>
        <w:rPr>
          <w:rFonts w:ascii="Arial" w:hAnsi="Arial" w:cs="Arial"/>
          <w:color w:val="444444"/>
          <w:sz w:val="21"/>
          <w:szCs w:val="21"/>
          <w:shd w:val="clear" w:color="auto" w:fill="FFFFFF"/>
        </w:rPr>
        <w:t xml:space="preserve"> pas une partie significative. Devient donc un immeuble de placement.</w:t>
      </w:r>
    </w:p>
    <w:p w14:paraId="632D547E" w14:textId="5D0F5C62" w:rsidR="000D274E" w:rsidRDefault="000D274E" w:rsidP="00B74D40">
      <w:pPr>
        <w:rPr>
          <w:rFonts w:ascii="Arial" w:hAnsi="Arial" w:cs="Arial"/>
          <w:color w:val="444444"/>
          <w:sz w:val="21"/>
          <w:szCs w:val="21"/>
          <w:shd w:val="clear" w:color="auto" w:fill="FFFFFF"/>
        </w:rPr>
      </w:pPr>
    </w:p>
    <w:p w14:paraId="31580A0C" w14:textId="7E3BF086" w:rsidR="000D274E" w:rsidRDefault="000D274E" w:rsidP="00B74D40">
      <w:pPr>
        <w:rPr>
          <w:rFonts w:ascii="Arial" w:hAnsi="Arial" w:cs="Arial"/>
          <w:color w:val="444444"/>
          <w:sz w:val="21"/>
          <w:szCs w:val="21"/>
          <w:shd w:val="clear" w:color="auto" w:fill="FFFFFF"/>
        </w:rPr>
      </w:pPr>
      <w:r>
        <w:rPr>
          <w:rFonts w:ascii="Arial" w:hAnsi="Arial" w:cs="Arial"/>
          <w:color w:val="444444"/>
          <w:sz w:val="21"/>
          <w:szCs w:val="21"/>
          <w:shd w:val="clear" w:color="auto" w:fill="FFFFFF"/>
        </w:rPr>
        <w:t>Mesure</w:t>
      </w:r>
    </w:p>
    <w:p w14:paraId="0C4D4CE8" w14:textId="77777777" w:rsidR="000D274E" w:rsidRDefault="000D274E" w:rsidP="000D274E">
      <w:pPr>
        <w:pStyle w:val="ifrsheader2underline"/>
        <w:pBdr>
          <w:bottom w:val="single" w:sz="18" w:space="0" w:color="auto"/>
        </w:pBdr>
        <w:shd w:val="clear" w:color="auto" w:fill="FFFFFF"/>
        <w:spacing w:before="65" w:beforeAutospacing="0" w:after="65" w:afterAutospacing="0"/>
        <w:rPr>
          <w:rFonts w:ascii="Arial" w:hAnsi="Arial" w:cs="Arial"/>
          <w:b/>
          <w:bCs/>
          <w:color w:val="444444"/>
          <w:sz w:val="22"/>
          <w:szCs w:val="22"/>
        </w:rPr>
      </w:pPr>
      <w:r>
        <w:rPr>
          <w:rFonts w:ascii="Arial" w:hAnsi="Arial" w:cs="Arial"/>
          <w:b/>
          <w:bCs/>
          <w:color w:val="444444"/>
          <w:sz w:val="22"/>
          <w:szCs w:val="22"/>
        </w:rPr>
        <w:t>Évaluation après comptabilisation</w:t>
      </w:r>
    </w:p>
    <w:p w14:paraId="0C8C2285" w14:textId="77777777" w:rsidR="000D274E" w:rsidRDefault="000D274E" w:rsidP="000D274E">
      <w:pPr>
        <w:pStyle w:val="ifrsl6"/>
        <w:shd w:val="clear" w:color="auto" w:fill="FFFFFF"/>
        <w:spacing w:before="65" w:beforeAutospacing="0" w:after="65" w:afterAutospacing="0"/>
        <w:ind w:left="1025"/>
        <w:rPr>
          <w:rFonts w:ascii="Arial" w:hAnsi="Arial" w:cs="Arial"/>
          <w:b/>
          <w:bCs/>
          <w:color w:val="444444"/>
          <w:sz w:val="22"/>
          <w:szCs w:val="22"/>
        </w:rPr>
      </w:pPr>
      <w:bookmarkStart w:id="1" w:name="para_70"/>
      <w:bookmarkStart w:id="2" w:name="IAS_40_-_Méthode_comptable"/>
      <w:bookmarkEnd w:id="1"/>
      <w:bookmarkEnd w:id="2"/>
      <w:r>
        <w:rPr>
          <w:rFonts w:ascii="Arial" w:hAnsi="Arial" w:cs="Arial"/>
          <w:b/>
          <w:bCs/>
          <w:color w:val="444444"/>
          <w:sz w:val="22"/>
          <w:szCs w:val="22"/>
        </w:rPr>
        <w:t>Méthode comptable</w:t>
      </w:r>
    </w:p>
    <w:p w14:paraId="771511AB" w14:textId="33B89334" w:rsidR="000D274E" w:rsidRDefault="000D274E" w:rsidP="000D274E">
      <w:pPr>
        <w:pStyle w:val="ifrsparagraphbold"/>
        <w:shd w:val="clear" w:color="auto" w:fill="FFFFFF"/>
        <w:spacing w:before="65" w:beforeAutospacing="0" w:after="65" w:afterAutospacing="0"/>
        <w:ind w:left="785" w:hanging="708"/>
        <w:rPr>
          <w:rFonts w:ascii="Arial" w:hAnsi="Arial" w:cs="Arial"/>
          <w:b/>
          <w:bCs/>
          <w:color w:val="444444"/>
          <w:sz w:val="21"/>
          <w:szCs w:val="21"/>
        </w:rPr>
      </w:pPr>
      <w:bookmarkStart w:id="3" w:name="para_71"/>
      <w:bookmarkStart w:id="4" w:name="IAS_40.30"/>
      <w:bookmarkEnd w:id="3"/>
      <w:bookmarkEnd w:id="4"/>
      <w:r>
        <w:rPr>
          <w:rFonts w:ascii="Arial" w:hAnsi="Arial" w:cs="Arial"/>
          <w:b/>
          <w:bCs/>
          <w:color w:val="444444"/>
          <w:sz w:val="21"/>
          <w:szCs w:val="21"/>
        </w:rPr>
        <w:t>30     Sous réserve de l'exception prévue au paragraphe </w:t>
      </w:r>
      <w:hyperlink r:id="rId4" w:history="1">
        <w:r>
          <w:rPr>
            <w:rStyle w:val="Lienhypertexte"/>
            <w:rFonts w:ascii="Arial" w:hAnsi="Arial" w:cs="Arial"/>
            <w:b/>
            <w:bCs/>
            <w:color w:val="006FBA"/>
            <w:sz w:val="21"/>
            <w:szCs w:val="21"/>
          </w:rPr>
          <w:t>32A</w:t>
        </w:r>
      </w:hyperlink>
      <w:r>
        <w:rPr>
          <w:rFonts w:ascii="Arial" w:hAnsi="Arial" w:cs="Arial"/>
          <w:b/>
          <w:bCs/>
          <w:color w:val="444444"/>
          <w:sz w:val="21"/>
          <w:szCs w:val="21"/>
        </w:rPr>
        <w:t>, une entité doit choisir comme méthode comptable soit le modèle de la juste valeur décrit aux paragraphes </w:t>
      </w:r>
      <w:hyperlink r:id="rId5" w:history="1">
        <w:r>
          <w:rPr>
            <w:rStyle w:val="Lienhypertexte"/>
            <w:rFonts w:ascii="Arial" w:hAnsi="Arial" w:cs="Arial"/>
            <w:b/>
            <w:bCs/>
            <w:color w:val="006FBA"/>
            <w:sz w:val="21"/>
            <w:szCs w:val="21"/>
          </w:rPr>
          <w:t>33</w:t>
        </w:r>
      </w:hyperlink>
      <w:r>
        <w:rPr>
          <w:rFonts w:ascii="Arial" w:hAnsi="Arial" w:cs="Arial"/>
          <w:b/>
          <w:bCs/>
          <w:color w:val="444444"/>
          <w:sz w:val="21"/>
          <w:szCs w:val="21"/>
        </w:rPr>
        <w:t> à 55, soit le modèle du coût décrit au paragraphe </w:t>
      </w:r>
      <w:hyperlink r:id="rId6" w:history="1">
        <w:r>
          <w:rPr>
            <w:rStyle w:val="Lienhypertexte"/>
            <w:rFonts w:ascii="Arial" w:hAnsi="Arial" w:cs="Arial"/>
            <w:b/>
            <w:bCs/>
            <w:color w:val="006FBA"/>
            <w:sz w:val="21"/>
            <w:szCs w:val="21"/>
          </w:rPr>
          <w:t>56</w:t>
        </w:r>
      </w:hyperlink>
      <w:r>
        <w:rPr>
          <w:rFonts w:ascii="Arial" w:hAnsi="Arial" w:cs="Arial"/>
          <w:b/>
          <w:bCs/>
          <w:color w:val="444444"/>
          <w:sz w:val="21"/>
          <w:szCs w:val="21"/>
        </w:rPr>
        <w:t>, et doit appliquer cette méthode à tous ses immeubles de placement.</w:t>
      </w:r>
    </w:p>
    <w:p w14:paraId="4AF3F88C" w14:textId="0C92F7B7" w:rsidR="000D274E" w:rsidRDefault="000D274E" w:rsidP="000D274E">
      <w:pPr>
        <w:pStyle w:val="ifrsparagraphbold"/>
        <w:shd w:val="clear" w:color="auto" w:fill="FFFFFF"/>
        <w:spacing w:before="65" w:beforeAutospacing="0" w:after="65" w:afterAutospacing="0"/>
        <w:ind w:left="785" w:hanging="708"/>
        <w:rPr>
          <w:rFonts w:ascii="Arial" w:hAnsi="Arial" w:cs="Arial"/>
          <w:b/>
          <w:bCs/>
          <w:color w:val="444444"/>
          <w:sz w:val="21"/>
          <w:szCs w:val="21"/>
        </w:rPr>
      </w:pPr>
    </w:p>
    <w:p w14:paraId="7D35EDAF" w14:textId="578920C9" w:rsidR="000D274E" w:rsidRDefault="000D274E" w:rsidP="000D274E">
      <w:pPr>
        <w:pStyle w:val="ifrsparagraphbold"/>
        <w:shd w:val="clear" w:color="auto" w:fill="FFFFFF"/>
        <w:spacing w:before="65" w:beforeAutospacing="0" w:after="65" w:afterAutospacing="0"/>
        <w:ind w:left="785" w:hanging="708"/>
        <w:rPr>
          <w:rFonts w:ascii="Arial" w:hAnsi="Arial" w:cs="Arial"/>
          <w:b/>
          <w:bCs/>
          <w:color w:val="444444"/>
          <w:sz w:val="21"/>
          <w:szCs w:val="21"/>
        </w:rPr>
      </w:pPr>
      <w:r>
        <w:rPr>
          <w:rFonts w:ascii="Arial" w:hAnsi="Arial" w:cs="Arial"/>
          <w:b/>
          <w:bCs/>
          <w:color w:val="444444"/>
          <w:sz w:val="21"/>
          <w:szCs w:val="21"/>
          <w:shd w:val="clear" w:color="auto" w:fill="FFFFFF"/>
        </w:rPr>
        <w:t>35     Un profit ou une perte résultant d'une variation de la juste valeur d'un immeuble de placement doit être comptabilisé en résultat net dans la période au cours de laquelle il se produit.</w:t>
      </w:r>
    </w:p>
    <w:p w14:paraId="5C8752E4" w14:textId="7E53C6A7" w:rsidR="000D274E" w:rsidRDefault="000D274E" w:rsidP="00B74D40">
      <w:pPr>
        <w:rPr>
          <w:rFonts w:ascii="Arial" w:hAnsi="Arial" w:cs="Arial"/>
          <w:color w:val="444444"/>
          <w:sz w:val="21"/>
          <w:szCs w:val="21"/>
          <w:shd w:val="clear" w:color="auto" w:fill="FFFFFF"/>
          <w:lang w:val="fr-FR"/>
        </w:rPr>
      </w:pPr>
    </w:p>
    <w:p w14:paraId="6EF8E67B" w14:textId="42BB9D48" w:rsidR="000D274E" w:rsidRDefault="000D274E" w:rsidP="00B74D40">
      <w:pPr>
        <w:rPr>
          <w:rFonts w:ascii="Arial" w:hAnsi="Arial" w:cs="Arial"/>
          <w:color w:val="444444"/>
          <w:sz w:val="21"/>
          <w:szCs w:val="21"/>
          <w:shd w:val="clear" w:color="auto" w:fill="FFFFFF"/>
          <w:lang w:val="fr-FR"/>
        </w:rPr>
      </w:pPr>
      <w:r>
        <w:rPr>
          <w:rFonts w:ascii="Arial" w:hAnsi="Arial" w:cs="Arial"/>
          <w:color w:val="444444"/>
          <w:sz w:val="21"/>
          <w:szCs w:val="21"/>
          <w:shd w:val="clear" w:color="auto" w:fill="FFFFFF"/>
          <w:lang w:val="fr-FR"/>
        </w:rPr>
        <w:t>Faisons l’hypothèse que le modèle de juste valeur est retenu (car devient un placement, lien avec parties prenantes). Il faut ajuster à la juste valeur</w:t>
      </w:r>
    </w:p>
    <w:p w14:paraId="328D99F7" w14:textId="7D586527" w:rsidR="000D274E" w:rsidRDefault="000D274E" w:rsidP="00B74D40">
      <w:pPr>
        <w:rPr>
          <w:rFonts w:ascii="Arial" w:hAnsi="Arial" w:cs="Arial"/>
          <w:color w:val="444444"/>
          <w:sz w:val="21"/>
          <w:szCs w:val="21"/>
          <w:shd w:val="clear" w:color="auto" w:fill="FFFFFF"/>
          <w:lang w:val="fr-FR"/>
        </w:rPr>
      </w:pPr>
    </w:p>
    <w:p w14:paraId="432D93DC" w14:textId="157F4DF6" w:rsidR="000D274E" w:rsidRDefault="000D274E" w:rsidP="00B74D40">
      <w:pPr>
        <w:rPr>
          <w:rFonts w:ascii="Arial" w:hAnsi="Arial" w:cs="Arial"/>
          <w:b/>
          <w:bCs/>
          <w:color w:val="444444"/>
          <w:sz w:val="21"/>
          <w:szCs w:val="21"/>
          <w:shd w:val="clear" w:color="auto" w:fill="FFFFFF"/>
        </w:rPr>
      </w:pPr>
      <w:r>
        <w:rPr>
          <w:rFonts w:ascii="Arial" w:hAnsi="Arial" w:cs="Arial"/>
          <w:b/>
          <w:bCs/>
          <w:color w:val="444444"/>
          <w:sz w:val="21"/>
          <w:szCs w:val="21"/>
          <w:shd w:val="clear" w:color="auto" w:fill="FFFFFF"/>
        </w:rPr>
        <w:t>61     Si un bien immobilier occupé par son propriétaire devient un immeuble de placement qui sera comptabilisé à la juste valeur, l'entité doit appliquer </w:t>
      </w:r>
      <w:hyperlink r:id="rId7" w:history="1">
        <w:r>
          <w:rPr>
            <w:rStyle w:val="Lienhypertexte"/>
            <w:rFonts w:ascii="Arial" w:hAnsi="Arial" w:cs="Arial"/>
            <w:b/>
            <w:bCs/>
            <w:color w:val="006FBA"/>
            <w:sz w:val="21"/>
            <w:szCs w:val="21"/>
            <w:shd w:val="clear" w:color="auto" w:fill="FFFFFF"/>
          </w:rPr>
          <w:t>IAS 16</w:t>
        </w:r>
      </w:hyperlink>
      <w:r>
        <w:rPr>
          <w:rFonts w:ascii="Arial" w:hAnsi="Arial" w:cs="Arial"/>
          <w:b/>
          <w:bCs/>
          <w:color w:val="444444"/>
          <w:sz w:val="21"/>
          <w:szCs w:val="21"/>
          <w:shd w:val="clear" w:color="auto" w:fill="FFFFFF"/>
        </w:rPr>
        <w:t> s'il s'agit d'un bien immobilier détenu en propre, ou </w:t>
      </w:r>
      <w:hyperlink r:id="rId8" w:history="1">
        <w:r>
          <w:rPr>
            <w:rStyle w:val="Lienhypertexte"/>
            <w:rFonts w:ascii="Arial" w:hAnsi="Arial" w:cs="Arial"/>
            <w:b/>
            <w:bCs/>
            <w:color w:val="006FBA"/>
            <w:sz w:val="21"/>
            <w:szCs w:val="21"/>
            <w:shd w:val="clear" w:color="auto" w:fill="FFFFFF"/>
          </w:rPr>
          <w:t>IFRS 16</w:t>
        </w:r>
      </w:hyperlink>
      <w:r>
        <w:rPr>
          <w:rFonts w:ascii="Arial" w:hAnsi="Arial" w:cs="Arial"/>
          <w:b/>
          <w:bCs/>
          <w:color w:val="444444"/>
          <w:sz w:val="21"/>
          <w:szCs w:val="21"/>
          <w:shd w:val="clear" w:color="auto" w:fill="FFFFFF"/>
        </w:rPr>
        <w:t> s'il s'agit d'un bien immobilier détenu par un preneur en tant qu'actif au titre du droit d'utilisation, jusqu'à la date du changement d'utilisation. L'entité doit traiter toute différence à cette date entre la valeur comptable du bien immobilier selon IAS 16 ou IFRS 16 et sa juste valeur de la même manière qu'une réévaluation selon IAS 16.</w:t>
      </w:r>
    </w:p>
    <w:p w14:paraId="642BC0ED" w14:textId="77777777" w:rsidR="000D0C1B" w:rsidRDefault="000D0C1B" w:rsidP="000D0C1B">
      <w:pPr>
        <w:pStyle w:val="paragraphnumber"/>
        <w:shd w:val="clear" w:color="auto" w:fill="FFFFFF"/>
        <w:spacing w:before="65" w:beforeAutospacing="0" w:after="65" w:afterAutospacing="0"/>
        <w:ind w:left="785" w:hanging="653"/>
        <w:rPr>
          <w:rFonts w:ascii="Arial" w:hAnsi="Arial" w:cs="Arial"/>
          <w:color w:val="444444"/>
          <w:sz w:val="21"/>
          <w:szCs w:val="21"/>
        </w:rPr>
      </w:pPr>
      <w:r>
        <w:rPr>
          <w:rFonts w:ascii="Arial" w:hAnsi="Arial" w:cs="Arial"/>
          <w:color w:val="444444"/>
          <w:sz w:val="21"/>
          <w:szCs w:val="21"/>
        </w:rPr>
        <w:t>62      Jusqu'à la date à laquelle un bien immobilier occupé par son propriétaire devient un immeuble de placement comptabilisé à la juste valeur, l'entité amortit le bien immobilier (ou l'actif au titre du droit d'utilisation) et comptabilise toute perte de valeur qui est survenue. L'entité doit traiter toute différence à cette date entre la valeur comptable du bien immobilier selon </w:t>
      </w:r>
      <w:hyperlink r:id="rId9" w:history="1">
        <w:r>
          <w:rPr>
            <w:rStyle w:val="Lienhypertexte"/>
            <w:rFonts w:ascii="Arial" w:hAnsi="Arial" w:cs="Arial"/>
            <w:color w:val="006FBA"/>
            <w:sz w:val="21"/>
            <w:szCs w:val="21"/>
          </w:rPr>
          <w:t>IAS 16</w:t>
        </w:r>
      </w:hyperlink>
      <w:r>
        <w:rPr>
          <w:rFonts w:ascii="Arial" w:hAnsi="Arial" w:cs="Arial"/>
          <w:color w:val="444444"/>
          <w:sz w:val="21"/>
          <w:szCs w:val="21"/>
        </w:rPr>
        <w:t> ou </w:t>
      </w:r>
      <w:hyperlink r:id="rId10" w:history="1">
        <w:r>
          <w:rPr>
            <w:rStyle w:val="Lienhypertexte"/>
            <w:rFonts w:ascii="Arial" w:hAnsi="Arial" w:cs="Arial"/>
            <w:color w:val="006FBA"/>
            <w:sz w:val="21"/>
            <w:szCs w:val="21"/>
          </w:rPr>
          <w:t>IFRS 16</w:t>
        </w:r>
      </w:hyperlink>
      <w:r>
        <w:rPr>
          <w:rFonts w:ascii="Arial" w:hAnsi="Arial" w:cs="Arial"/>
          <w:color w:val="444444"/>
          <w:sz w:val="21"/>
          <w:szCs w:val="21"/>
        </w:rPr>
        <w:t> et sa juste valeur de la même manière qu'une réévaluation selon IAS 16. En d'autres termes :</w:t>
      </w:r>
    </w:p>
    <w:p w14:paraId="7D953B61" w14:textId="77777777" w:rsidR="000D0C1B" w:rsidRDefault="000D0C1B" w:rsidP="000D0C1B">
      <w:pPr>
        <w:pStyle w:val="bullet"/>
        <w:shd w:val="clear" w:color="auto" w:fill="FFFFFF"/>
        <w:spacing w:before="65" w:beforeAutospacing="0" w:after="65" w:afterAutospacing="0"/>
        <w:ind w:left="1488" w:hanging="684"/>
        <w:rPr>
          <w:rFonts w:ascii="Arial" w:hAnsi="Arial" w:cs="Arial"/>
          <w:color w:val="444444"/>
          <w:sz w:val="21"/>
          <w:szCs w:val="21"/>
        </w:rPr>
      </w:pPr>
      <w:bookmarkStart w:id="5" w:name="para_120"/>
      <w:bookmarkEnd w:id="5"/>
      <w:r>
        <w:rPr>
          <w:rFonts w:ascii="Arial" w:hAnsi="Arial" w:cs="Arial"/>
          <w:color w:val="444444"/>
          <w:sz w:val="21"/>
          <w:szCs w:val="21"/>
        </w:rPr>
        <w:t>(a)     toute diminution de la valeur comptable du bien qui en résulte est comptabilisée en résultat net. Cependant, dans la mesure où un montant est enregistré dans l'écart de réévaluation au titre dudit bien, la diminution est comptabilisée dans les autres éléments du résultat global et réduit l'écart de réévaluation dans les capitaux propres ;</w:t>
      </w:r>
    </w:p>
    <w:p w14:paraId="6113FF08" w14:textId="77777777" w:rsidR="000D0C1B" w:rsidRDefault="000D0C1B" w:rsidP="000D0C1B">
      <w:pPr>
        <w:pStyle w:val="bullet"/>
        <w:shd w:val="clear" w:color="auto" w:fill="FFFFFF"/>
        <w:spacing w:before="65" w:beforeAutospacing="0" w:after="65" w:afterAutospacing="0"/>
        <w:ind w:left="1488" w:hanging="684"/>
        <w:rPr>
          <w:rFonts w:ascii="Arial" w:hAnsi="Arial" w:cs="Arial"/>
          <w:color w:val="444444"/>
          <w:sz w:val="21"/>
          <w:szCs w:val="21"/>
        </w:rPr>
      </w:pPr>
      <w:bookmarkStart w:id="6" w:name="para_121"/>
      <w:bookmarkEnd w:id="6"/>
      <w:r>
        <w:rPr>
          <w:rFonts w:ascii="Arial" w:hAnsi="Arial" w:cs="Arial"/>
          <w:color w:val="444444"/>
          <w:sz w:val="21"/>
          <w:szCs w:val="21"/>
        </w:rPr>
        <w:t>(b)     toute augmentation de la valeur comptable en résultant est traitée comme suit :</w:t>
      </w:r>
    </w:p>
    <w:p w14:paraId="572BCD6A" w14:textId="77777777" w:rsidR="000D0C1B" w:rsidRDefault="000D0C1B" w:rsidP="000D0C1B">
      <w:pPr>
        <w:pStyle w:val="sub-bullet"/>
        <w:shd w:val="clear" w:color="auto" w:fill="FFFFFF"/>
        <w:spacing w:before="65" w:beforeAutospacing="0" w:after="65" w:afterAutospacing="0"/>
        <w:ind w:left="2124" w:hanging="624"/>
        <w:rPr>
          <w:rFonts w:ascii="Arial" w:hAnsi="Arial" w:cs="Arial"/>
          <w:color w:val="444444"/>
          <w:sz w:val="21"/>
          <w:szCs w:val="21"/>
        </w:rPr>
      </w:pPr>
      <w:bookmarkStart w:id="7" w:name="para_122"/>
      <w:bookmarkEnd w:id="7"/>
      <w:r>
        <w:rPr>
          <w:rFonts w:ascii="Arial" w:hAnsi="Arial" w:cs="Arial"/>
          <w:color w:val="444444"/>
          <w:sz w:val="21"/>
          <w:szCs w:val="21"/>
        </w:rPr>
        <w:t>(i)     dans la mesure où l'augmentation annule une perte de valeur antérieure pour ce bien, elle est comptabilisée en résultat net. Le montant comptabilisé en résultat net n'excède pas le montant nécessaire pour ramener la valeur comptable à la valeur comptable (diminuée des amortissements) qui aurait été déterminée si aucune perte de valeur n'avait été comptabilisée,</w:t>
      </w:r>
    </w:p>
    <w:p w14:paraId="467450D8" w14:textId="77777777" w:rsidR="000D0C1B" w:rsidRDefault="000D0C1B" w:rsidP="000D0C1B">
      <w:pPr>
        <w:pStyle w:val="sub-bullet"/>
        <w:shd w:val="clear" w:color="auto" w:fill="FFFFFF"/>
        <w:spacing w:before="65" w:beforeAutospacing="0" w:after="65" w:afterAutospacing="0"/>
        <w:ind w:left="2124" w:hanging="624"/>
        <w:rPr>
          <w:rFonts w:ascii="Arial" w:hAnsi="Arial" w:cs="Arial"/>
          <w:color w:val="444444"/>
          <w:sz w:val="21"/>
          <w:szCs w:val="21"/>
        </w:rPr>
      </w:pPr>
      <w:bookmarkStart w:id="8" w:name="para_123"/>
      <w:bookmarkEnd w:id="8"/>
      <w:r>
        <w:rPr>
          <w:rFonts w:ascii="Arial" w:hAnsi="Arial" w:cs="Arial"/>
          <w:color w:val="444444"/>
          <w:sz w:val="21"/>
          <w:szCs w:val="21"/>
        </w:rPr>
        <w:lastRenderedPageBreak/>
        <w:t>(ii)    tout solde de l'augmentation est comptabilisé dans les autres éléments du résultat global et augmente l'écart de réévaluation dans les capitaux propres. Lors de la sortie ultérieure de l'immeuble de placement, l'écart de réévaluation inclus dans les capitaux propres peut être transféré en résultats non distribués. Le transfert de la rubrique écart de réévaluation à la rubrique résultats non distribués ne s'effectue pas par le biais du résultat net.</w:t>
      </w:r>
    </w:p>
    <w:p w14:paraId="4FDE9D19" w14:textId="774E598A" w:rsidR="000D0C1B" w:rsidRDefault="000D0C1B" w:rsidP="00B74D40">
      <w:pPr>
        <w:rPr>
          <w:rFonts w:ascii="Arial" w:hAnsi="Arial" w:cs="Arial"/>
          <w:color w:val="444444"/>
          <w:sz w:val="21"/>
          <w:szCs w:val="21"/>
          <w:shd w:val="clear" w:color="auto" w:fill="FFFFFF"/>
          <w:lang w:val="fr-FR"/>
        </w:rPr>
      </w:pPr>
    </w:p>
    <w:p w14:paraId="13CDF2A1" w14:textId="7AFAD50D" w:rsidR="000D0C1B" w:rsidRDefault="000D0C1B" w:rsidP="00B74D40">
      <w:pPr>
        <w:rPr>
          <w:rFonts w:ascii="Arial" w:hAnsi="Arial" w:cs="Arial"/>
          <w:color w:val="444444"/>
          <w:sz w:val="21"/>
          <w:szCs w:val="21"/>
          <w:shd w:val="clear" w:color="auto" w:fill="FFFFFF"/>
          <w:lang w:val="fr-FR"/>
        </w:rPr>
      </w:pPr>
      <w:r>
        <w:rPr>
          <w:rFonts w:ascii="Arial" w:hAnsi="Arial" w:cs="Arial"/>
          <w:color w:val="444444"/>
          <w:sz w:val="21"/>
          <w:szCs w:val="21"/>
          <w:shd w:val="clear" w:color="auto" w:fill="FFFFFF"/>
          <w:lang w:val="fr-FR"/>
        </w:rPr>
        <w:t>Donc écart lors du changement de classification ira dans AERG.</w:t>
      </w:r>
    </w:p>
    <w:p w14:paraId="4F2A0EF3" w14:textId="77CC1010" w:rsidR="000D0C1B" w:rsidRDefault="000D0C1B" w:rsidP="000D0C1B">
      <w:pPr>
        <w:jc w:val="both"/>
      </w:pPr>
      <w:r>
        <w:t>La valeur comptable nette de l’immeuble est 1 200 000 $ au 30 septembre, sa juste valeur est 1 800 000 $ et faite l’hypothèse que la juste valeur de l’immeuble sera 1 900 000 $ au 31 décembre 20</w:t>
      </w:r>
      <w:r w:rsidR="00A022CD">
        <w:t>x3</w:t>
      </w:r>
      <w:r>
        <w:t>. Il s’agit du seul immeuble détenu par Grandeur.</w:t>
      </w:r>
    </w:p>
    <w:p w14:paraId="739D94BB" w14:textId="2CF2A444" w:rsidR="000D0C1B" w:rsidRDefault="000D0C1B" w:rsidP="000D0C1B">
      <w:pPr>
        <w:jc w:val="both"/>
      </w:pPr>
      <w:r>
        <w:t>Donc 600 000 $ à AERG au 30 septembre, et 100 000 $ au résultat net au 31 décembre</w:t>
      </w:r>
    </w:p>
    <w:p w14:paraId="739488BC" w14:textId="244E91CE" w:rsidR="005C1767" w:rsidRDefault="005C1767" w:rsidP="000D0C1B">
      <w:pPr>
        <w:jc w:val="both"/>
      </w:pPr>
    </w:p>
    <w:p w14:paraId="753C48E6" w14:textId="69229817" w:rsidR="005C1767" w:rsidRDefault="005C1767" w:rsidP="000D0C1B">
      <w:pPr>
        <w:jc w:val="both"/>
      </w:pPr>
      <w:r>
        <w:t>Lors transfert au 30 septembre :</w:t>
      </w:r>
    </w:p>
    <w:p w14:paraId="6F31AB01" w14:textId="7BAB1BA4" w:rsidR="005C1767" w:rsidRDefault="005C1767" w:rsidP="005C1767">
      <w:pPr>
        <w:spacing w:after="0" w:line="240" w:lineRule="auto"/>
        <w:jc w:val="both"/>
      </w:pPr>
      <w:r>
        <w:t>Immeuble – IAS 40</w:t>
      </w:r>
      <w:r>
        <w:tab/>
      </w:r>
      <w:r>
        <w:tab/>
        <w:t>1 800 000</w:t>
      </w:r>
    </w:p>
    <w:p w14:paraId="2314CC5C" w14:textId="59E445E3" w:rsidR="005C1767" w:rsidRDefault="005C1767" w:rsidP="005C1767">
      <w:pPr>
        <w:spacing w:after="0" w:line="240" w:lineRule="auto"/>
        <w:jc w:val="both"/>
      </w:pPr>
      <w:r>
        <w:t>@  Immeuble – IAS 16</w:t>
      </w:r>
      <w:r>
        <w:tab/>
      </w:r>
      <w:r>
        <w:tab/>
      </w:r>
      <w:r>
        <w:tab/>
        <w:t>1 200 000</w:t>
      </w:r>
    </w:p>
    <w:p w14:paraId="1DC27DF1" w14:textId="0D2CA7B2" w:rsidR="005C1767" w:rsidRDefault="005C1767" w:rsidP="000D0C1B">
      <w:pPr>
        <w:jc w:val="both"/>
      </w:pPr>
      <w:r>
        <w:t xml:space="preserve">      Gain – AERG</w:t>
      </w:r>
      <w:r>
        <w:tab/>
      </w:r>
      <w:r>
        <w:tab/>
      </w:r>
      <w:r>
        <w:tab/>
      </w:r>
      <w:r>
        <w:tab/>
        <w:t xml:space="preserve">   600 000</w:t>
      </w:r>
    </w:p>
    <w:p w14:paraId="052A1110" w14:textId="39DD4B89" w:rsidR="005C1767" w:rsidRDefault="005C1767" w:rsidP="000D0C1B">
      <w:pPr>
        <w:jc w:val="both"/>
      </w:pPr>
    </w:p>
    <w:p w14:paraId="79A78D80" w14:textId="5E6111C6" w:rsidR="005C1767" w:rsidRDefault="005C1767" w:rsidP="000D0C1B">
      <w:pPr>
        <w:jc w:val="both"/>
      </w:pPr>
      <w:r>
        <w:t>Au 31 décembre, application IAS 40 :</w:t>
      </w:r>
    </w:p>
    <w:p w14:paraId="4CF3D4C9" w14:textId="39D3EE8F" w:rsidR="005C1767" w:rsidRDefault="005C1767" w:rsidP="005C1767">
      <w:pPr>
        <w:spacing w:after="0"/>
        <w:jc w:val="both"/>
      </w:pPr>
      <w:r>
        <w:t>Immeuble – IAS 40</w:t>
      </w:r>
      <w:r>
        <w:tab/>
      </w:r>
      <w:r>
        <w:tab/>
        <w:t xml:space="preserve">   100 000</w:t>
      </w:r>
    </w:p>
    <w:p w14:paraId="1273C07D" w14:textId="44682DC0" w:rsidR="005C1767" w:rsidRDefault="005C1767" w:rsidP="000D0C1B">
      <w:pPr>
        <w:jc w:val="both"/>
      </w:pPr>
      <w:r>
        <w:t>@  Gain – RN</w:t>
      </w:r>
      <w:r>
        <w:tab/>
      </w:r>
      <w:r>
        <w:tab/>
      </w:r>
      <w:r>
        <w:tab/>
      </w:r>
      <w:r>
        <w:tab/>
        <w:t xml:space="preserve">   100 000</w:t>
      </w:r>
    </w:p>
    <w:p w14:paraId="03CC4970" w14:textId="77777777" w:rsidR="000D0C1B" w:rsidRDefault="000D0C1B" w:rsidP="00B74D40">
      <w:pPr>
        <w:rPr>
          <w:rFonts w:ascii="Arial" w:hAnsi="Arial" w:cs="Arial"/>
          <w:color w:val="444444"/>
          <w:sz w:val="21"/>
          <w:szCs w:val="21"/>
          <w:shd w:val="clear" w:color="auto" w:fill="FFFFFF"/>
          <w:lang w:val="fr-FR"/>
        </w:rPr>
      </w:pPr>
    </w:p>
    <w:p w14:paraId="75B173E8" w14:textId="77777777" w:rsidR="000D274E" w:rsidRDefault="000D274E" w:rsidP="00B74D40">
      <w:pPr>
        <w:rPr>
          <w:rFonts w:ascii="Arial" w:hAnsi="Arial" w:cs="Arial"/>
          <w:color w:val="444444"/>
          <w:sz w:val="21"/>
          <w:szCs w:val="21"/>
          <w:shd w:val="clear" w:color="auto" w:fill="FFFFFF"/>
          <w:lang w:val="fr-FR"/>
        </w:rPr>
      </w:pPr>
    </w:p>
    <w:p w14:paraId="78502E8B" w14:textId="77777777" w:rsidR="000D274E" w:rsidRPr="000D274E" w:rsidRDefault="000D274E" w:rsidP="00B74D40">
      <w:pPr>
        <w:rPr>
          <w:rFonts w:ascii="Arial" w:hAnsi="Arial" w:cs="Arial"/>
          <w:color w:val="444444"/>
          <w:sz w:val="21"/>
          <w:szCs w:val="21"/>
          <w:shd w:val="clear" w:color="auto" w:fill="FFFFFF"/>
          <w:lang w:val="fr-FR"/>
        </w:rPr>
      </w:pPr>
    </w:p>
    <w:p w14:paraId="67DBBEB2" w14:textId="77777777" w:rsidR="000D274E" w:rsidRPr="000D274E" w:rsidRDefault="000D274E" w:rsidP="00B74D40"/>
    <w:p w14:paraId="6FD7191B" w14:textId="77777777" w:rsidR="003C03BC" w:rsidRPr="009243BF" w:rsidRDefault="003C03BC">
      <w:pPr>
        <w:rPr>
          <w:iCs/>
        </w:rPr>
      </w:pPr>
    </w:p>
    <w:sectPr w:rsidR="003C03BC" w:rsidRPr="009243B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3BC"/>
    <w:rsid w:val="0004015C"/>
    <w:rsid w:val="000A1FB7"/>
    <w:rsid w:val="000C27EB"/>
    <w:rsid w:val="000D0C1B"/>
    <w:rsid w:val="000D274E"/>
    <w:rsid w:val="00372417"/>
    <w:rsid w:val="003C03BC"/>
    <w:rsid w:val="005C1767"/>
    <w:rsid w:val="006414B1"/>
    <w:rsid w:val="00686A73"/>
    <w:rsid w:val="007F2E5F"/>
    <w:rsid w:val="00803C93"/>
    <w:rsid w:val="008B591D"/>
    <w:rsid w:val="00906993"/>
    <w:rsid w:val="009243BF"/>
    <w:rsid w:val="00A022CD"/>
    <w:rsid w:val="00B74D40"/>
    <w:rsid w:val="00C77966"/>
    <w:rsid w:val="00D76CFB"/>
    <w:rsid w:val="00E31043"/>
    <w:rsid w:val="00EA388A"/>
    <w:rsid w:val="00F2311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F76BC"/>
  <w15:chartTrackingRefBased/>
  <w15:docId w15:val="{AF36A6EE-B709-4C09-84C2-FE9C0F895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ifrsheader2underline">
    <w:name w:val="ifrsheader2underline"/>
    <w:basedOn w:val="Normal"/>
    <w:rsid w:val="000D274E"/>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ifrsl6">
    <w:name w:val="ifrsl6"/>
    <w:basedOn w:val="Normal"/>
    <w:rsid w:val="000D274E"/>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ifrsparagraphbold">
    <w:name w:val="ifrsparagraphbold"/>
    <w:basedOn w:val="Normal"/>
    <w:rsid w:val="000D274E"/>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ienhypertexte">
    <w:name w:val="Hyperlink"/>
    <w:basedOn w:val="Policepardfaut"/>
    <w:uiPriority w:val="99"/>
    <w:semiHidden/>
    <w:unhideWhenUsed/>
    <w:rsid w:val="000D274E"/>
    <w:rPr>
      <w:color w:val="0000FF"/>
      <w:u w:val="single"/>
    </w:rPr>
  </w:style>
  <w:style w:type="paragraph" w:customStyle="1" w:styleId="paragraphnumber">
    <w:name w:val="paragraphnumber"/>
    <w:basedOn w:val="Normal"/>
    <w:rsid w:val="000D0C1B"/>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bullet">
    <w:name w:val="bullet"/>
    <w:basedOn w:val="Normal"/>
    <w:rsid w:val="000D0C1B"/>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sub-bullet">
    <w:name w:val="sub-bullet"/>
    <w:basedOn w:val="Normal"/>
    <w:rsid w:val="000D0C1B"/>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58093">
      <w:bodyDiv w:val="1"/>
      <w:marLeft w:val="0"/>
      <w:marRight w:val="0"/>
      <w:marTop w:val="0"/>
      <w:marBottom w:val="0"/>
      <w:divBdr>
        <w:top w:val="none" w:sz="0" w:space="0" w:color="auto"/>
        <w:left w:val="none" w:sz="0" w:space="0" w:color="auto"/>
        <w:bottom w:val="none" w:sz="0" w:space="0" w:color="auto"/>
        <w:right w:val="none" w:sz="0" w:space="0" w:color="auto"/>
      </w:divBdr>
      <w:divsChild>
        <w:div w:id="1983001297">
          <w:marLeft w:val="0"/>
          <w:marRight w:val="0"/>
          <w:marTop w:val="0"/>
          <w:marBottom w:val="0"/>
          <w:divBdr>
            <w:top w:val="none" w:sz="0" w:space="0" w:color="auto"/>
            <w:left w:val="none" w:sz="0" w:space="0" w:color="auto"/>
            <w:bottom w:val="none" w:sz="0" w:space="0" w:color="auto"/>
            <w:right w:val="none" w:sz="0" w:space="0" w:color="auto"/>
          </w:divBdr>
        </w:div>
        <w:div w:id="12416863">
          <w:marLeft w:val="0"/>
          <w:marRight w:val="0"/>
          <w:marTop w:val="0"/>
          <w:marBottom w:val="0"/>
          <w:divBdr>
            <w:top w:val="none" w:sz="0" w:space="0" w:color="auto"/>
            <w:left w:val="none" w:sz="0" w:space="0" w:color="auto"/>
            <w:bottom w:val="none" w:sz="0" w:space="0" w:color="auto"/>
            <w:right w:val="none" w:sz="0" w:space="0" w:color="auto"/>
          </w:divBdr>
        </w:div>
        <w:div w:id="484930505">
          <w:marLeft w:val="0"/>
          <w:marRight w:val="0"/>
          <w:marTop w:val="0"/>
          <w:marBottom w:val="0"/>
          <w:divBdr>
            <w:top w:val="none" w:sz="0" w:space="0" w:color="auto"/>
            <w:left w:val="none" w:sz="0" w:space="0" w:color="auto"/>
            <w:bottom w:val="none" w:sz="0" w:space="0" w:color="auto"/>
            <w:right w:val="none" w:sz="0" w:space="0" w:color="auto"/>
          </w:divBdr>
        </w:div>
      </w:divsChild>
    </w:div>
    <w:div w:id="162358814">
      <w:bodyDiv w:val="1"/>
      <w:marLeft w:val="0"/>
      <w:marRight w:val="0"/>
      <w:marTop w:val="0"/>
      <w:marBottom w:val="0"/>
      <w:divBdr>
        <w:top w:val="none" w:sz="0" w:space="0" w:color="auto"/>
        <w:left w:val="none" w:sz="0" w:space="0" w:color="auto"/>
        <w:bottom w:val="none" w:sz="0" w:space="0" w:color="auto"/>
        <w:right w:val="none" w:sz="0" w:space="0" w:color="auto"/>
      </w:divBdr>
    </w:div>
    <w:div w:id="324012351">
      <w:bodyDiv w:val="1"/>
      <w:marLeft w:val="0"/>
      <w:marRight w:val="0"/>
      <w:marTop w:val="0"/>
      <w:marBottom w:val="0"/>
      <w:divBdr>
        <w:top w:val="none" w:sz="0" w:space="0" w:color="auto"/>
        <w:left w:val="none" w:sz="0" w:space="0" w:color="auto"/>
        <w:bottom w:val="none" w:sz="0" w:space="0" w:color="auto"/>
        <w:right w:val="none" w:sz="0" w:space="0" w:color="auto"/>
      </w:divBdr>
      <w:divsChild>
        <w:div w:id="1306160369">
          <w:marLeft w:val="0"/>
          <w:marRight w:val="0"/>
          <w:marTop w:val="0"/>
          <w:marBottom w:val="0"/>
          <w:divBdr>
            <w:top w:val="none" w:sz="0" w:space="0" w:color="auto"/>
            <w:left w:val="none" w:sz="0" w:space="0" w:color="auto"/>
            <w:bottom w:val="none" w:sz="0" w:space="0" w:color="auto"/>
            <w:right w:val="none" w:sz="0" w:space="0" w:color="auto"/>
          </w:divBdr>
        </w:div>
        <w:div w:id="1930696091">
          <w:marLeft w:val="0"/>
          <w:marRight w:val="0"/>
          <w:marTop w:val="0"/>
          <w:marBottom w:val="0"/>
          <w:divBdr>
            <w:top w:val="none" w:sz="0" w:space="0" w:color="auto"/>
            <w:left w:val="none" w:sz="0" w:space="0" w:color="auto"/>
            <w:bottom w:val="none" w:sz="0" w:space="0" w:color="auto"/>
            <w:right w:val="none" w:sz="0" w:space="0" w:color="auto"/>
          </w:divBdr>
        </w:div>
        <w:div w:id="1920558321">
          <w:marLeft w:val="0"/>
          <w:marRight w:val="0"/>
          <w:marTop w:val="0"/>
          <w:marBottom w:val="0"/>
          <w:divBdr>
            <w:top w:val="none" w:sz="0" w:space="0" w:color="auto"/>
            <w:left w:val="none" w:sz="0" w:space="0" w:color="auto"/>
            <w:bottom w:val="none" w:sz="0" w:space="0" w:color="auto"/>
            <w:right w:val="none" w:sz="0" w:space="0" w:color="auto"/>
          </w:divBdr>
        </w:div>
        <w:div w:id="656539778">
          <w:marLeft w:val="0"/>
          <w:marRight w:val="0"/>
          <w:marTop w:val="0"/>
          <w:marBottom w:val="0"/>
          <w:divBdr>
            <w:top w:val="none" w:sz="0" w:space="0" w:color="auto"/>
            <w:left w:val="none" w:sz="0" w:space="0" w:color="auto"/>
            <w:bottom w:val="none" w:sz="0" w:space="0" w:color="auto"/>
            <w:right w:val="none" w:sz="0" w:space="0" w:color="auto"/>
          </w:divBdr>
        </w:div>
        <w:div w:id="1953778477">
          <w:marLeft w:val="0"/>
          <w:marRight w:val="0"/>
          <w:marTop w:val="0"/>
          <w:marBottom w:val="0"/>
          <w:divBdr>
            <w:top w:val="none" w:sz="0" w:space="0" w:color="auto"/>
            <w:left w:val="none" w:sz="0" w:space="0" w:color="auto"/>
            <w:bottom w:val="none" w:sz="0" w:space="0" w:color="auto"/>
            <w:right w:val="none" w:sz="0" w:space="0" w:color="auto"/>
          </w:divBdr>
        </w:div>
      </w:divsChild>
    </w:div>
    <w:div w:id="1142187542">
      <w:bodyDiv w:val="1"/>
      <w:marLeft w:val="0"/>
      <w:marRight w:val="0"/>
      <w:marTop w:val="0"/>
      <w:marBottom w:val="0"/>
      <w:divBdr>
        <w:top w:val="none" w:sz="0" w:space="0" w:color="auto"/>
        <w:left w:val="none" w:sz="0" w:space="0" w:color="auto"/>
        <w:bottom w:val="none" w:sz="0" w:space="0" w:color="auto"/>
        <w:right w:val="none" w:sz="0" w:space="0" w:color="auto"/>
      </w:divBdr>
    </w:div>
    <w:div w:id="1379351703">
      <w:bodyDiv w:val="1"/>
      <w:marLeft w:val="0"/>
      <w:marRight w:val="0"/>
      <w:marTop w:val="0"/>
      <w:marBottom w:val="0"/>
      <w:divBdr>
        <w:top w:val="none" w:sz="0" w:space="0" w:color="auto"/>
        <w:left w:val="none" w:sz="0" w:space="0" w:color="auto"/>
        <w:bottom w:val="none" w:sz="0" w:space="0" w:color="auto"/>
        <w:right w:val="none" w:sz="0" w:space="0" w:color="auto"/>
      </w:divBdr>
    </w:div>
    <w:div w:id="1424689413">
      <w:bodyDiv w:val="1"/>
      <w:marLeft w:val="0"/>
      <w:marRight w:val="0"/>
      <w:marTop w:val="0"/>
      <w:marBottom w:val="0"/>
      <w:divBdr>
        <w:top w:val="none" w:sz="0" w:space="0" w:color="auto"/>
        <w:left w:val="none" w:sz="0" w:space="0" w:color="auto"/>
        <w:bottom w:val="none" w:sz="0" w:space="0" w:color="auto"/>
        <w:right w:val="none" w:sz="0" w:space="0" w:color="auto"/>
      </w:divBdr>
    </w:div>
    <w:div w:id="194387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document.k5doc.loadDocumentByGotoString(114,%20'IFRS%2016',%200,%20null,%20false,%20200830918)" TargetMode="External"/><Relationship Id="rId3" Type="http://schemas.openxmlformats.org/officeDocument/2006/relationships/webSettings" Target="webSettings.xml"/><Relationship Id="rId7" Type="http://schemas.openxmlformats.org/officeDocument/2006/relationships/hyperlink" Target="javascript:document.k5doc.loadDocumentByGotoString(114,%20'IAS%2016',%200,%20null,%20false,%20200830918)"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du-knotia-ca.proxy2.hec.ca/Knowledge/Home.aspx?productID=114" TargetMode="External"/><Relationship Id="rId11" Type="http://schemas.openxmlformats.org/officeDocument/2006/relationships/fontTable" Target="fontTable.xml"/><Relationship Id="rId5" Type="http://schemas.openxmlformats.org/officeDocument/2006/relationships/hyperlink" Target="https://edu-knotia-ca.proxy2.hec.ca/Knowledge/Home.aspx?productID=114" TargetMode="External"/><Relationship Id="rId10" Type="http://schemas.openxmlformats.org/officeDocument/2006/relationships/hyperlink" Target="https://edu-knotia-ca.proxy2.hec.ca/Knowledge/Home.aspx?productID=114" TargetMode="External"/><Relationship Id="rId4" Type="http://schemas.openxmlformats.org/officeDocument/2006/relationships/hyperlink" Target="https://edu-knotia-ca.proxy2.hec.ca/Knowledge/Home.aspx?productID=114" TargetMode="External"/><Relationship Id="rId9" Type="http://schemas.openxmlformats.org/officeDocument/2006/relationships/hyperlink" Target="https://edu-knotia-ca.proxy2.hec.ca/Knowledge/Home.aspx?productID=11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1040</Words>
  <Characters>5723</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HEC Montréal</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overbeek</dc:creator>
  <cp:keywords/>
  <dc:description/>
  <cp:lastModifiedBy>Louise Overbeek</cp:lastModifiedBy>
  <cp:revision>11</cp:revision>
  <cp:lastPrinted>2018-08-29T12:58:00Z</cp:lastPrinted>
  <dcterms:created xsi:type="dcterms:W3CDTF">2020-09-20T18:06:00Z</dcterms:created>
  <dcterms:modified xsi:type="dcterms:W3CDTF">2023-09-17T23:19:00Z</dcterms:modified>
</cp:coreProperties>
</file>