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B016" w14:textId="03516A81" w:rsidR="00792E14" w:rsidRPr="007D6983" w:rsidRDefault="007D6983" w:rsidP="007D6983">
      <w:pPr>
        <w:jc w:val="center"/>
        <w:rPr>
          <w:rFonts w:ascii="Times New Roman" w:hAnsi="Times New Roman" w:cs="Times New Roman"/>
          <w:b/>
          <w:bCs/>
          <w:sz w:val="36"/>
          <w:szCs w:val="36"/>
        </w:rPr>
      </w:pPr>
      <w:proofErr w:type="spellStart"/>
      <w:r w:rsidRPr="007D6983">
        <w:rPr>
          <w:rFonts w:ascii="Times New Roman" w:hAnsi="Times New Roman" w:cs="Times New Roman"/>
          <w:b/>
          <w:bCs/>
          <w:sz w:val="36"/>
          <w:szCs w:val="36"/>
        </w:rPr>
        <w:t>Electronic</w:t>
      </w:r>
      <w:proofErr w:type="spellEnd"/>
      <w:r w:rsidRPr="007D6983">
        <w:rPr>
          <w:rFonts w:ascii="Times New Roman" w:hAnsi="Times New Roman" w:cs="Times New Roman"/>
          <w:b/>
          <w:bCs/>
          <w:sz w:val="36"/>
          <w:szCs w:val="36"/>
        </w:rPr>
        <w:t xml:space="preserve"> Games </w:t>
      </w:r>
      <w:proofErr w:type="spellStart"/>
      <w:r w:rsidRPr="007D6983">
        <w:rPr>
          <w:rFonts w:ascii="Times New Roman" w:hAnsi="Times New Roman" w:cs="Times New Roman"/>
          <w:b/>
          <w:bCs/>
          <w:sz w:val="36"/>
          <w:szCs w:val="36"/>
        </w:rPr>
        <w:t>inc.</w:t>
      </w:r>
      <w:proofErr w:type="spellEnd"/>
    </w:p>
    <w:p w14:paraId="7F65E914" w14:textId="0479AFA8" w:rsidR="000B047E" w:rsidRDefault="000B047E" w:rsidP="005A6EA4">
      <w:pPr>
        <w:jc w:val="both"/>
        <w:rPr>
          <w:rFonts w:ascii="Times New Roman" w:hAnsi="Times New Roman" w:cs="Times New Roman"/>
          <w:b/>
          <w:bCs/>
          <w:sz w:val="24"/>
          <w:szCs w:val="24"/>
        </w:rPr>
      </w:pPr>
      <w:r>
        <w:rPr>
          <w:rFonts w:ascii="Times New Roman" w:hAnsi="Times New Roman" w:cs="Times New Roman"/>
          <w:b/>
          <w:bCs/>
          <w:sz w:val="24"/>
          <w:szCs w:val="24"/>
        </w:rPr>
        <w:t>Partie A</w:t>
      </w:r>
    </w:p>
    <w:p w14:paraId="1F9EFBF3" w14:textId="2F3EB7CA" w:rsidR="007D6983" w:rsidRPr="007D6983" w:rsidRDefault="007D6983" w:rsidP="005A6EA4">
      <w:pPr>
        <w:jc w:val="both"/>
        <w:rPr>
          <w:rFonts w:ascii="Times New Roman" w:hAnsi="Times New Roman" w:cs="Times New Roman"/>
          <w:sz w:val="24"/>
          <w:szCs w:val="24"/>
        </w:rPr>
      </w:pPr>
      <w:r w:rsidRPr="007D6983">
        <w:rPr>
          <w:rFonts w:ascii="Times New Roman" w:hAnsi="Times New Roman" w:cs="Times New Roman"/>
          <w:b/>
          <w:bCs/>
          <w:sz w:val="24"/>
          <w:szCs w:val="24"/>
        </w:rPr>
        <w:t>À :</w:t>
      </w:r>
      <w:r w:rsidRPr="007D6983">
        <w:rPr>
          <w:rFonts w:ascii="Times New Roman" w:hAnsi="Times New Roman" w:cs="Times New Roman"/>
          <w:sz w:val="24"/>
          <w:szCs w:val="24"/>
        </w:rPr>
        <w:t xml:space="preserve"> Mathieu Lefebvre</w:t>
      </w:r>
      <w:r w:rsidR="00731A2F">
        <w:rPr>
          <w:rFonts w:ascii="Times New Roman" w:hAnsi="Times New Roman" w:cs="Times New Roman"/>
          <w:sz w:val="24"/>
          <w:szCs w:val="24"/>
        </w:rPr>
        <w:t xml:space="preserve"> </w:t>
      </w:r>
    </w:p>
    <w:p w14:paraId="3B6A0C05" w14:textId="35C46206" w:rsidR="007D6983" w:rsidRPr="007D6983" w:rsidRDefault="007D6983" w:rsidP="005A6EA4">
      <w:pPr>
        <w:jc w:val="both"/>
        <w:rPr>
          <w:rFonts w:ascii="Times New Roman" w:hAnsi="Times New Roman" w:cs="Times New Roman"/>
          <w:sz w:val="24"/>
          <w:szCs w:val="24"/>
        </w:rPr>
      </w:pPr>
      <w:r w:rsidRPr="007D6983">
        <w:rPr>
          <w:rFonts w:ascii="Times New Roman" w:hAnsi="Times New Roman" w:cs="Times New Roman"/>
          <w:b/>
          <w:bCs/>
          <w:sz w:val="24"/>
          <w:szCs w:val="24"/>
        </w:rPr>
        <w:t>De :</w:t>
      </w:r>
      <w:r w:rsidRPr="007D6983">
        <w:rPr>
          <w:rFonts w:ascii="Times New Roman" w:hAnsi="Times New Roman" w:cs="Times New Roman"/>
          <w:sz w:val="24"/>
          <w:szCs w:val="24"/>
        </w:rPr>
        <w:t xml:space="preserve"> contrôleur </w:t>
      </w:r>
    </w:p>
    <w:p w14:paraId="16F8DBEA" w14:textId="13246C84" w:rsidR="007D6983" w:rsidRPr="007D6983" w:rsidRDefault="007D6983" w:rsidP="005A6EA4">
      <w:pPr>
        <w:jc w:val="both"/>
        <w:rPr>
          <w:rFonts w:ascii="Times New Roman" w:hAnsi="Times New Roman" w:cs="Times New Roman"/>
          <w:sz w:val="24"/>
          <w:szCs w:val="24"/>
        </w:rPr>
      </w:pPr>
      <w:r w:rsidRPr="007D6983">
        <w:rPr>
          <w:rFonts w:ascii="Times New Roman" w:hAnsi="Times New Roman" w:cs="Times New Roman"/>
          <w:b/>
          <w:bCs/>
          <w:sz w:val="24"/>
          <w:szCs w:val="24"/>
        </w:rPr>
        <w:t>Objet :</w:t>
      </w:r>
      <w:r w:rsidRPr="007D6983">
        <w:rPr>
          <w:rFonts w:ascii="Times New Roman" w:hAnsi="Times New Roman" w:cs="Times New Roman"/>
          <w:sz w:val="24"/>
          <w:szCs w:val="24"/>
        </w:rPr>
        <w:t xml:space="preserve"> le présent rapport portera sur</w:t>
      </w:r>
    </w:p>
    <w:p w14:paraId="1457FC29" w14:textId="2D660272" w:rsidR="007D6983" w:rsidRDefault="007D6983" w:rsidP="005A6EA4">
      <w:pPr>
        <w:pStyle w:val="Paragraphedeliste"/>
        <w:numPr>
          <w:ilvl w:val="0"/>
          <w:numId w:val="1"/>
        </w:numPr>
        <w:jc w:val="both"/>
        <w:rPr>
          <w:rFonts w:ascii="Times New Roman" w:hAnsi="Times New Roman" w:cs="Times New Roman"/>
          <w:sz w:val="24"/>
          <w:szCs w:val="24"/>
        </w:rPr>
      </w:pPr>
      <w:bookmarkStart w:id="0" w:name="_Hlk97897530"/>
      <w:bookmarkStart w:id="1" w:name="_Hlk97897276"/>
      <w:r w:rsidRPr="007D6983">
        <w:rPr>
          <w:rFonts w:ascii="Times New Roman" w:hAnsi="Times New Roman" w:cs="Times New Roman"/>
          <w:sz w:val="24"/>
          <w:szCs w:val="24"/>
        </w:rPr>
        <w:t>Comptabilisation du regroupement d’EAI en date d’acquisition</w:t>
      </w:r>
    </w:p>
    <w:p w14:paraId="3D789E2A" w14:textId="48B627A8" w:rsidR="001474E1" w:rsidRDefault="001474E1" w:rsidP="005A6EA4">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Préparer les états financiers consolidés</w:t>
      </w:r>
    </w:p>
    <w:p w14:paraId="65874A36" w14:textId="77777777" w:rsidR="001474E1" w:rsidRDefault="007D6983" w:rsidP="005A6EA4">
      <w:pPr>
        <w:pStyle w:val="Paragraphedeliste"/>
        <w:numPr>
          <w:ilvl w:val="0"/>
          <w:numId w:val="1"/>
        </w:numPr>
        <w:jc w:val="both"/>
        <w:rPr>
          <w:rFonts w:ascii="Times New Roman" w:hAnsi="Times New Roman" w:cs="Times New Roman"/>
          <w:sz w:val="24"/>
          <w:szCs w:val="24"/>
        </w:rPr>
      </w:pPr>
      <w:r w:rsidRPr="007D6983">
        <w:rPr>
          <w:rFonts w:ascii="Times New Roman" w:hAnsi="Times New Roman" w:cs="Times New Roman"/>
          <w:sz w:val="24"/>
          <w:szCs w:val="24"/>
        </w:rPr>
        <w:t>Comptabilisation de la participation de PI</w:t>
      </w:r>
      <w:bookmarkEnd w:id="0"/>
    </w:p>
    <w:bookmarkEnd w:id="1"/>
    <w:p w14:paraId="6CB964FC" w14:textId="1F64191A" w:rsidR="007D6983" w:rsidRPr="007D6983" w:rsidRDefault="007D6983" w:rsidP="005A6EA4">
      <w:pPr>
        <w:jc w:val="both"/>
        <w:rPr>
          <w:rFonts w:ascii="Times New Roman" w:hAnsi="Times New Roman" w:cs="Times New Roman"/>
          <w:sz w:val="24"/>
          <w:szCs w:val="24"/>
        </w:rPr>
      </w:pPr>
      <w:r w:rsidRPr="007D6983">
        <w:rPr>
          <w:rFonts w:ascii="Times New Roman" w:hAnsi="Times New Roman" w:cs="Times New Roman"/>
          <w:sz w:val="24"/>
          <w:szCs w:val="24"/>
        </w:rPr>
        <w:br w:type="page"/>
      </w:r>
    </w:p>
    <w:p w14:paraId="32A948ED" w14:textId="376484A4" w:rsidR="007D6983" w:rsidRDefault="007D6983" w:rsidP="005A6EA4">
      <w:pPr>
        <w:pStyle w:val="Paragraphedeliste"/>
        <w:numPr>
          <w:ilvl w:val="0"/>
          <w:numId w:val="2"/>
        </w:numPr>
        <w:jc w:val="both"/>
        <w:rPr>
          <w:rFonts w:ascii="Times New Roman" w:hAnsi="Times New Roman" w:cs="Times New Roman"/>
          <w:b/>
          <w:bCs/>
          <w:sz w:val="24"/>
          <w:szCs w:val="24"/>
        </w:rPr>
      </w:pPr>
      <w:r w:rsidRPr="007D6983">
        <w:rPr>
          <w:rFonts w:ascii="Times New Roman" w:hAnsi="Times New Roman" w:cs="Times New Roman"/>
          <w:b/>
          <w:bCs/>
          <w:sz w:val="24"/>
          <w:szCs w:val="24"/>
        </w:rPr>
        <w:lastRenderedPageBreak/>
        <w:t>Comptabilisation du regroupement d’EAI en date d’acquisition</w:t>
      </w:r>
    </w:p>
    <w:p w14:paraId="26416949" w14:textId="77777777" w:rsidR="0002580A" w:rsidRPr="007D6983" w:rsidRDefault="0002580A" w:rsidP="0002580A">
      <w:pPr>
        <w:pStyle w:val="Paragraphedeliste"/>
        <w:jc w:val="both"/>
        <w:rPr>
          <w:rFonts w:ascii="Times New Roman" w:hAnsi="Times New Roman" w:cs="Times New Roman"/>
          <w:b/>
          <w:bCs/>
          <w:sz w:val="24"/>
          <w:szCs w:val="24"/>
        </w:rPr>
      </w:pPr>
    </w:p>
    <w:p w14:paraId="52771548" w14:textId="3670E9F7" w:rsidR="00AF422F" w:rsidRDefault="00AF422F" w:rsidP="005A6EA4">
      <w:pPr>
        <w:jc w:val="both"/>
        <w:rPr>
          <w:rFonts w:ascii="Times New Roman" w:hAnsi="Times New Roman" w:cs="Times New Roman"/>
          <w:sz w:val="24"/>
          <w:szCs w:val="24"/>
        </w:rPr>
      </w:pPr>
      <w:r w:rsidRPr="00AF422F">
        <w:rPr>
          <w:rFonts w:ascii="Times New Roman" w:hAnsi="Times New Roman" w:cs="Times New Roman"/>
          <w:b/>
          <w:bCs/>
          <w:sz w:val="24"/>
          <w:szCs w:val="24"/>
        </w:rPr>
        <w:t>Question :</w:t>
      </w:r>
      <w:r>
        <w:rPr>
          <w:rFonts w:ascii="Times New Roman" w:hAnsi="Times New Roman" w:cs="Times New Roman"/>
          <w:sz w:val="24"/>
          <w:szCs w:val="24"/>
        </w:rPr>
        <w:t xml:space="preserve"> comment faut-il comptabiliser le regroupement d’EAI en date de l’acquisition dans les états financiers individuels d’EGI?</w:t>
      </w:r>
    </w:p>
    <w:p w14:paraId="24CC7768" w14:textId="77777777" w:rsidR="0002580A" w:rsidRDefault="0002580A" w:rsidP="005A6EA4">
      <w:pPr>
        <w:jc w:val="both"/>
        <w:rPr>
          <w:rFonts w:ascii="Times New Roman" w:hAnsi="Times New Roman" w:cs="Times New Roman"/>
          <w:sz w:val="24"/>
          <w:szCs w:val="24"/>
        </w:rPr>
      </w:pPr>
    </w:p>
    <w:p w14:paraId="24735174" w14:textId="033563B8" w:rsidR="00AF422F" w:rsidRPr="00AF422F" w:rsidRDefault="00AF422F" w:rsidP="005A6EA4">
      <w:pPr>
        <w:jc w:val="both"/>
        <w:rPr>
          <w:rFonts w:ascii="Times New Roman" w:hAnsi="Times New Roman" w:cs="Times New Roman"/>
          <w:b/>
          <w:bCs/>
          <w:sz w:val="24"/>
          <w:szCs w:val="24"/>
        </w:rPr>
      </w:pPr>
      <w:r w:rsidRPr="00AF422F">
        <w:rPr>
          <w:rFonts w:ascii="Times New Roman" w:hAnsi="Times New Roman" w:cs="Times New Roman"/>
          <w:b/>
          <w:bCs/>
          <w:sz w:val="24"/>
          <w:szCs w:val="24"/>
        </w:rPr>
        <w:t>Norme et analyse :</w:t>
      </w:r>
    </w:p>
    <w:p w14:paraId="6E4849AE" w14:textId="02BFBF40" w:rsidR="007D6983" w:rsidRDefault="007D6983" w:rsidP="005A6EA4">
      <w:pPr>
        <w:jc w:val="both"/>
        <w:rPr>
          <w:rFonts w:ascii="Times New Roman" w:hAnsi="Times New Roman" w:cs="Times New Roman"/>
          <w:sz w:val="24"/>
          <w:szCs w:val="24"/>
        </w:rPr>
      </w:pPr>
      <w:r>
        <w:rPr>
          <w:rFonts w:ascii="Times New Roman" w:hAnsi="Times New Roman" w:cs="Times New Roman"/>
          <w:sz w:val="24"/>
          <w:szCs w:val="24"/>
        </w:rPr>
        <w:t>Avant de préparer l</w:t>
      </w:r>
      <w:r w:rsidR="006932AD">
        <w:rPr>
          <w:rFonts w:ascii="Times New Roman" w:hAnsi="Times New Roman" w:cs="Times New Roman"/>
          <w:sz w:val="24"/>
          <w:szCs w:val="24"/>
        </w:rPr>
        <w:t xml:space="preserve">’état de la situation financière </w:t>
      </w:r>
      <w:r>
        <w:rPr>
          <w:rFonts w:ascii="Times New Roman" w:hAnsi="Times New Roman" w:cs="Times New Roman"/>
          <w:sz w:val="24"/>
          <w:szCs w:val="24"/>
        </w:rPr>
        <w:t>consolidé EGI au 3</w:t>
      </w:r>
      <w:r w:rsidR="009E60E9">
        <w:rPr>
          <w:rFonts w:ascii="Times New Roman" w:hAnsi="Times New Roman" w:cs="Times New Roman"/>
          <w:sz w:val="24"/>
          <w:szCs w:val="24"/>
        </w:rPr>
        <w:t>1</w:t>
      </w:r>
      <w:r>
        <w:rPr>
          <w:rFonts w:ascii="Times New Roman" w:hAnsi="Times New Roman" w:cs="Times New Roman"/>
          <w:sz w:val="24"/>
          <w:szCs w:val="24"/>
        </w:rPr>
        <w:t xml:space="preserve"> </w:t>
      </w:r>
      <w:r w:rsidR="00CE4565">
        <w:rPr>
          <w:rFonts w:ascii="Times New Roman" w:hAnsi="Times New Roman" w:cs="Times New Roman"/>
          <w:sz w:val="24"/>
          <w:szCs w:val="24"/>
        </w:rPr>
        <w:t xml:space="preserve">décembre </w:t>
      </w:r>
      <w:r>
        <w:rPr>
          <w:rFonts w:ascii="Times New Roman" w:hAnsi="Times New Roman" w:cs="Times New Roman"/>
          <w:sz w:val="24"/>
          <w:szCs w:val="24"/>
        </w:rPr>
        <w:t>202</w:t>
      </w:r>
      <w:r w:rsidR="006932AD">
        <w:rPr>
          <w:rFonts w:ascii="Times New Roman" w:hAnsi="Times New Roman" w:cs="Times New Roman"/>
          <w:sz w:val="24"/>
          <w:szCs w:val="24"/>
        </w:rPr>
        <w:t>5</w:t>
      </w:r>
      <w:r>
        <w:rPr>
          <w:rFonts w:ascii="Times New Roman" w:hAnsi="Times New Roman" w:cs="Times New Roman"/>
          <w:sz w:val="24"/>
          <w:szCs w:val="24"/>
        </w:rPr>
        <w:t>, il faut comptabiliser le regroupement d’entreprise</w:t>
      </w:r>
      <w:r w:rsidR="00C850FD">
        <w:rPr>
          <w:rFonts w:ascii="Times New Roman" w:hAnsi="Times New Roman" w:cs="Times New Roman"/>
          <w:sz w:val="24"/>
          <w:szCs w:val="24"/>
        </w:rPr>
        <w:t>s</w:t>
      </w:r>
      <w:r w:rsidR="003F3B15">
        <w:rPr>
          <w:rFonts w:ascii="Times New Roman" w:hAnsi="Times New Roman" w:cs="Times New Roman"/>
          <w:sz w:val="24"/>
          <w:szCs w:val="24"/>
        </w:rPr>
        <w:t xml:space="preserve"> selon la méthode de l’acquisition décrite dans IFRS 3. </w:t>
      </w:r>
    </w:p>
    <w:p w14:paraId="4CBF39CC" w14:textId="426227ED" w:rsidR="0002580A" w:rsidRDefault="00884801" w:rsidP="005A6EA4">
      <w:pPr>
        <w:jc w:val="both"/>
        <w:rPr>
          <w:rFonts w:ascii="Times New Roman" w:hAnsi="Times New Roman" w:cs="Times New Roman"/>
          <w:sz w:val="24"/>
          <w:szCs w:val="24"/>
        </w:rPr>
      </w:pPr>
      <w:r>
        <w:rPr>
          <w:rFonts w:ascii="Times New Roman" w:hAnsi="Times New Roman" w:cs="Times New Roman"/>
          <w:sz w:val="24"/>
          <w:szCs w:val="24"/>
        </w:rPr>
        <w:t>Selon IFRS 3,</w:t>
      </w:r>
    </w:p>
    <w:p w14:paraId="282AFF06" w14:textId="7715E61F" w:rsidR="007D6983" w:rsidRPr="00884801" w:rsidRDefault="007D6983" w:rsidP="005A6EA4">
      <w:pPr>
        <w:jc w:val="both"/>
        <w:rPr>
          <w:rFonts w:ascii="Times New Roman" w:hAnsi="Times New Roman" w:cs="Times New Roman"/>
          <w:sz w:val="24"/>
          <w:szCs w:val="24"/>
          <w:u w:val="single"/>
        </w:rPr>
      </w:pPr>
      <w:r w:rsidRPr="00884801">
        <w:rPr>
          <w:rFonts w:ascii="Times New Roman" w:hAnsi="Times New Roman" w:cs="Times New Roman"/>
          <w:sz w:val="24"/>
          <w:szCs w:val="24"/>
          <w:u w:val="single"/>
        </w:rPr>
        <w:t xml:space="preserve">Étape 1 : </w:t>
      </w:r>
      <w:r w:rsidR="006B1ADB" w:rsidRPr="00884801">
        <w:rPr>
          <w:rFonts w:ascii="Times New Roman" w:hAnsi="Times New Roman" w:cs="Times New Roman"/>
          <w:sz w:val="24"/>
          <w:szCs w:val="24"/>
          <w:u w:val="single"/>
        </w:rPr>
        <w:t>identifier l’acquéreur</w:t>
      </w:r>
    </w:p>
    <w:p w14:paraId="1A93C135" w14:textId="2378D20A" w:rsidR="006B1ADB" w:rsidRPr="00884801" w:rsidRDefault="00884801" w:rsidP="005A6EA4">
      <w:pPr>
        <w:jc w:val="both"/>
        <w:rPr>
          <w:rFonts w:ascii="Times New Roman" w:hAnsi="Times New Roman" w:cs="Times New Roman"/>
          <w:color w:val="0070C0"/>
          <w:sz w:val="24"/>
          <w:szCs w:val="24"/>
        </w:rPr>
      </w:pPr>
      <w:r w:rsidRPr="00884801">
        <w:rPr>
          <w:rFonts w:ascii="Times New Roman" w:hAnsi="Times New Roman" w:cs="Times New Roman"/>
          <w:color w:val="0070C0"/>
          <w:sz w:val="24"/>
          <w:szCs w:val="24"/>
        </w:rPr>
        <w:t>6     Dans tout regroupement d'entreprises, il est nécessaire d'identifier l'acquéreur.</w:t>
      </w:r>
    </w:p>
    <w:p w14:paraId="2A62F9BD" w14:textId="3944EF79" w:rsidR="00026B3E" w:rsidRPr="00884801" w:rsidRDefault="00026B3E" w:rsidP="005A6EA4">
      <w:pPr>
        <w:jc w:val="both"/>
        <w:rPr>
          <w:rFonts w:ascii="Times New Roman" w:hAnsi="Times New Roman" w:cs="Times New Roman"/>
          <w:sz w:val="24"/>
          <w:szCs w:val="24"/>
        </w:rPr>
      </w:pPr>
      <w:r w:rsidRPr="00884801">
        <w:rPr>
          <w:rFonts w:ascii="Times New Roman" w:hAnsi="Times New Roman" w:cs="Times New Roman"/>
          <w:sz w:val="24"/>
          <w:szCs w:val="24"/>
        </w:rPr>
        <w:t>Dans ce cas-ci, il est évident qu’EGI est l’acquéreur</w:t>
      </w:r>
      <w:r w:rsidR="006932AD">
        <w:rPr>
          <w:rFonts w:ascii="Times New Roman" w:hAnsi="Times New Roman" w:cs="Times New Roman"/>
          <w:sz w:val="24"/>
          <w:szCs w:val="24"/>
        </w:rPr>
        <w:t xml:space="preserve"> puisqu’il acquiert la totalité des actions. T</w:t>
      </w:r>
      <w:r w:rsidRPr="00884801">
        <w:rPr>
          <w:rFonts w:ascii="Times New Roman" w:hAnsi="Times New Roman" w:cs="Times New Roman"/>
          <w:sz w:val="24"/>
          <w:szCs w:val="24"/>
        </w:rPr>
        <w:t xml:space="preserve">outefois, il faut </w:t>
      </w:r>
      <w:r w:rsidR="00041A2C" w:rsidRPr="00884801">
        <w:rPr>
          <w:rFonts w:ascii="Times New Roman" w:hAnsi="Times New Roman" w:cs="Times New Roman"/>
          <w:sz w:val="24"/>
          <w:szCs w:val="24"/>
        </w:rPr>
        <w:t>analyser les indications sur le contrôle pour vérifier ce fait.</w:t>
      </w:r>
    </w:p>
    <w:p w14:paraId="35B94B8B" w14:textId="08595E71" w:rsidR="00342BEC" w:rsidRPr="00613C26" w:rsidRDefault="00342BEC" w:rsidP="005A6EA4">
      <w:pPr>
        <w:jc w:val="both"/>
        <w:rPr>
          <w:rFonts w:ascii="Times New Roman" w:hAnsi="Times New Roman" w:cs="Times New Roman"/>
          <w:color w:val="002060"/>
          <w:sz w:val="24"/>
          <w:szCs w:val="24"/>
        </w:rPr>
      </w:pPr>
      <w:r w:rsidRPr="00613C26">
        <w:rPr>
          <w:rFonts w:ascii="Times New Roman" w:hAnsi="Times New Roman" w:cs="Times New Roman"/>
          <w:color w:val="002060"/>
          <w:sz w:val="24"/>
          <w:szCs w:val="24"/>
        </w:rPr>
        <w:t xml:space="preserve">Selon </w:t>
      </w:r>
      <w:r w:rsidR="00613C26" w:rsidRPr="00613C26">
        <w:rPr>
          <w:rFonts w:ascii="Times New Roman" w:hAnsi="Times New Roman" w:cs="Times New Roman"/>
          <w:color w:val="002060"/>
          <w:sz w:val="24"/>
          <w:szCs w:val="24"/>
        </w:rPr>
        <w:t>IFRS 10,</w:t>
      </w:r>
    </w:p>
    <w:p w14:paraId="4D380C74" w14:textId="4B3CCE54" w:rsidR="00342BEC" w:rsidRPr="00D61847" w:rsidRDefault="00613C26" w:rsidP="005A6EA4">
      <w:pPr>
        <w:jc w:val="both"/>
        <w:rPr>
          <w:rFonts w:ascii="Times New Roman" w:hAnsi="Times New Roman" w:cs="Times New Roman"/>
          <w:color w:val="0070C0"/>
          <w:sz w:val="24"/>
          <w:szCs w:val="24"/>
          <w:highlight w:val="yellow"/>
        </w:rPr>
      </w:pPr>
      <w:r w:rsidRPr="00613C26">
        <w:rPr>
          <w:rFonts w:ascii="Times New Roman" w:hAnsi="Times New Roman" w:cs="Times New Roman"/>
          <w:color w:val="0070C0"/>
          <w:sz w:val="24"/>
          <w:szCs w:val="24"/>
        </w:rPr>
        <w:t>6     Un investisseur contrôle une entité émettrice lorsqu'il est exposé ou qu'il a droit à des rendements variables en raison de ses liens avec l'entité émettrice et qu'il a la capacité d'influer sur ces rendements du fait du pouvoir qu'il détient sur celle-ci.</w:t>
      </w:r>
    </w:p>
    <w:p w14:paraId="0761494D" w14:textId="2AA364C4" w:rsidR="00342BEC" w:rsidRPr="00884801" w:rsidRDefault="00041A2C" w:rsidP="005A6EA4">
      <w:pPr>
        <w:jc w:val="both"/>
        <w:rPr>
          <w:rFonts w:ascii="Times New Roman" w:hAnsi="Times New Roman" w:cs="Times New Roman"/>
          <w:sz w:val="24"/>
          <w:szCs w:val="24"/>
        </w:rPr>
      </w:pPr>
      <w:r w:rsidRPr="00884801">
        <w:rPr>
          <w:rFonts w:ascii="Times New Roman" w:hAnsi="Times New Roman" w:cs="Times New Roman"/>
          <w:sz w:val="24"/>
          <w:szCs w:val="24"/>
        </w:rPr>
        <w:t>Oui, car EGI a acquis 100</w:t>
      </w:r>
      <w:r w:rsidR="00B71AB5" w:rsidRPr="00884801">
        <w:rPr>
          <w:rFonts w:ascii="Times New Roman" w:hAnsi="Times New Roman" w:cs="Times New Roman"/>
          <w:sz w:val="24"/>
          <w:szCs w:val="24"/>
        </w:rPr>
        <w:t> </w:t>
      </w:r>
      <w:r w:rsidRPr="00884801">
        <w:rPr>
          <w:rFonts w:ascii="Times New Roman" w:hAnsi="Times New Roman" w:cs="Times New Roman"/>
          <w:sz w:val="24"/>
          <w:szCs w:val="24"/>
        </w:rPr>
        <w:t>% des actions d’EAI, ce qui lui permet donc de prendre</w:t>
      </w:r>
      <w:r w:rsidR="00B519BF" w:rsidRPr="00884801">
        <w:rPr>
          <w:rFonts w:ascii="Times New Roman" w:hAnsi="Times New Roman" w:cs="Times New Roman"/>
          <w:sz w:val="24"/>
          <w:szCs w:val="24"/>
        </w:rPr>
        <w:t xml:space="preserve"> seule</w:t>
      </w:r>
      <w:r w:rsidRPr="00884801">
        <w:rPr>
          <w:rFonts w:ascii="Times New Roman" w:hAnsi="Times New Roman" w:cs="Times New Roman"/>
          <w:sz w:val="24"/>
          <w:szCs w:val="24"/>
        </w:rPr>
        <w:t xml:space="preserve"> toutes les décisions en matière d’exploitation, d’investissement et de financement. Des changements ont eu lieu</w:t>
      </w:r>
      <w:r w:rsidR="00B519BF" w:rsidRPr="00884801">
        <w:rPr>
          <w:rFonts w:ascii="Times New Roman" w:hAnsi="Times New Roman" w:cs="Times New Roman"/>
          <w:sz w:val="24"/>
          <w:szCs w:val="24"/>
        </w:rPr>
        <w:t xml:space="preserve"> depuis le </w:t>
      </w:r>
      <w:r w:rsidR="00CE4565">
        <w:rPr>
          <w:rFonts w:ascii="Times New Roman" w:hAnsi="Times New Roman" w:cs="Times New Roman"/>
          <w:sz w:val="24"/>
          <w:szCs w:val="24"/>
        </w:rPr>
        <w:t>1</w:t>
      </w:r>
      <w:r w:rsidR="00CE4565" w:rsidRPr="00AE3F5F">
        <w:rPr>
          <w:rFonts w:ascii="Times New Roman" w:hAnsi="Times New Roman" w:cs="Times New Roman"/>
          <w:sz w:val="24"/>
          <w:szCs w:val="24"/>
          <w:vertAlign w:val="superscript"/>
        </w:rPr>
        <w:t>er</w:t>
      </w:r>
      <w:r w:rsidR="00CE4565">
        <w:rPr>
          <w:rFonts w:ascii="Times New Roman" w:hAnsi="Times New Roman" w:cs="Times New Roman"/>
          <w:sz w:val="24"/>
          <w:szCs w:val="24"/>
        </w:rPr>
        <w:t xml:space="preserve"> janvier 202</w:t>
      </w:r>
      <w:r w:rsidR="00C60C63">
        <w:rPr>
          <w:rFonts w:ascii="Times New Roman" w:hAnsi="Times New Roman" w:cs="Times New Roman"/>
          <w:sz w:val="24"/>
          <w:szCs w:val="24"/>
        </w:rPr>
        <w:t>5</w:t>
      </w:r>
      <w:r w:rsidRPr="00884801">
        <w:rPr>
          <w:rFonts w:ascii="Times New Roman" w:hAnsi="Times New Roman" w:cs="Times New Roman"/>
          <w:sz w:val="24"/>
          <w:szCs w:val="24"/>
        </w:rPr>
        <w:t>, notamment au niveau de ses activités et de la gestion de certains départements, ce qui renforce la preuve qu’EGI peut définir les politiques d’EAI.</w:t>
      </w:r>
    </w:p>
    <w:p w14:paraId="648AF3DB" w14:textId="228C2A4E" w:rsidR="00041A2C" w:rsidRPr="00884801" w:rsidRDefault="00041A2C" w:rsidP="005A6EA4">
      <w:pPr>
        <w:jc w:val="both"/>
        <w:rPr>
          <w:rFonts w:ascii="Times New Roman" w:hAnsi="Times New Roman" w:cs="Times New Roman"/>
          <w:sz w:val="24"/>
          <w:szCs w:val="24"/>
        </w:rPr>
      </w:pPr>
      <w:r w:rsidRPr="00884801">
        <w:rPr>
          <w:rFonts w:ascii="Times New Roman" w:hAnsi="Times New Roman" w:cs="Times New Roman"/>
          <w:sz w:val="24"/>
          <w:szCs w:val="24"/>
        </w:rPr>
        <w:t>C’est donc EGI qui est l’acquéreur.</w:t>
      </w:r>
    </w:p>
    <w:p w14:paraId="763FC102" w14:textId="578CDE96" w:rsidR="00B71AB5" w:rsidRPr="00B71AB5" w:rsidRDefault="00B71AB5" w:rsidP="005A6EA4">
      <w:pPr>
        <w:jc w:val="both"/>
        <w:rPr>
          <w:rFonts w:ascii="Times New Roman" w:hAnsi="Times New Roman" w:cs="Times New Roman"/>
          <w:i/>
          <w:iCs/>
          <w:sz w:val="24"/>
          <w:szCs w:val="24"/>
        </w:rPr>
      </w:pPr>
      <w:r w:rsidRPr="00884801">
        <w:rPr>
          <w:rFonts w:ascii="Times New Roman" w:hAnsi="Times New Roman" w:cs="Times New Roman"/>
          <w:i/>
          <w:iCs/>
          <w:sz w:val="24"/>
          <w:szCs w:val="24"/>
        </w:rPr>
        <w:t>Cette section aurait pu être plus courte considérant l’acquisition de la totalité des actions avec droit de vote</w:t>
      </w:r>
      <w:r w:rsidR="00F840D5" w:rsidRPr="00884801">
        <w:rPr>
          <w:rFonts w:ascii="Times New Roman" w:hAnsi="Times New Roman" w:cs="Times New Roman"/>
          <w:i/>
          <w:iCs/>
          <w:sz w:val="24"/>
          <w:szCs w:val="24"/>
        </w:rPr>
        <w:t xml:space="preserve"> – contrôle clair.</w:t>
      </w:r>
    </w:p>
    <w:p w14:paraId="0BDDE780" w14:textId="77777777" w:rsidR="00041A2C" w:rsidRDefault="00041A2C" w:rsidP="005A6EA4">
      <w:pPr>
        <w:jc w:val="both"/>
        <w:rPr>
          <w:rFonts w:ascii="Times New Roman" w:hAnsi="Times New Roman" w:cs="Times New Roman"/>
          <w:sz w:val="24"/>
          <w:szCs w:val="24"/>
        </w:rPr>
      </w:pPr>
    </w:p>
    <w:p w14:paraId="7765933C" w14:textId="47CCA9EA" w:rsidR="006B1ADB" w:rsidRPr="006B1ADB" w:rsidRDefault="006B1ADB" w:rsidP="005A6EA4">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Étape 2 : identifier la date d’acquisition</w:t>
      </w:r>
    </w:p>
    <w:p w14:paraId="7DD38655" w14:textId="2E2A1349" w:rsidR="00041A2C" w:rsidRPr="00884801" w:rsidRDefault="00041A2C" w:rsidP="005A6EA4">
      <w:pPr>
        <w:jc w:val="both"/>
        <w:rPr>
          <w:rFonts w:ascii="Times New Roman" w:hAnsi="Times New Roman" w:cs="Times New Roman"/>
          <w:color w:val="002060"/>
          <w:sz w:val="24"/>
          <w:szCs w:val="24"/>
        </w:rPr>
      </w:pPr>
      <w:r w:rsidRPr="00884801">
        <w:rPr>
          <w:rFonts w:ascii="Times New Roman" w:hAnsi="Times New Roman" w:cs="Times New Roman"/>
          <w:color w:val="002060"/>
          <w:sz w:val="24"/>
          <w:szCs w:val="24"/>
        </w:rPr>
        <w:t xml:space="preserve">Selon </w:t>
      </w:r>
      <w:r w:rsidR="00884801" w:rsidRPr="00884801">
        <w:rPr>
          <w:rFonts w:ascii="Times New Roman" w:hAnsi="Times New Roman" w:cs="Times New Roman"/>
          <w:color w:val="002060"/>
          <w:sz w:val="24"/>
          <w:szCs w:val="24"/>
        </w:rPr>
        <w:t>IFRS 3,</w:t>
      </w:r>
    </w:p>
    <w:p w14:paraId="569DB1C1" w14:textId="7E03F527" w:rsidR="00041A2C" w:rsidRPr="00D61847" w:rsidRDefault="00884801" w:rsidP="005A6EA4">
      <w:pPr>
        <w:jc w:val="both"/>
        <w:rPr>
          <w:rFonts w:ascii="Times New Roman" w:hAnsi="Times New Roman" w:cs="Times New Roman"/>
          <w:color w:val="0070C0"/>
          <w:sz w:val="24"/>
          <w:szCs w:val="24"/>
          <w:highlight w:val="yellow"/>
        </w:rPr>
      </w:pPr>
      <w:r w:rsidRPr="00884801">
        <w:rPr>
          <w:rFonts w:ascii="Times New Roman" w:hAnsi="Times New Roman" w:cs="Times New Roman"/>
          <w:color w:val="0070C0"/>
          <w:sz w:val="24"/>
          <w:szCs w:val="24"/>
        </w:rPr>
        <w:t>8     L'acquéreur doit identifier la date d'acquisition, qui est la date à laquelle il obtient le contrôle de l'entreprise acquise.</w:t>
      </w:r>
    </w:p>
    <w:p w14:paraId="728ED4B1" w14:textId="73328519" w:rsidR="00026B3E" w:rsidRDefault="00041A2C" w:rsidP="005A6EA4">
      <w:pPr>
        <w:jc w:val="both"/>
        <w:rPr>
          <w:rFonts w:ascii="Times New Roman" w:hAnsi="Times New Roman" w:cs="Times New Roman"/>
          <w:sz w:val="24"/>
          <w:szCs w:val="24"/>
        </w:rPr>
      </w:pPr>
      <w:r w:rsidRPr="00884801">
        <w:rPr>
          <w:rFonts w:ascii="Times New Roman" w:hAnsi="Times New Roman" w:cs="Times New Roman"/>
          <w:sz w:val="24"/>
          <w:szCs w:val="24"/>
        </w:rPr>
        <w:t>EGI a acquis le contrôle d’EAI au moment de l’acquisition des actions ordinaires</w:t>
      </w:r>
      <w:r w:rsidR="00F840D5" w:rsidRPr="00884801">
        <w:rPr>
          <w:rFonts w:ascii="Times New Roman" w:hAnsi="Times New Roman" w:cs="Times New Roman"/>
          <w:sz w:val="24"/>
          <w:szCs w:val="24"/>
        </w:rPr>
        <w:t>, soit le</w:t>
      </w:r>
      <w:r w:rsidRPr="00884801">
        <w:rPr>
          <w:rFonts w:ascii="Times New Roman" w:hAnsi="Times New Roman" w:cs="Times New Roman"/>
          <w:sz w:val="24"/>
          <w:szCs w:val="24"/>
        </w:rPr>
        <w:t xml:space="preserve"> </w:t>
      </w:r>
      <w:r w:rsidR="00CE4565">
        <w:rPr>
          <w:rFonts w:ascii="Times New Roman" w:hAnsi="Times New Roman" w:cs="Times New Roman"/>
          <w:sz w:val="24"/>
          <w:szCs w:val="24"/>
        </w:rPr>
        <w:t>1er janvier 202</w:t>
      </w:r>
      <w:r w:rsidR="00C60C63">
        <w:rPr>
          <w:rFonts w:ascii="Times New Roman" w:hAnsi="Times New Roman" w:cs="Times New Roman"/>
          <w:sz w:val="24"/>
          <w:szCs w:val="24"/>
        </w:rPr>
        <w:t>5</w:t>
      </w:r>
      <w:r w:rsidR="00B519BF" w:rsidRPr="00884801">
        <w:rPr>
          <w:rFonts w:ascii="Times New Roman" w:hAnsi="Times New Roman" w:cs="Times New Roman"/>
          <w:sz w:val="24"/>
          <w:szCs w:val="24"/>
        </w:rPr>
        <w:t>.</w:t>
      </w:r>
    </w:p>
    <w:p w14:paraId="471AF42D" w14:textId="70163AFC" w:rsidR="005030EF" w:rsidRDefault="005030EF" w:rsidP="005A6EA4">
      <w:pPr>
        <w:jc w:val="both"/>
        <w:rPr>
          <w:rFonts w:ascii="Times New Roman" w:hAnsi="Times New Roman" w:cs="Times New Roman"/>
          <w:sz w:val="24"/>
          <w:szCs w:val="24"/>
        </w:rPr>
      </w:pPr>
    </w:p>
    <w:p w14:paraId="69D52C23" w14:textId="020111D3" w:rsidR="007D6983" w:rsidRPr="006B1ADB" w:rsidRDefault="006B1ADB" w:rsidP="005A6EA4">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Étape 3</w:t>
      </w:r>
      <w:r w:rsidR="0035567D">
        <w:rPr>
          <w:rFonts w:ascii="Times New Roman" w:hAnsi="Times New Roman" w:cs="Times New Roman"/>
          <w:sz w:val="24"/>
          <w:szCs w:val="24"/>
          <w:u w:val="single"/>
        </w:rPr>
        <w:t xml:space="preserve"> : </w:t>
      </w:r>
      <w:r w:rsidRPr="006B1ADB">
        <w:rPr>
          <w:rFonts w:ascii="Times New Roman" w:hAnsi="Times New Roman" w:cs="Times New Roman"/>
          <w:sz w:val="24"/>
          <w:szCs w:val="24"/>
          <w:u w:val="single"/>
        </w:rPr>
        <w:t>comptabiliser et évaluer les actifs identifiables acquis, les passifs repris et toute participation ne donnant pas le contrôle dans l</w:t>
      </w:r>
      <w:r>
        <w:rPr>
          <w:rFonts w:ascii="Times New Roman" w:hAnsi="Times New Roman" w:cs="Times New Roman"/>
          <w:sz w:val="24"/>
          <w:szCs w:val="24"/>
          <w:u w:val="single"/>
        </w:rPr>
        <w:t>’</w:t>
      </w:r>
      <w:r w:rsidRPr="006B1ADB">
        <w:rPr>
          <w:rFonts w:ascii="Times New Roman" w:hAnsi="Times New Roman" w:cs="Times New Roman"/>
          <w:sz w:val="24"/>
          <w:szCs w:val="24"/>
          <w:u w:val="single"/>
        </w:rPr>
        <w:t>entreprise acquise</w:t>
      </w:r>
    </w:p>
    <w:p w14:paraId="78D60502" w14:textId="72BA71E3" w:rsidR="006B1ADB" w:rsidRPr="00D61847" w:rsidRDefault="00884801" w:rsidP="005A6EA4">
      <w:pPr>
        <w:jc w:val="both"/>
        <w:rPr>
          <w:rFonts w:ascii="Times New Roman" w:hAnsi="Times New Roman" w:cs="Times New Roman"/>
          <w:color w:val="0070C0"/>
          <w:sz w:val="24"/>
          <w:szCs w:val="24"/>
          <w:highlight w:val="yellow"/>
        </w:rPr>
      </w:pPr>
      <w:r w:rsidRPr="00884801">
        <w:rPr>
          <w:rFonts w:ascii="Times New Roman" w:hAnsi="Times New Roman" w:cs="Times New Roman"/>
          <w:color w:val="0070C0"/>
          <w:sz w:val="24"/>
          <w:szCs w:val="24"/>
        </w:rPr>
        <w:t>10     À la date d'acquisition, l'acquéreur doit comptabiliser, séparément du goodwill, les actifs identifiables acquis, les passifs repris et toute participation ne donnant pas le contrôle dans l'entreprise acquise. La comptabilisation des actifs identifiables acquis et des passifs repris est soumise aux conditions énoncées aux paragraphes 11 et 12.</w:t>
      </w:r>
    </w:p>
    <w:p w14:paraId="001FD015" w14:textId="662914DA" w:rsidR="006B1ADB" w:rsidRPr="00884801" w:rsidRDefault="001C0234" w:rsidP="005A6EA4">
      <w:pPr>
        <w:jc w:val="both"/>
        <w:rPr>
          <w:rFonts w:ascii="Times New Roman" w:hAnsi="Times New Roman" w:cs="Times New Roman"/>
          <w:sz w:val="24"/>
          <w:szCs w:val="24"/>
        </w:rPr>
      </w:pPr>
      <w:r w:rsidRPr="00884801">
        <w:rPr>
          <w:rFonts w:ascii="Times New Roman" w:hAnsi="Times New Roman" w:cs="Times New Roman"/>
          <w:sz w:val="24"/>
          <w:szCs w:val="24"/>
        </w:rPr>
        <w:t xml:space="preserve">Il faut donc comptabiliser les actifs identifiables acquis et les passifs repris en date du </w:t>
      </w:r>
      <w:r w:rsidR="00CE4565">
        <w:rPr>
          <w:rFonts w:ascii="Times New Roman" w:hAnsi="Times New Roman" w:cs="Times New Roman"/>
          <w:sz w:val="24"/>
          <w:szCs w:val="24"/>
        </w:rPr>
        <w:t>1</w:t>
      </w:r>
      <w:r w:rsidR="00CE4565" w:rsidRPr="00AE3F5F">
        <w:rPr>
          <w:rFonts w:ascii="Times New Roman" w:hAnsi="Times New Roman" w:cs="Times New Roman"/>
          <w:sz w:val="24"/>
          <w:szCs w:val="24"/>
          <w:vertAlign w:val="superscript"/>
        </w:rPr>
        <w:t>er</w:t>
      </w:r>
      <w:r w:rsidR="00CE4565">
        <w:rPr>
          <w:rFonts w:ascii="Times New Roman" w:hAnsi="Times New Roman" w:cs="Times New Roman"/>
          <w:sz w:val="24"/>
          <w:szCs w:val="24"/>
        </w:rPr>
        <w:t xml:space="preserve"> janvier 202</w:t>
      </w:r>
      <w:r w:rsidR="00C60C63">
        <w:rPr>
          <w:rFonts w:ascii="Times New Roman" w:hAnsi="Times New Roman" w:cs="Times New Roman"/>
          <w:sz w:val="24"/>
          <w:szCs w:val="24"/>
        </w:rPr>
        <w:t>5</w:t>
      </w:r>
      <w:r w:rsidR="00CE4565">
        <w:rPr>
          <w:rFonts w:ascii="Times New Roman" w:hAnsi="Times New Roman" w:cs="Times New Roman"/>
          <w:sz w:val="24"/>
          <w:szCs w:val="24"/>
        </w:rPr>
        <w:t xml:space="preserve"> </w:t>
      </w:r>
      <w:r w:rsidRPr="00884801">
        <w:rPr>
          <w:rFonts w:ascii="Times New Roman" w:hAnsi="Times New Roman" w:cs="Times New Roman"/>
          <w:sz w:val="24"/>
          <w:szCs w:val="24"/>
        </w:rPr>
        <w:t xml:space="preserve">(voir </w:t>
      </w:r>
      <w:r w:rsidR="00884801">
        <w:rPr>
          <w:rFonts w:ascii="Times New Roman" w:hAnsi="Times New Roman" w:cs="Times New Roman"/>
          <w:sz w:val="24"/>
          <w:szCs w:val="24"/>
        </w:rPr>
        <w:t>État de la situation financière</w:t>
      </w:r>
      <w:r w:rsidRPr="00884801">
        <w:rPr>
          <w:rFonts w:ascii="Times New Roman" w:hAnsi="Times New Roman" w:cs="Times New Roman"/>
          <w:sz w:val="24"/>
          <w:szCs w:val="24"/>
        </w:rPr>
        <w:t xml:space="preserve"> EAI) si les conditions suivantes sont respectées :</w:t>
      </w:r>
    </w:p>
    <w:p w14:paraId="4CF07680" w14:textId="5EBA1773" w:rsidR="00041A2C" w:rsidRPr="00884801" w:rsidRDefault="00884801" w:rsidP="005A6EA4">
      <w:pPr>
        <w:jc w:val="both"/>
        <w:rPr>
          <w:rFonts w:ascii="Times New Roman" w:hAnsi="Times New Roman" w:cs="Times New Roman"/>
          <w:color w:val="002060"/>
          <w:sz w:val="24"/>
          <w:szCs w:val="24"/>
        </w:rPr>
      </w:pPr>
      <w:r w:rsidRPr="00884801">
        <w:rPr>
          <w:rFonts w:ascii="Times New Roman" w:hAnsi="Times New Roman" w:cs="Times New Roman"/>
          <w:color w:val="0070C0"/>
          <w:sz w:val="24"/>
          <w:szCs w:val="24"/>
        </w:rPr>
        <w:t>11     Pour remplir les conditions de comptabilisation dans le cadre de la méthode de l'acquisition, les actifs identifiables acquis et les passifs repris doivent satisfaire aux définitions d'actifs et de passifs du Cadre conceptuel de l'information financière à la date d'acquisition. […]</w:t>
      </w:r>
    </w:p>
    <w:p w14:paraId="0683C905" w14:textId="2C7A312D" w:rsidR="001C0234" w:rsidRPr="00884801" w:rsidRDefault="001C0234" w:rsidP="005A6EA4">
      <w:pPr>
        <w:jc w:val="both"/>
        <w:rPr>
          <w:rFonts w:ascii="Times New Roman" w:hAnsi="Times New Roman" w:cs="Times New Roman"/>
          <w:sz w:val="24"/>
          <w:szCs w:val="24"/>
        </w:rPr>
      </w:pPr>
      <w:r w:rsidRPr="00884801">
        <w:rPr>
          <w:rFonts w:ascii="Times New Roman" w:hAnsi="Times New Roman" w:cs="Times New Roman"/>
          <w:sz w:val="24"/>
          <w:szCs w:val="24"/>
        </w:rPr>
        <w:t xml:space="preserve">Tous les actifs acquis et passifs repris présents </w:t>
      </w:r>
      <w:r w:rsidR="00884801">
        <w:rPr>
          <w:rFonts w:ascii="Times New Roman" w:hAnsi="Times New Roman" w:cs="Times New Roman"/>
          <w:sz w:val="24"/>
          <w:szCs w:val="24"/>
        </w:rPr>
        <w:t>à l’état de la situation financière</w:t>
      </w:r>
      <w:r w:rsidRPr="00884801">
        <w:rPr>
          <w:rFonts w:ascii="Times New Roman" w:hAnsi="Times New Roman" w:cs="Times New Roman"/>
          <w:sz w:val="24"/>
          <w:szCs w:val="24"/>
        </w:rPr>
        <w:t xml:space="preserve"> d’EAI en date de l’acquisition correspond</w:t>
      </w:r>
      <w:r w:rsidR="0005750C" w:rsidRPr="00884801">
        <w:rPr>
          <w:rFonts w:ascii="Times New Roman" w:hAnsi="Times New Roman" w:cs="Times New Roman"/>
          <w:sz w:val="24"/>
          <w:szCs w:val="24"/>
        </w:rPr>
        <w:t>ent</w:t>
      </w:r>
      <w:r w:rsidRPr="00884801">
        <w:rPr>
          <w:rFonts w:ascii="Times New Roman" w:hAnsi="Times New Roman" w:cs="Times New Roman"/>
          <w:sz w:val="24"/>
          <w:szCs w:val="24"/>
        </w:rPr>
        <w:t xml:space="preserve"> aux définitions d’actifs et de passifs.</w:t>
      </w:r>
    </w:p>
    <w:p w14:paraId="10DD9BC0" w14:textId="08111472" w:rsidR="00F840D5" w:rsidRPr="00884801" w:rsidRDefault="00F840D5" w:rsidP="005A6EA4">
      <w:pPr>
        <w:jc w:val="both"/>
        <w:rPr>
          <w:rFonts w:ascii="Times New Roman" w:hAnsi="Times New Roman" w:cs="Times New Roman"/>
          <w:i/>
          <w:iCs/>
          <w:sz w:val="24"/>
          <w:szCs w:val="24"/>
        </w:rPr>
      </w:pPr>
      <w:r w:rsidRPr="00884801">
        <w:rPr>
          <w:rFonts w:ascii="Times New Roman" w:hAnsi="Times New Roman" w:cs="Times New Roman"/>
          <w:i/>
          <w:iCs/>
          <w:sz w:val="24"/>
          <w:szCs w:val="24"/>
        </w:rPr>
        <w:t xml:space="preserve">Il reste à analyser si les éléments d’actif et de passif </w:t>
      </w:r>
      <w:r w:rsidR="00884801" w:rsidRPr="00884801">
        <w:rPr>
          <w:rFonts w:ascii="Times New Roman" w:hAnsi="Times New Roman" w:cs="Times New Roman"/>
          <w:i/>
          <w:iCs/>
          <w:sz w:val="24"/>
          <w:szCs w:val="24"/>
        </w:rPr>
        <w:t>non-inscrits</w:t>
      </w:r>
      <w:r w:rsidRPr="00884801">
        <w:rPr>
          <w:rFonts w:ascii="Times New Roman" w:hAnsi="Times New Roman" w:cs="Times New Roman"/>
          <w:i/>
          <w:iCs/>
          <w:sz w:val="24"/>
          <w:szCs w:val="24"/>
        </w:rPr>
        <w:t xml:space="preserve"> respectent les définitions du cadre conceptuel.</w:t>
      </w:r>
    </w:p>
    <w:p w14:paraId="510DEDFA" w14:textId="3CEC7763" w:rsidR="00884801" w:rsidRPr="00884801" w:rsidRDefault="00884801" w:rsidP="005A6EA4">
      <w:pPr>
        <w:jc w:val="both"/>
        <w:rPr>
          <w:rFonts w:ascii="Times New Roman" w:hAnsi="Times New Roman" w:cs="Times New Roman"/>
          <w:color w:val="0070C0"/>
          <w:sz w:val="24"/>
          <w:szCs w:val="24"/>
        </w:rPr>
      </w:pPr>
      <w:r w:rsidRPr="00884801">
        <w:rPr>
          <w:rFonts w:ascii="Times New Roman" w:hAnsi="Times New Roman" w:cs="Times New Roman"/>
          <w:color w:val="0070C0"/>
          <w:sz w:val="24"/>
          <w:szCs w:val="24"/>
        </w:rPr>
        <w:t>12     En outre, pour remplir les conditions de comptabilisation dans le cadre de la méthode de l'acquisition, les actifs identifiables acquis et les passifs repris doivent faire partie de ce que l'acquéreur et l'entreprise acquise (ou ses détenteurs antérieurs) ont échangé lors de la transaction de regroupement d'entreprises et non résulter de transactions séparées. L'acquéreur doit appliquer les indications des paragraphes 51 à 53 pour déterminer les actifs acquis ou les passifs repris qui font partie de l'échange visant l'entreprise acquise et le cas échéant, ceux qui résultent de transactions séparées à comptabiliser selon leur nature et selon les IFRS applicables.</w:t>
      </w:r>
    </w:p>
    <w:p w14:paraId="49C9CEBD" w14:textId="34319ABC" w:rsidR="001C0234" w:rsidRDefault="00F840D5" w:rsidP="002E1547">
      <w:pPr>
        <w:jc w:val="both"/>
        <w:rPr>
          <w:rFonts w:ascii="Times New Roman" w:hAnsi="Times New Roman" w:cs="Times New Roman"/>
          <w:sz w:val="24"/>
          <w:szCs w:val="24"/>
        </w:rPr>
      </w:pPr>
      <w:r w:rsidRPr="00884801">
        <w:rPr>
          <w:rFonts w:ascii="Times New Roman" w:hAnsi="Times New Roman" w:cs="Times New Roman"/>
          <w:sz w:val="24"/>
          <w:szCs w:val="24"/>
        </w:rPr>
        <w:t>En acquérant les actions ordinaires, tous les éléments d’actif et de passif liés à EAI sont acquis.</w:t>
      </w:r>
      <w:r w:rsidR="003F3B15">
        <w:rPr>
          <w:rFonts w:ascii="Times New Roman" w:hAnsi="Times New Roman" w:cs="Times New Roman"/>
          <w:sz w:val="24"/>
          <w:szCs w:val="24"/>
        </w:rPr>
        <w:t xml:space="preserve"> En échange EGI a versé une contrepartie correspondant au montant</w:t>
      </w:r>
      <w:r w:rsidR="0002580A" w:rsidRPr="00884801">
        <w:rPr>
          <w:rFonts w:ascii="Times New Roman" w:hAnsi="Times New Roman" w:cs="Times New Roman"/>
          <w:sz w:val="24"/>
          <w:szCs w:val="24"/>
        </w:rPr>
        <w:t xml:space="preserve"> de 2 </w:t>
      </w:r>
      <w:r w:rsidR="00CE4565">
        <w:rPr>
          <w:rFonts w:ascii="Times New Roman" w:hAnsi="Times New Roman" w:cs="Times New Roman"/>
          <w:sz w:val="24"/>
          <w:szCs w:val="24"/>
        </w:rPr>
        <w:t>500</w:t>
      </w:r>
      <w:r w:rsidR="0002580A" w:rsidRPr="00884801">
        <w:rPr>
          <w:rFonts w:ascii="Times New Roman" w:hAnsi="Times New Roman" w:cs="Times New Roman"/>
          <w:sz w:val="24"/>
          <w:szCs w:val="24"/>
        </w:rPr>
        <w:t xml:space="preserve"> 000 $ versé en date du </w:t>
      </w:r>
      <w:r w:rsidR="00CE4565">
        <w:rPr>
          <w:rFonts w:ascii="Times New Roman" w:hAnsi="Times New Roman" w:cs="Times New Roman"/>
          <w:sz w:val="24"/>
          <w:szCs w:val="24"/>
        </w:rPr>
        <w:t>1er janvier</w:t>
      </w:r>
      <w:r w:rsidR="0002580A" w:rsidRPr="00884801">
        <w:rPr>
          <w:rFonts w:ascii="Times New Roman" w:hAnsi="Times New Roman" w:cs="Times New Roman"/>
          <w:sz w:val="24"/>
          <w:szCs w:val="24"/>
        </w:rPr>
        <w:t xml:space="preserve"> 202</w:t>
      </w:r>
      <w:r w:rsidR="00C60C63">
        <w:rPr>
          <w:rFonts w:ascii="Times New Roman" w:hAnsi="Times New Roman" w:cs="Times New Roman"/>
          <w:sz w:val="24"/>
          <w:szCs w:val="24"/>
        </w:rPr>
        <w:t>5</w:t>
      </w:r>
      <w:r w:rsidR="0002580A" w:rsidRPr="00884801">
        <w:rPr>
          <w:rFonts w:ascii="Times New Roman" w:hAnsi="Times New Roman" w:cs="Times New Roman"/>
          <w:sz w:val="24"/>
          <w:szCs w:val="24"/>
        </w:rPr>
        <w:t>.</w:t>
      </w:r>
      <w:r w:rsidR="0002580A">
        <w:rPr>
          <w:rFonts w:ascii="Times New Roman" w:hAnsi="Times New Roman" w:cs="Times New Roman"/>
          <w:sz w:val="24"/>
          <w:szCs w:val="24"/>
        </w:rPr>
        <w:t xml:space="preserve"> </w:t>
      </w:r>
    </w:p>
    <w:p w14:paraId="625785D1" w14:textId="1F08A890" w:rsidR="00B97009" w:rsidRPr="00AE3F5F" w:rsidRDefault="00B97009" w:rsidP="002E1547">
      <w:pPr>
        <w:jc w:val="both"/>
        <w:rPr>
          <w:rFonts w:ascii="Times New Roman" w:hAnsi="Times New Roman" w:cs="Times New Roman"/>
          <w:color w:val="2E74B5" w:themeColor="accent5" w:themeShade="BF"/>
          <w:sz w:val="24"/>
          <w:szCs w:val="24"/>
        </w:rPr>
      </w:pPr>
      <w:r w:rsidRPr="00AE3F5F">
        <w:rPr>
          <w:rFonts w:ascii="Times New Roman" w:hAnsi="Times New Roman" w:cs="Times New Roman"/>
          <w:color w:val="2E74B5" w:themeColor="accent5" w:themeShade="BF"/>
          <w:sz w:val="24"/>
          <w:szCs w:val="24"/>
          <w:shd w:val="clear" w:color="auto" w:fill="FFFFFF"/>
        </w:rPr>
        <w:t>53</w:t>
      </w:r>
      <w:r>
        <w:rPr>
          <w:rFonts w:ascii="Times New Roman" w:hAnsi="Times New Roman" w:cs="Times New Roman"/>
          <w:color w:val="2E74B5" w:themeColor="accent5" w:themeShade="BF"/>
          <w:sz w:val="24"/>
          <w:szCs w:val="24"/>
          <w:shd w:val="clear" w:color="auto" w:fill="FFFFFF"/>
        </w:rPr>
        <w:t xml:space="preserve">  </w:t>
      </w:r>
      <w:r w:rsidRPr="00AE3F5F">
        <w:rPr>
          <w:rFonts w:ascii="Times New Roman" w:hAnsi="Times New Roman" w:cs="Times New Roman"/>
          <w:color w:val="2E74B5" w:themeColor="accent5" w:themeShade="BF"/>
          <w:sz w:val="24"/>
          <w:szCs w:val="24"/>
          <w:shd w:val="clear" w:color="auto" w:fill="FFFFFF"/>
        </w:rPr>
        <w:t xml:space="preserve"> Les frais connexes à l'acquisition sont les coûts que l'acquéreur engage pour effectuer un regroupement d'entreprises. Parmi ces coûts figurent les commissions d'apporteurs d'affaires ; les honoraires de conseillers, de juristes, de comptables et d'évaluateurs, et les autres honoraires professionnels ou de conseil ; les frais administratifs généraux, y compris les coûts de fonctionnement d'un département interne chargé des acquisitions ; les coûts d'enregistrement et d'émission de titres d'emprunt et de capitaux propres. L'acquéreur doit comptabiliser les coûts connexes à l'acquisition en charges pour les périodes au cours desquelles les coûts sont engagés et les services, reçus, à une exception près : les coûts </w:t>
      </w:r>
      <w:r w:rsidRPr="00AE3F5F">
        <w:rPr>
          <w:rFonts w:ascii="Times New Roman" w:hAnsi="Times New Roman" w:cs="Times New Roman"/>
          <w:color w:val="2E74B5" w:themeColor="accent5" w:themeShade="BF"/>
          <w:sz w:val="24"/>
          <w:szCs w:val="24"/>
          <w:shd w:val="clear" w:color="auto" w:fill="FFFFFF"/>
        </w:rPr>
        <w:lastRenderedPageBreak/>
        <w:t>d'émission de titres d'emprunt ou de capitaux propres doivent être comptabilisés selon </w:t>
      </w:r>
      <w:hyperlink r:id="rId8" w:history="1">
        <w:r w:rsidRPr="00AE3F5F">
          <w:rPr>
            <w:rStyle w:val="Lienhypertexte"/>
            <w:rFonts w:ascii="Times New Roman" w:hAnsi="Times New Roman" w:cs="Times New Roman"/>
            <w:color w:val="2E74B5" w:themeColor="accent5" w:themeShade="BF"/>
            <w:sz w:val="24"/>
            <w:szCs w:val="24"/>
            <w:shd w:val="clear" w:color="auto" w:fill="FFFFFF"/>
          </w:rPr>
          <w:t>IAS 32</w:t>
        </w:r>
      </w:hyperlink>
      <w:r w:rsidRPr="00AE3F5F">
        <w:rPr>
          <w:rFonts w:ascii="Times New Roman" w:hAnsi="Times New Roman" w:cs="Times New Roman"/>
          <w:color w:val="2E74B5" w:themeColor="accent5" w:themeShade="BF"/>
          <w:sz w:val="24"/>
          <w:szCs w:val="24"/>
          <w:shd w:val="clear" w:color="auto" w:fill="FFFFFF"/>
        </w:rPr>
        <w:t> et </w:t>
      </w:r>
      <w:hyperlink r:id="rId9" w:history="1">
        <w:r w:rsidRPr="00AE3F5F">
          <w:rPr>
            <w:rStyle w:val="Lienhypertexte"/>
            <w:rFonts w:ascii="Times New Roman" w:hAnsi="Times New Roman" w:cs="Times New Roman"/>
            <w:color w:val="2E74B5" w:themeColor="accent5" w:themeShade="BF"/>
            <w:sz w:val="24"/>
            <w:szCs w:val="24"/>
            <w:shd w:val="clear" w:color="auto" w:fill="FFFFFF"/>
          </w:rPr>
          <w:t>IFRS 9</w:t>
        </w:r>
      </w:hyperlink>
      <w:r w:rsidRPr="00AE3F5F">
        <w:rPr>
          <w:rFonts w:ascii="Times New Roman" w:hAnsi="Times New Roman" w:cs="Times New Roman"/>
          <w:color w:val="2E74B5" w:themeColor="accent5" w:themeShade="BF"/>
          <w:sz w:val="24"/>
          <w:szCs w:val="24"/>
          <w:shd w:val="clear" w:color="auto" w:fill="FFFFFF"/>
        </w:rPr>
        <w:t>.</w:t>
      </w:r>
    </w:p>
    <w:p w14:paraId="31CFD513" w14:textId="01680343" w:rsidR="001C0234" w:rsidRDefault="002C44D1" w:rsidP="005A6EA4">
      <w:pPr>
        <w:jc w:val="both"/>
        <w:rPr>
          <w:rFonts w:ascii="Times New Roman" w:hAnsi="Times New Roman" w:cs="Times New Roman"/>
          <w:sz w:val="24"/>
          <w:szCs w:val="24"/>
        </w:rPr>
      </w:pPr>
      <w:r>
        <w:rPr>
          <w:rFonts w:ascii="Times New Roman" w:hAnsi="Times New Roman" w:cs="Times New Roman"/>
          <w:sz w:val="24"/>
          <w:szCs w:val="24"/>
        </w:rPr>
        <w:t>Les 62 500$ déboursés pour l</w:t>
      </w:r>
      <w:r w:rsidR="00220705">
        <w:rPr>
          <w:rFonts w:ascii="Times New Roman" w:hAnsi="Times New Roman" w:cs="Times New Roman"/>
          <w:sz w:val="24"/>
          <w:szCs w:val="24"/>
        </w:rPr>
        <w:t>’audit diligent doivent être passés en charges</w:t>
      </w:r>
      <w:r w:rsidR="00B97009">
        <w:rPr>
          <w:rFonts w:ascii="Times New Roman" w:hAnsi="Times New Roman" w:cs="Times New Roman"/>
          <w:sz w:val="24"/>
          <w:szCs w:val="24"/>
        </w:rPr>
        <w:t xml:space="preserve"> selon le paragraphe précédent. En effet, ceux-ci représentent des frais connexes engagés en prévision de la transaction, donc ils sont exclus de la contrepartie identifiée</w:t>
      </w:r>
      <w:r w:rsidR="00407CFD">
        <w:rPr>
          <w:rFonts w:ascii="Times New Roman" w:hAnsi="Times New Roman" w:cs="Times New Roman"/>
          <w:sz w:val="24"/>
          <w:szCs w:val="24"/>
        </w:rPr>
        <w:t xml:space="preserve"> dans l’application de la méthode de l’acquisition.</w:t>
      </w:r>
    </w:p>
    <w:p w14:paraId="1AAE0576" w14:textId="27BB6847" w:rsidR="00D12833" w:rsidRPr="004B3847" w:rsidRDefault="004B3847" w:rsidP="005A6EA4">
      <w:pPr>
        <w:jc w:val="both"/>
        <w:rPr>
          <w:rFonts w:ascii="Times New Roman" w:hAnsi="Times New Roman" w:cs="Times New Roman"/>
          <w:color w:val="0070C0"/>
          <w:sz w:val="24"/>
          <w:szCs w:val="24"/>
        </w:rPr>
      </w:pPr>
      <w:r w:rsidRPr="004B3847">
        <w:rPr>
          <w:rFonts w:ascii="Times New Roman" w:hAnsi="Times New Roman" w:cs="Times New Roman"/>
          <w:color w:val="0070C0"/>
          <w:sz w:val="24"/>
          <w:szCs w:val="24"/>
        </w:rPr>
        <w:t>18     L'acquéreur doit évaluer les actifs identifiables acquis et les passifs repris à leur juste valeur à la date d'acquisition.</w:t>
      </w:r>
    </w:p>
    <w:p w14:paraId="1E561067" w14:textId="7D30522F" w:rsidR="00D12833" w:rsidRDefault="005566B0" w:rsidP="005A6EA4">
      <w:pPr>
        <w:jc w:val="both"/>
        <w:rPr>
          <w:rFonts w:ascii="Times New Roman" w:hAnsi="Times New Roman" w:cs="Times New Roman"/>
          <w:sz w:val="24"/>
          <w:szCs w:val="24"/>
        </w:rPr>
      </w:pPr>
      <w:r w:rsidRPr="004B3847">
        <w:rPr>
          <w:rFonts w:ascii="Times New Roman" w:hAnsi="Times New Roman" w:cs="Times New Roman"/>
          <w:sz w:val="24"/>
          <w:szCs w:val="24"/>
        </w:rPr>
        <w:t xml:space="preserve">Il faut donc évaluer les actifs identifiables acquis et les passifs repris, soit ce qui est présenté </w:t>
      </w:r>
      <w:r w:rsidR="004B3847" w:rsidRPr="004B3847">
        <w:rPr>
          <w:rFonts w:ascii="Times New Roman" w:hAnsi="Times New Roman" w:cs="Times New Roman"/>
          <w:sz w:val="24"/>
          <w:szCs w:val="24"/>
        </w:rPr>
        <w:t>à l’état de la situation financière</w:t>
      </w:r>
      <w:r w:rsidRPr="004B3847">
        <w:rPr>
          <w:rFonts w:ascii="Times New Roman" w:hAnsi="Times New Roman" w:cs="Times New Roman"/>
          <w:sz w:val="24"/>
          <w:szCs w:val="24"/>
        </w:rPr>
        <w:t xml:space="preserve"> d’EAI, à leur juste valeur pour le regroupement, et non à leur valeur comptable</w:t>
      </w:r>
      <w:r w:rsidR="0096531A" w:rsidRPr="004B3847">
        <w:rPr>
          <w:rFonts w:ascii="Times New Roman" w:hAnsi="Times New Roman" w:cs="Times New Roman"/>
          <w:sz w:val="24"/>
          <w:szCs w:val="24"/>
        </w:rPr>
        <w:t xml:space="preserve">, </w:t>
      </w:r>
      <w:r w:rsidR="006E1016" w:rsidRPr="004B3847">
        <w:rPr>
          <w:rFonts w:ascii="Times New Roman" w:hAnsi="Times New Roman" w:cs="Times New Roman"/>
          <w:sz w:val="24"/>
          <w:szCs w:val="24"/>
        </w:rPr>
        <w:t>(voir document Excel, onglet A.2)</w:t>
      </w:r>
      <w:r w:rsidR="0096531A" w:rsidRPr="004B3847">
        <w:rPr>
          <w:rFonts w:ascii="Times New Roman" w:hAnsi="Times New Roman" w:cs="Times New Roman"/>
          <w:sz w:val="24"/>
          <w:szCs w:val="24"/>
        </w:rPr>
        <w:t xml:space="preserve">. </w:t>
      </w:r>
      <w:r w:rsidR="006655B3" w:rsidRPr="004B3847">
        <w:rPr>
          <w:rFonts w:ascii="Times New Roman" w:hAnsi="Times New Roman" w:cs="Times New Roman"/>
          <w:sz w:val="24"/>
          <w:szCs w:val="24"/>
        </w:rPr>
        <w:t xml:space="preserve">Il faut également évaluer à leur juste valeur les éléments d’actif et de passif </w:t>
      </w:r>
      <w:r w:rsidR="004B3847" w:rsidRPr="004B3847">
        <w:rPr>
          <w:rFonts w:ascii="Times New Roman" w:hAnsi="Times New Roman" w:cs="Times New Roman"/>
          <w:sz w:val="24"/>
          <w:szCs w:val="24"/>
        </w:rPr>
        <w:t>non-inscrits</w:t>
      </w:r>
      <w:r w:rsidR="006655B3" w:rsidRPr="004B3847">
        <w:rPr>
          <w:rFonts w:ascii="Times New Roman" w:hAnsi="Times New Roman" w:cs="Times New Roman"/>
          <w:sz w:val="24"/>
          <w:szCs w:val="24"/>
        </w:rPr>
        <w:t>.</w:t>
      </w:r>
    </w:p>
    <w:p w14:paraId="25FBCD00" w14:textId="77777777" w:rsidR="005566B0" w:rsidRDefault="005566B0" w:rsidP="005A6EA4">
      <w:pPr>
        <w:jc w:val="both"/>
        <w:rPr>
          <w:rFonts w:ascii="Times New Roman" w:hAnsi="Times New Roman" w:cs="Times New Roman"/>
          <w:sz w:val="24"/>
          <w:szCs w:val="24"/>
        </w:rPr>
      </w:pPr>
    </w:p>
    <w:p w14:paraId="7E56F82F" w14:textId="1AB6A93B" w:rsidR="00D12833" w:rsidRPr="004B3847" w:rsidRDefault="00D12833" w:rsidP="005A6EA4">
      <w:pPr>
        <w:jc w:val="both"/>
        <w:rPr>
          <w:rFonts w:ascii="Times New Roman" w:hAnsi="Times New Roman" w:cs="Times New Roman"/>
          <w:sz w:val="24"/>
          <w:szCs w:val="24"/>
        </w:rPr>
      </w:pPr>
      <w:r w:rsidRPr="004B3847">
        <w:rPr>
          <w:rFonts w:ascii="Times New Roman" w:hAnsi="Times New Roman" w:cs="Times New Roman"/>
          <w:sz w:val="24"/>
          <w:szCs w:val="24"/>
        </w:rPr>
        <w:t>Exceptions</w:t>
      </w:r>
    </w:p>
    <w:p w14:paraId="6E426497" w14:textId="39231841" w:rsidR="00FF041D" w:rsidRPr="00FF041D" w:rsidRDefault="005566B0" w:rsidP="004B3847">
      <w:pPr>
        <w:jc w:val="both"/>
        <w:rPr>
          <w:rFonts w:ascii="Times New Roman" w:hAnsi="Times New Roman" w:cs="Times New Roman"/>
          <w:color w:val="FF0000"/>
          <w:sz w:val="24"/>
          <w:szCs w:val="24"/>
        </w:rPr>
      </w:pPr>
      <w:r w:rsidRPr="004B3847">
        <w:rPr>
          <w:rFonts w:ascii="Times New Roman" w:hAnsi="Times New Roman" w:cs="Times New Roman"/>
          <w:sz w:val="24"/>
          <w:szCs w:val="24"/>
        </w:rPr>
        <w:t>Poursuite</w:t>
      </w:r>
      <w:r w:rsidR="00FF041D">
        <w:rPr>
          <w:rFonts w:ascii="Times New Roman" w:hAnsi="Times New Roman" w:cs="Times New Roman"/>
          <w:sz w:val="24"/>
          <w:szCs w:val="24"/>
        </w:rPr>
        <w:t xml:space="preserve"> –</w:t>
      </w:r>
      <w:r w:rsidR="00FF041D">
        <w:rPr>
          <w:rFonts w:ascii="Times New Roman" w:hAnsi="Times New Roman" w:cs="Times New Roman"/>
          <w:color w:val="FF0000"/>
          <w:sz w:val="24"/>
          <w:szCs w:val="24"/>
        </w:rPr>
        <w:t xml:space="preserve"> ne pas utiliser IAS 37 dans un contexte regroupement d’entreprises, mais plutôt IFRS 3</w:t>
      </w:r>
    </w:p>
    <w:p w14:paraId="4441A13F" w14:textId="4446E169" w:rsidR="004B3847" w:rsidRPr="004B3847" w:rsidRDefault="004B3847" w:rsidP="004B3847">
      <w:pPr>
        <w:jc w:val="both"/>
        <w:rPr>
          <w:rFonts w:ascii="Times New Roman" w:hAnsi="Times New Roman" w:cs="Times New Roman"/>
          <w:color w:val="0070C0"/>
          <w:sz w:val="24"/>
          <w:szCs w:val="24"/>
        </w:rPr>
      </w:pPr>
      <w:r w:rsidRPr="004B3847">
        <w:rPr>
          <w:rFonts w:ascii="Times New Roman" w:hAnsi="Times New Roman" w:cs="Times New Roman"/>
          <w:color w:val="0070C0"/>
          <w:sz w:val="24"/>
          <w:szCs w:val="24"/>
        </w:rPr>
        <w:t>22     IAS 37 définit un passif éventuel comme étant :</w:t>
      </w:r>
    </w:p>
    <w:p w14:paraId="6B152294" w14:textId="20C41BFB" w:rsidR="004B3847" w:rsidRPr="004B3847" w:rsidRDefault="004B3847" w:rsidP="004B3847">
      <w:pPr>
        <w:pStyle w:val="Paragraphedeliste"/>
        <w:numPr>
          <w:ilvl w:val="0"/>
          <w:numId w:val="37"/>
        </w:numPr>
        <w:jc w:val="both"/>
        <w:rPr>
          <w:rFonts w:ascii="Times New Roman" w:hAnsi="Times New Roman" w:cs="Times New Roman"/>
          <w:color w:val="0070C0"/>
          <w:sz w:val="24"/>
          <w:szCs w:val="24"/>
        </w:rPr>
      </w:pPr>
      <w:proofErr w:type="gramStart"/>
      <w:r w:rsidRPr="004B3847">
        <w:rPr>
          <w:rFonts w:ascii="Times New Roman" w:hAnsi="Times New Roman" w:cs="Times New Roman"/>
          <w:color w:val="0070C0"/>
          <w:sz w:val="24"/>
          <w:szCs w:val="24"/>
        </w:rPr>
        <w:t>une</w:t>
      </w:r>
      <w:proofErr w:type="gramEnd"/>
      <w:r w:rsidRPr="004B3847">
        <w:rPr>
          <w:rFonts w:ascii="Times New Roman" w:hAnsi="Times New Roman" w:cs="Times New Roman"/>
          <w:color w:val="0070C0"/>
          <w:sz w:val="24"/>
          <w:szCs w:val="24"/>
        </w:rPr>
        <w:t xml:space="preserve"> obligation potentielle résultant d'événements passés et dont l'existence ne sera confirmée que par la survenance (ou non) d'un ou plusieurs événements futurs incertains qui ne sont pas totalement sous le contrôle de l'entité ; ou</w:t>
      </w:r>
    </w:p>
    <w:p w14:paraId="370C184C" w14:textId="59E12928" w:rsidR="004B3847" w:rsidRPr="004B3847" w:rsidRDefault="004B3847" w:rsidP="004B3847">
      <w:pPr>
        <w:pStyle w:val="Paragraphedeliste"/>
        <w:numPr>
          <w:ilvl w:val="0"/>
          <w:numId w:val="37"/>
        </w:numPr>
        <w:jc w:val="both"/>
        <w:rPr>
          <w:rFonts w:ascii="Times New Roman" w:hAnsi="Times New Roman" w:cs="Times New Roman"/>
          <w:color w:val="0070C0"/>
          <w:sz w:val="24"/>
          <w:szCs w:val="24"/>
        </w:rPr>
      </w:pPr>
      <w:proofErr w:type="gramStart"/>
      <w:r w:rsidRPr="004B3847">
        <w:rPr>
          <w:rFonts w:ascii="Times New Roman" w:hAnsi="Times New Roman" w:cs="Times New Roman"/>
          <w:color w:val="0070C0"/>
          <w:sz w:val="24"/>
          <w:szCs w:val="24"/>
        </w:rPr>
        <w:t>une</w:t>
      </w:r>
      <w:proofErr w:type="gramEnd"/>
      <w:r w:rsidRPr="004B3847">
        <w:rPr>
          <w:rFonts w:ascii="Times New Roman" w:hAnsi="Times New Roman" w:cs="Times New Roman"/>
          <w:color w:val="0070C0"/>
          <w:sz w:val="24"/>
          <w:szCs w:val="24"/>
        </w:rPr>
        <w:t xml:space="preserve"> obligation actuelle résultant d'événements passés mais qui n'est pas comptabilisée car :</w:t>
      </w:r>
    </w:p>
    <w:p w14:paraId="1AF1A5C9" w14:textId="1756B62E" w:rsidR="004B3847" w:rsidRPr="004B3847" w:rsidRDefault="004B3847" w:rsidP="004B3847">
      <w:pPr>
        <w:pStyle w:val="Paragraphedeliste"/>
        <w:numPr>
          <w:ilvl w:val="0"/>
          <w:numId w:val="38"/>
        </w:numPr>
        <w:jc w:val="both"/>
        <w:rPr>
          <w:rFonts w:ascii="Times New Roman" w:hAnsi="Times New Roman" w:cs="Times New Roman"/>
          <w:color w:val="0070C0"/>
          <w:sz w:val="24"/>
          <w:szCs w:val="24"/>
        </w:rPr>
      </w:pPr>
      <w:proofErr w:type="gramStart"/>
      <w:r w:rsidRPr="004B3847">
        <w:rPr>
          <w:rFonts w:ascii="Times New Roman" w:hAnsi="Times New Roman" w:cs="Times New Roman"/>
          <w:color w:val="0070C0"/>
          <w:sz w:val="24"/>
          <w:szCs w:val="24"/>
        </w:rPr>
        <w:t>il</w:t>
      </w:r>
      <w:proofErr w:type="gramEnd"/>
      <w:r w:rsidRPr="004B3847">
        <w:rPr>
          <w:rFonts w:ascii="Times New Roman" w:hAnsi="Times New Roman" w:cs="Times New Roman"/>
          <w:color w:val="0070C0"/>
          <w:sz w:val="24"/>
          <w:szCs w:val="24"/>
        </w:rPr>
        <w:t xml:space="preserve"> n'est pas probable qu'une sortie de ressources représentatives d'avantages économiques soit nécessaire pour éteindre l'obligation ; ou</w:t>
      </w:r>
    </w:p>
    <w:p w14:paraId="00746C33" w14:textId="0D67A1F1" w:rsidR="004B3847" w:rsidRPr="004B3847" w:rsidRDefault="004B3847" w:rsidP="004B3847">
      <w:pPr>
        <w:pStyle w:val="Paragraphedeliste"/>
        <w:numPr>
          <w:ilvl w:val="0"/>
          <w:numId w:val="38"/>
        </w:numPr>
        <w:jc w:val="both"/>
        <w:rPr>
          <w:rFonts w:ascii="Times New Roman" w:hAnsi="Times New Roman" w:cs="Times New Roman"/>
          <w:color w:val="0070C0"/>
          <w:sz w:val="24"/>
          <w:szCs w:val="24"/>
        </w:rPr>
      </w:pPr>
      <w:proofErr w:type="gramStart"/>
      <w:r w:rsidRPr="004B3847">
        <w:rPr>
          <w:rFonts w:ascii="Times New Roman" w:hAnsi="Times New Roman" w:cs="Times New Roman"/>
          <w:color w:val="0070C0"/>
          <w:sz w:val="24"/>
          <w:szCs w:val="24"/>
        </w:rPr>
        <w:t>le</w:t>
      </w:r>
      <w:proofErr w:type="gramEnd"/>
      <w:r w:rsidRPr="004B3847">
        <w:rPr>
          <w:rFonts w:ascii="Times New Roman" w:hAnsi="Times New Roman" w:cs="Times New Roman"/>
          <w:color w:val="0070C0"/>
          <w:sz w:val="24"/>
          <w:szCs w:val="24"/>
        </w:rPr>
        <w:t xml:space="preserve"> montant de l'obligation ne peut être évalué avec une fiabilité suffisante.</w:t>
      </w:r>
    </w:p>
    <w:p w14:paraId="4A2AF171" w14:textId="3013CCB7" w:rsidR="005566B0" w:rsidRPr="004B3847" w:rsidRDefault="00C07B63" w:rsidP="004B3847">
      <w:pPr>
        <w:jc w:val="both"/>
        <w:rPr>
          <w:rFonts w:ascii="Times New Roman" w:hAnsi="Times New Roman" w:cs="Times New Roman"/>
          <w:sz w:val="24"/>
          <w:szCs w:val="24"/>
        </w:rPr>
      </w:pPr>
      <w:r>
        <w:rPr>
          <w:rFonts w:ascii="Times New Roman" w:hAnsi="Times New Roman" w:cs="Times New Roman"/>
          <w:sz w:val="24"/>
          <w:szCs w:val="24"/>
        </w:rPr>
        <w:t>Il</w:t>
      </w:r>
      <w:r w:rsidR="005566B0" w:rsidRPr="004B3847">
        <w:rPr>
          <w:rFonts w:ascii="Times New Roman" w:hAnsi="Times New Roman" w:cs="Times New Roman"/>
          <w:sz w:val="24"/>
          <w:szCs w:val="24"/>
        </w:rPr>
        <w:t xml:space="preserve"> </w:t>
      </w:r>
      <w:r w:rsidR="004B3847" w:rsidRPr="004B3847">
        <w:rPr>
          <w:rFonts w:ascii="Times New Roman" w:hAnsi="Times New Roman" w:cs="Times New Roman"/>
          <w:sz w:val="24"/>
          <w:szCs w:val="24"/>
        </w:rPr>
        <w:t>est moins probable qu’improbable</w:t>
      </w:r>
      <w:r w:rsidR="000C69A7">
        <w:rPr>
          <w:rFonts w:ascii="Times New Roman" w:hAnsi="Times New Roman" w:cs="Times New Roman"/>
          <w:sz w:val="24"/>
          <w:szCs w:val="24"/>
        </w:rPr>
        <w:t xml:space="preserve"> qu’EAI sera reconnue coupable. Effectivement,</w:t>
      </w:r>
      <w:r w:rsidR="005566B0" w:rsidRPr="004B3847">
        <w:rPr>
          <w:rFonts w:ascii="Times New Roman" w:hAnsi="Times New Roman" w:cs="Times New Roman"/>
          <w:sz w:val="24"/>
          <w:szCs w:val="24"/>
        </w:rPr>
        <w:t xml:space="preserve"> la probabilité que la cause soit perdue est de </w:t>
      </w:r>
      <w:r w:rsidR="004B3847" w:rsidRPr="003E0342">
        <w:rPr>
          <w:rFonts w:ascii="Times New Roman" w:hAnsi="Times New Roman" w:cs="Times New Roman"/>
          <w:sz w:val="24"/>
          <w:szCs w:val="24"/>
          <w:highlight w:val="yellow"/>
        </w:rPr>
        <w:t>4</w:t>
      </w:r>
      <w:r w:rsidR="005566B0" w:rsidRPr="003E0342">
        <w:rPr>
          <w:rFonts w:ascii="Times New Roman" w:hAnsi="Times New Roman" w:cs="Times New Roman"/>
          <w:sz w:val="24"/>
          <w:szCs w:val="24"/>
          <w:highlight w:val="yellow"/>
        </w:rPr>
        <w:t>5</w:t>
      </w:r>
      <w:r w:rsidR="00EA0B89" w:rsidRPr="003E0342">
        <w:rPr>
          <w:rFonts w:ascii="Times New Roman" w:hAnsi="Times New Roman" w:cs="Times New Roman"/>
          <w:sz w:val="24"/>
          <w:szCs w:val="24"/>
          <w:highlight w:val="yellow"/>
        </w:rPr>
        <w:t> </w:t>
      </w:r>
      <w:r w:rsidR="005566B0" w:rsidRPr="003E0342">
        <w:rPr>
          <w:rFonts w:ascii="Times New Roman" w:hAnsi="Times New Roman" w:cs="Times New Roman"/>
          <w:sz w:val="24"/>
          <w:szCs w:val="24"/>
          <w:highlight w:val="yellow"/>
        </w:rPr>
        <w:t>%</w:t>
      </w:r>
      <w:r w:rsidR="005566B0" w:rsidRPr="004B3847">
        <w:rPr>
          <w:rFonts w:ascii="Times New Roman" w:hAnsi="Times New Roman" w:cs="Times New Roman"/>
          <w:sz w:val="24"/>
          <w:szCs w:val="24"/>
        </w:rPr>
        <w:t>. Elle est susceptible d’entraîner une perte compte tenu qu’EAI devra verser entre 500 000</w:t>
      </w:r>
      <w:r w:rsidR="00EA0B89" w:rsidRPr="004B3847">
        <w:rPr>
          <w:rFonts w:ascii="Times New Roman" w:hAnsi="Times New Roman" w:cs="Times New Roman"/>
          <w:sz w:val="24"/>
          <w:szCs w:val="24"/>
        </w:rPr>
        <w:t> </w:t>
      </w:r>
      <w:r w:rsidR="005566B0" w:rsidRPr="004B3847">
        <w:rPr>
          <w:rFonts w:ascii="Times New Roman" w:hAnsi="Times New Roman" w:cs="Times New Roman"/>
          <w:sz w:val="24"/>
          <w:szCs w:val="24"/>
        </w:rPr>
        <w:t>$ et 750 000</w:t>
      </w:r>
      <w:r w:rsidR="00EA0B89" w:rsidRPr="004B3847">
        <w:rPr>
          <w:rFonts w:ascii="Times New Roman" w:hAnsi="Times New Roman" w:cs="Times New Roman"/>
          <w:sz w:val="24"/>
          <w:szCs w:val="24"/>
        </w:rPr>
        <w:t> </w:t>
      </w:r>
      <w:r w:rsidR="005566B0" w:rsidRPr="004B3847">
        <w:rPr>
          <w:rFonts w:ascii="Times New Roman" w:hAnsi="Times New Roman" w:cs="Times New Roman"/>
          <w:sz w:val="24"/>
          <w:szCs w:val="24"/>
        </w:rPr>
        <w:t>$ si elle est reconnue coupable. C’est donc seulement lorsque le verdict du procès tombera que la création de la dette sera confirmée.</w:t>
      </w:r>
    </w:p>
    <w:p w14:paraId="388DF318" w14:textId="26314994" w:rsidR="004B3847" w:rsidRPr="006E789E" w:rsidRDefault="004B3847" w:rsidP="005A6EA4">
      <w:pPr>
        <w:jc w:val="both"/>
        <w:rPr>
          <w:rFonts w:ascii="Times New Roman" w:hAnsi="Times New Roman" w:cs="Times New Roman"/>
          <w:color w:val="0070C0"/>
          <w:sz w:val="24"/>
          <w:szCs w:val="24"/>
        </w:rPr>
      </w:pPr>
      <w:r w:rsidRPr="004B3847">
        <w:rPr>
          <w:rFonts w:ascii="Times New Roman" w:hAnsi="Times New Roman" w:cs="Times New Roman"/>
          <w:color w:val="0070C0"/>
          <w:sz w:val="24"/>
          <w:szCs w:val="24"/>
        </w:rPr>
        <w:t xml:space="preserve">23     L'acquéreur doit comptabiliser à la date d'acquisition un passif éventuel repris à l'occasion d'un regroupement d'entreprises s'il s'agit d'une obligation actuelle découlant d'événements passés et si sa juste valeur peut être évaluée de manière fiable. Aussi, contrairement aux paragraphes 14(b), 23, 27, 29 et 30 d'IAS 37, l'acquéreur comptabilise un passif éventuel repris à l'occasion d'un regroupement d'entreprises à la date d'acquisition </w:t>
      </w:r>
      <w:r w:rsidRPr="006E789E">
        <w:rPr>
          <w:rFonts w:ascii="Times New Roman" w:hAnsi="Times New Roman" w:cs="Times New Roman"/>
          <w:b/>
          <w:bCs/>
          <w:color w:val="0070C0"/>
          <w:sz w:val="24"/>
          <w:szCs w:val="24"/>
        </w:rPr>
        <w:t>même s'il n'est pas probable qu'une sortie de ressources représentatives d'avantages économiques soit nécessaire pour éteindre l'obligation</w:t>
      </w:r>
      <w:r w:rsidRPr="006E789E">
        <w:rPr>
          <w:rFonts w:ascii="Times New Roman" w:hAnsi="Times New Roman" w:cs="Times New Roman"/>
          <w:color w:val="0070C0"/>
          <w:sz w:val="24"/>
          <w:szCs w:val="24"/>
        </w:rPr>
        <w:t>. Le paragraphe 56 de la présente norme fournit des indications sur la comptabilisation ultérieure de passifs éventuels.</w:t>
      </w:r>
    </w:p>
    <w:p w14:paraId="5ACC87AE" w14:textId="72788F23" w:rsidR="00D12833" w:rsidRPr="006E789E" w:rsidRDefault="00D8051C" w:rsidP="005A6EA4">
      <w:pPr>
        <w:jc w:val="both"/>
        <w:rPr>
          <w:rFonts w:ascii="Times New Roman" w:hAnsi="Times New Roman" w:cs="Times New Roman"/>
          <w:sz w:val="24"/>
          <w:szCs w:val="24"/>
        </w:rPr>
      </w:pPr>
      <w:r w:rsidRPr="006E789E">
        <w:rPr>
          <w:rFonts w:ascii="Times New Roman" w:hAnsi="Times New Roman" w:cs="Times New Roman"/>
          <w:sz w:val="24"/>
          <w:szCs w:val="24"/>
        </w:rPr>
        <w:lastRenderedPageBreak/>
        <w:t>Il faut donc évaluer si la poursuite est un passif éventuel :</w:t>
      </w:r>
    </w:p>
    <w:p w14:paraId="6457A5D3" w14:textId="5BC1905F" w:rsidR="00D8051C" w:rsidRPr="006E789E" w:rsidRDefault="00D8051C" w:rsidP="00D8051C">
      <w:pPr>
        <w:pStyle w:val="Paragraphedeliste"/>
        <w:numPr>
          <w:ilvl w:val="0"/>
          <w:numId w:val="8"/>
        </w:numPr>
        <w:jc w:val="both"/>
        <w:rPr>
          <w:rFonts w:ascii="Times New Roman" w:hAnsi="Times New Roman" w:cs="Times New Roman"/>
          <w:sz w:val="24"/>
          <w:szCs w:val="24"/>
        </w:rPr>
      </w:pPr>
      <w:r w:rsidRPr="006E789E">
        <w:rPr>
          <w:rFonts w:ascii="Times New Roman" w:hAnsi="Times New Roman" w:cs="Times New Roman"/>
          <w:sz w:val="24"/>
          <w:szCs w:val="24"/>
        </w:rPr>
        <w:t xml:space="preserve">Obligation actuelle, </w:t>
      </w:r>
      <w:r w:rsidR="00EA0B89" w:rsidRPr="006E789E">
        <w:rPr>
          <w:rFonts w:ascii="Times New Roman" w:hAnsi="Times New Roman" w:cs="Times New Roman"/>
          <w:sz w:val="24"/>
          <w:szCs w:val="24"/>
        </w:rPr>
        <w:t xml:space="preserve">OUI </w:t>
      </w:r>
      <w:r w:rsidRPr="006E789E">
        <w:rPr>
          <w:rFonts w:ascii="Times New Roman" w:hAnsi="Times New Roman" w:cs="Times New Roman"/>
          <w:sz w:val="24"/>
          <w:szCs w:val="24"/>
        </w:rPr>
        <w:t>car la poursuite a été intentée et EAI devra se plier au verdict, quel qu’il soit.</w:t>
      </w:r>
    </w:p>
    <w:p w14:paraId="06873346" w14:textId="5CA6403E" w:rsidR="00D8051C" w:rsidRPr="006E789E" w:rsidRDefault="00D8051C" w:rsidP="00D8051C">
      <w:pPr>
        <w:pStyle w:val="Paragraphedeliste"/>
        <w:numPr>
          <w:ilvl w:val="0"/>
          <w:numId w:val="8"/>
        </w:numPr>
        <w:jc w:val="both"/>
        <w:rPr>
          <w:rFonts w:ascii="Times New Roman" w:hAnsi="Times New Roman" w:cs="Times New Roman"/>
          <w:sz w:val="24"/>
          <w:szCs w:val="24"/>
        </w:rPr>
      </w:pPr>
      <w:r w:rsidRPr="006E789E">
        <w:rPr>
          <w:rFonts w:ascii="Times New Roman" w:hAnsi="Times New Roman" w:cs="Times New Roman"/>
          <w:sz w:val="24"/>
          <w:szCs w:val="24"/>
        </w:rPr>
        <w:t xml:space="preserve">Découlant d’événements passés, </w:t>
      </w:r>
      <w:r w:rsidR="00EA0B89" w:rsidRPr="006E789E">
        <w:rPr>
          <w:rFonts w:ascii="Times New Roman" w:hAnsi="Times New Roman" w:cs="Times New Roman"/>
          <w:sz w:val="24"/>
          <w:szCs w:val="24"/>
        </w:rPr>
        <w:t xml:space="preserve">OUI </w:t>
      </w:r>
      <w:r w:rsidRPr="006E789E">
        <w:rPr>
          <w:rFonts w:ascii="Times New Roman" w:hAnsi="Times New Roman" w:cs="Times New Roman"/>
          <w:sz w:val="24"/>
          <w:szCs w:val="24"/>
        </w:rPr>
        <w:t>car la poursuite a été intentée en 20</w:t>
      </w:r>
      <w:r w:rsidR="006E789E">
        <w:rPr>
          <w:rFonts w:ascii="Times New Roman" w:hAnsi="Times New Roman" w:cs="Times New Roman"/>
          <w:sz w:val="24"/>
          <w:szCs w:val="24"/>
        </w:rPr>
        <w:t>2</w:t>
      </w:r>
      <w:r w:rsidR="00B700BC">
        <w:rPr>
          <w:rFonts w:ascii="Times New Roman" w:hAnsi="Times New Roman" w:cs="Times New Roman"/>
          <w:sz w:val="24"/>
          <w:szCs w:val="24"/>
        </w:rPr>
        <w:t>3</w:t>
      </w:r>
      <w:r w:rsidRPr="006E789E">
        <w:rPr>
          <w:rFonts w:ascii="Times New Roman" w:hAnsi="Times New Roman" w:cs="Times New Roman"/>
          <w:sz w:val="24"/>
          <w:szCs w:val="24"/>
        </w:rPr>
        <w:t xml:space="preserve"> à cause d’EAI qui aurait supposément plagié la collection du designer américain.</w:t>
      </w:r>
    </w:p>
    <w:p w14:paraId="59EC60E4" w14:textId="4A01478D" w:rsidR="00D8051C" w:rsidRPr="00C07B63" w:rsidRDefault="00D8051C" w:rsidP="00D8051C">
      <w:pPr>
        <w:pStyle w:val="Paragraphedeliste"/>
        <w:numPr>
          <w:ilvl w:val="0"/>
          <w:numId w:val="8"/>
        </w:numPr>
        <w:jc w:val="both"/>
        <w:rPr>
          <w:rFonts w:ascii="Times New Roman" w:hAnsi="Times New Roman" w:cs="Times New Roman"/>
          <w:sz w:val="24"/>
          <w:szCs w:val="24"/>
        </w:rPr>
      </w:pPr>
      <w:r w:rsidRPr="006E789E">
        <w:rPr>
          <w:rFonts w:ascii="Times New Roman" w:hAnsi="Times New Roman" w:cs="Times New Roman"/>
          <w:sz w:val="24"/>
          <w:szCs w:val="24"/>
        </w:rPr>
        <w:t xml:space="preserve">Juste valeur peut être évaluée de manière fiable, </w:t>
      </w:r>
      <w:r w:rsidR="00EA0B89" w:rsidRPr="006E789E">
        <w:rPr>
          <w:rFonts w:ascii="Times New Roman" w:hAnsi="Times New Roman" w:cs="Times New Roman"/>
          <w:sz w:val="24"/>
          <w:szCs w:val="24"/>
        </w:rPr>
        <w:t xml:space="preserve">OUI </w:t>
      </w:r>
      <w:r w:rsidRPr="006E789E">
        <w:rPr>
          <w:rFonts w:ascii="Times New Roman" w:hAnsi="Times New Roman" w:cs="Times New Roman"/>
          <w:sz w:val="24"/>
          <w:szCs w:val="24"/>
        </w:rPr>
        <w:t>car le règlement est estimé entre 500 000</w:t>
      </w:r>
      <w:r w:rsidR="00EA0B89" w:rsidRPr="006E789E">
        <w:rPr>
          <w:rFonts w:ascii="Times New Roman" w:hAnsi="Times New Roman" w:cs="Times New Roman"/>
          <w:sz w:val="24"/>
          <w:szCs w:val="24"/>
        </w:rPr>
        <w:t> </w:t>
      </w:r>
      <w:r w:rsidRPr="006E789E">
        <w:rPr>
          <w:rFonts w:ascii="Times New Roman" w:hAnsi="Times New Roman" w:cs="Times New Roman"/>
          <w:sz w:val="24"/>
          <w:szCs w:val="24"/>
        </w:rPr>
        <w:t>$ et 750 000</w:t>
      </w:r>
      <w:r w:rsidR="00EA0B89" w:rsidRPr="006E789E">
        <w:rPr>
          <w:rFonts w:ascii="Times New Roman" w:hAnsi="Times New Roman" w:cs="Times New Roman"/>
          <w:sz w:val="24"/>
          <w:szCs w:val="24"/>
        </w:rPr>
        <w:t> </w:t>
      </w:r>
      <w:r w:rsidRPr="006E789E">
        <w:rPr>
          <w:rFonts w:ascii="Times New Roman" w:hAnsi="Times New Roman" w:cs="Times New Roman"/>
          <w:sz w:val="24"/>
          <w:szCs w:val="24"/>
        </w:rPr>
        <w:t>$ (625 000</w:t>
      </w:r>
      <w:r w:rsidR="00EA0B89" w:rsidRPr="006E789E">
        <w:rPr>
          <w:rFonts w:ascii="Times New Roman" w:hAnsi="Times New Roman" w:cs="Times New Roman"/>
          <w:sz w:val="24"/>
          <w:szCs w:val="24"/>
        </w:rPr>
        <w:t> </w:t>
      </w:r>
      <w:r w:rsidRPr="006E789E">
        <w:rPr>
          <w:rFonts w:ascii="Times New Roman" w:hAnsi="Times New Roman" w:cs="Times New Roman"/>
          <w:sz w:val="24"/>
          <w:szCs w:val="24"/>
        </w:rPr>
        <w:t>$</w:t>
      </w:r>
      <w:r w:rsidR="00EA0B89" w:rsidRPr="006E789E">
        <w:rPr>
          <w:rFonts w:ascii="Times New Roman" w:hAnsi="Times New Roman" w:cs="Times New Roman"/>
          <w:sz w:val="24"/>
          <w:szCs w:val="24"/>
        </w:rPr>
        <w:t xml:space="preserve"> étant</w:t>
      </w:r>
      <w:r w:rsidRPr="006E789E">
        <w:rPr>
          <w:rFonts w:ascii="Times New Roman" w:hAnsi="Times New Roman" w:cs="Times New Roman"/>
          <w:sz w:val="24"/>
          <w:szCs w:val="24"/>
        </w:rPr>
        <w:t xml:space="preserve"> le point-milieu des deux possibilités</w:t>
      </w:r>
      <w:r w:rsidR="0096531A" w:rsidRPr="006E789E">
        <w:rPr>
          <w:rFonts w:ascii="Times New Roman" w:hAnsi="Times New Roman" w:cs="Times New Roman"/>
          <w:sz w:val="24"/>
          <w:szCs w:val="24"/>
        </w:rPr>
        <w:t xml:space="preserve">, est </w:t>
      </w:r>
      <w:r w:rsidR="0096531A" w:rsidRPr="00C07B63">
        <w:rPr>
          <w:rFonts w:ascii="Times New Roman" w:hAnsi="Times New Roman" w:cs="Times New Roman"/>
          <w:sz w:val="24"/>
          <w:szCs w:val="24"/>
        </w:rPr>
        <w:t>une estimation fiable</w:t>
      </w:r>
      <w:r w:rsidRPr="00C07B63">
        <w:rPr>
          <w:rFonts w:ascii="Times New Roman" w:hAnsi="Times New Roman" w:cs="Times New Roman"/>
          <w:sz w:val="24"/>
          <w:szCs w:val="24"/>
        </w:rPr>
        <w:t>).</w:t>
      </w:r>
    </w:p>
    <w:p w14:paraId="01885505" w14:textId="00069850" w:rsidR="00C07B63" w:rsidRDefault="00C07B63" w:rsidP="00B076BF">
      <w:pPr>
        <w:jc w:val="both"/>
        <w:rPr>
          <w:rFonts w:ascii="Times New Roman" w:hAnsi="Times New Roman" w:cs="Times New Roman"/>
          <w:sz w:val="24"/>
          <w:szCs w:val="24"/>
        </w:rPr>
      </w:pPr>
      <w:r>
        <w:rPr>
          <w:rFonts w:ascii="Times New Roman" w:hAnsi="Times New Roman" w:cs="Times New Roman"/>
          <w:sz w:val="24"/>
          <w:szCs w:val="24"/>
        </w:rPr>
        <w:t xml:space="preserve">Actuellement, il est plus probable qu’improbable qu’il n’y ait pas de sortie de ressources représentatives d’avantages économiques, car il y a une probabilité égale à 45 % qu’EAI perde et doive verser entre 500 000 $ et 750 000 $. </w:t>
      </w:r>
    </w:p>
    <w:p w14:paraId="2E22B9ED" w14:textId="168D0DB4" w:rsidR="00B076BF" w:rsidRPr="00C07B63" w:rsidRDefault="00B076BF" w:rsidP="00B076BF">
      <w:pPr>
        <w:jc w:val="both"/>
        <w:rPr>
          <w:rFonts w:ascii="Times New Roman" w:hAnsi="Times New Roman" w:cs="Times New Roman"/>
          <w:sz w:val="24"/>
          <w:szCs w:val="24"/>
        </w:rPr>
      </w:pPr>
      <w:r w:rsidRPr="00C07B63">
        <w:rPr>
          <w:rFonts w:ascii="Times New Roman" w:hAnsi="Times New Roman" w:cs="Times New Roman"/>
          <w:sz w:val="24"/>
          <w:szCs w:val="24"/>
        </w:rPr>
        <w:t>Il faut également appliquer les probabilités liées aux deux scénarios : gagnera ou perdra la poursuite. (</w:t>
      </w:r>
      <w:proofErr w:type="gramStart"/>
      <w:r w:rsidRPr="00C07B63">
        <w:rPr>
          <w:rFonts w:ascii="Times New Roman" w:hAnsi="Times New Roman" w:cs="Times New Roman"/>
          <w:sz w:val="24"/>
          <w:szCs w:val="24"/>
        </w:rPr>
        <w:t>voir</w:t>
      </w:r>
      <w:proofErr w:type="gramEnd"/>
      <w:r w:rsidRPr="00C07B63">
        <w:rPr>
          <w:rFonts w:ascii="Times New Roman" w:hAnsi="Times New Roman" w:cs="Times New Roman"/>
          <w:sz w:val="24"/>
          <w:szCs w:val="24"/>
        </w:rPr>
        <w:t xml:space="preserve"> document Excel, onglet A.2, </w:t>
      </w:r>
      <w:r w:rsidR="00A07120">
        <w:rPr>
          <w:rFonts w:ascii="Times New Roman" w:hAnsi="Times New Roman" w:cs="Times New Roman"/>
          <w:sz w:val="24"/>
          <w:szCs w:val="24"/>
        </w:rPr>
        <w:t xml:space="preserve">note </w:t>
      </w:r>
      <w:r w:rsidR="003E0139">
        <w:rPr>
          <w:rFonts w:ascii="Times New Roman" w:hAnsi="Times New Roman" w:cs="Times New Roman"/>
          <w:sz w:val="24"/>
          <w:szCs w:val="24"/>
        </w:rPr>
        <w:t>1</w:t>
      </w:r>
      <w:r w:rsidRPr="00C07B63">
        <w:rPr>
          <w:rFonts w:ascii="Times New Roman" w:hAnsi="Times New Roman" w:cs="Times New Roman"/>
          <w:sz w:val="24"/>
          <w:szCs w:val="24"/>
        </w:rPr>
        <w:t>).</w:t>
      </w:r>
    </w:p>
    <w:p w14:paraId="45A26CF8" w14:textId="7560ADCE" w:rsidR="00A97750" w:rsidRDefault="003F3B15" w:rsidP="00D8051C">
      <w:pPr>
        <w:jc w:val="both"/>
        <w:rPr>
          <w:rFonts w:ascii="Times New Roman" w:hAnsi="Times New Roman" w:cs="Times New Roman"/>
          <w:sz w:val="24"/>
          <w:szCs w:val="24"/>
        </w:rPr>
      </w:pPr>
      <w:r>
        <w:rPr>
          <w:rFonts w:ascii="Times New Roman" w:hAnsi="Times New Roman" w:cs="Times New Roman"/>
          <w:sz w:val="24"/>
          <w:szCs w:val="24"/>
        </w:rPr>
        <w:t>Conclusion : Puisque</w:t>
      </w:r>
      <w:r w:rsidR="00D8051C" w:rsidRPr="00C07B63">
        <w:rPr>
          <w:rFonts w:ascii="Times New Roman" w:hAnsi="Times New Roman" w:cs="Times New Roman"/>
          <w:sz w:val="24"/>
          <w:szCs w:val="24"/>
        </w:rPr>
        <w:t xml:space="preserve"> cela répond à la définition de passif éventuel, </w:t>
      </w:r>
      <w:r w:rsidR="00A97750" w:rsidRPr="00C07B63">
        <w:rPr>
          <w:rFonts w:ascii="Times New Roman" w:hAnsi="Times New Roman" w:cs="Times New Roman"/>
          <w:sz w:val="24"/>
          <w:szCs w:val="24"/>
        </w:rPr>
        <w:t>il faut donc comptabiliser la poursuite comme</w:t>
      </w:r>
      <w:r w:rsidR="00003BBF" w:rsidRPr="00C07B63">
        <w:rPr>
          <w:rFonts w:ascii="Times New Roman" w:hAnsi="Times New Roman" w:cs="Times New Roman"/>
          <w:sz w:val="24"/>
          <w:szCs w:val="24"/>
        </w:rPr>
        <w:t xml:space="preserve"> faisant partie des</w:t>
      </w:r>
      <w:r w:rsidR="00A97750" w:rsidRPr="00C07B63">
        <w:rPr>
          <w:rFonts w:ascii="Times New Roman" w:hAnsi="Times New Roman" w:cs="Times New Roman"/>
          <w:sz w:val="24"/>
          <w:szCs w:val="24"/>
        </w:rPr>
        <w:t xml:space="preserve"> passif</w:t>
      </w:r>
      <w:r w:rsidR="00003BBF" w:rsidRPr="00C07B63">
        <w:rPr>
          <w:rFonts w:ascii="Times New Roman" w:hAnsi="Times New Roman" w:cs="Times New Roman"/>
          <w:sz w:val="24"/>
          <w:szCs w:val="24"/>
        </w:rPr>
        <w:t>s</w:t>
      </w:r>
      <w:r w:rsidR="00A97750" w:rsidRPr="00C07B63">
        <w:rPr>
          <w:rFonts w:ascii="Times New Roman" w:hAnsi="Times New Roman" w:cs="Times New Roman"/>
          <w:sz w:val="24"/>
          <w:szCs w:val="24"/>
        </w:rPr>
        <w:t xml:space="preserve"> repris dans le cadre du regroupement d’entreprise.</w:t>
      </w:r>
    </w:p>
    <w:p w14:paraId="5BADB50C" w14:textId="77777777" w:rsidR="003F1B58" w:rsidRPr="00C07B63" w:rsidRDefault="003F1B58" w:rsidP="003F1B58">
      <w:pPr>
        <w:jc w:val="both"/>
        <w:rPr>
          <w:rFonts w:ascii="Times New Roman" w:hAnsi="Times New Roman" w:cs="Times New Roman"/>
          <w:sz w:val="24"/>
          <w:szCs w:val="24"/>
        </w:rPr>
      </w:pPr>
      <w:r w:rsidRPr="00C07B63">
        <w:rPr>
          <w:rFonts w:ascii="Times New Roman" w:hAnsi="Times New Roman" w:cs="Times New Roman"/>
          <w:sz w:val="24"/>
          <w:szCs w:val="24"/>
        </w:rPr>
        <w:t xml:space="preserve">Impôts </w:t>
      </w:r>
      <w:r>
        <w:rPr>
          <w:rFonts w:ascii="Times New Roman" w:hAnsi="Times New Roman" w:cs="Times New Roman"/>
          <w:sz w:val="24"/>
          <w:szCs w:val="24"/>
        </w:rPr>
        <w:t>différés</w:t>
      </w:r>
    </w:p>
    <w:p w14:paraId="3207797B" w14:textId="77777777" w:rsidR="003F1B58" w:rsidRPr="00C07B63" w:rsidRDefault="003F1B58" w:rsidP="003F1B58">
      <w:pPr>
        <w:jc w:val="both"/>
        <w:rPr>
          <w:rFonts w:ascii="Times New Roman" w:hAnsi="Times New Roman" w:cs="Times New Roman"/>
          <w:color w:val="0070C0"/>
          <w:sz w:val="24"/>
          <w:szCs w:val="24"/>
        </w:rPr>
      </w:pPr>
      <w:r w:rsidRPr="00C07B63">
        <w:rPr>
          <w:rFonts w:ascii="Times New Roman" w:hAnsi="Times New Roman" w:cs="Times New Roman"/>
          <w:color w:val="0070C0"/>
          <w:sz w:val="24"/>
          <w:szCs w:val="24"/>
        </w:rPr>
        <w:t xml:space="preserve">Selon </w:t>
      </w:r>
      <w:r>
        <w:rPr>
          <w:rFonts w:ascii="Times New Roman" w:hAnsi="Times New Roman" w:cs="Times New Roman"/>
          <w:color w:val="0070C0"/>
          <w:sz w:val="24"/>
          <w:szCs w:val="24"/>
        </w:rPr>
        <w:t>IAS 12</w:t>
      </w:r>
      <w:r w:rsidRPr="00C07B63">
        <w:rPr>
          <w:rFonts w:ascii="Times New Roman" w:hAnsi="Times New Roman" w:cs="Times New Roman"/>
          <w:color w:val="0070C0"/>
          <w:sz w:val="24"/>
          <w:szCs w:val="24"/>
        </w:rPr>
        <w:t>,</w:t>
      </w:r>
    </w:p>
    <w:p w14:paraId="63CC41A4" w14:textId="77777777" w:rsidR="003F1B58" w:rsidRDefault="003F1B58" w:rsidP="003F1B58">
      <w:pPr>
        <w:jc w:val="both"/>
        <w:rPr>
          <w:rFonts w:ascii="Times New Roman" w:hAnsi="Times New Roman" w:cs="Times New Roman"/>
          <w:color w:val="0070C0"/>
          <w:sz w:val="24"/>
          <w:szCs w:val="24"/>
        </w:rPr>
      </w:pPr>
      <w:r w:rsidRPr="00C07B63">
        <w:rPr>
          <w:rFonts w:ascii="Times New Roman" w:hAnsi="Times New Roman" w:cs="Times New Roman"/>
          <w:color w:val="0070C0"/>
          <w:sz w:val="24"/>
          <w:szCs w:val="24"/>
        </w:rPr>
        <w:t xml:space="preserve">19     Sauf quelques exceptions limitées, les actifs acquis et les passifs repris identifiables lors d'un regroupement d'entreprises sont comptabilisés à leur juste valeur à la date d'acquisition. Des différences temporaires sont générées </w:t>
      </w:r>
      <w:r w:rsidRPr="00C07B63">
        <w:rPr>
          <w:rFonts w:ascii="Times New Roman" w:hAnsi="Times New Roman" w:cs="Times New Roman"/>
          <w:b/>
          <w:bCs/>
          <w:color w:val="0070C0"/>
          <w:sz w:val="24"/>
          <w:szCs w:val="24"/>
        </w:rPr>
        <w:t>lorsque la base fiscale des actifs acquis et des passifs repris identifiables n'est pas affectée par le regroupement d'entreprises ou est affectée de manière différente</w:t>
      </w:r>
      <w:r w:rsidRPr="00C07B63">
        <w:rPr>
          <w:rFonts w:ascii="Times New Roman" w:hAnsi="Times New Roman" w:cs="Times New Roman"/>
          <w:color w:val="0070C0"/>
          <w:sz w:val="24"/>
          <w:szCs w:val="24"/>
        </w:rPr>
        <w:t>. Par exemple, lorsque la valeur comptable d'un actif est majorée pour atteindre sa juste valeur mais que la base fiscale de cet actif demeure égale au coût pour le détenteur précédent, il en résulte une différence temporaire imposable qui donne lieu à un passif d'impôt différé. Le passif d'impôt différé correspondant affecte le goodwill (voir paragraphe 66).</w:t>
      </w:r>
    </w:p>
    <w:p w14:paraId="2DFF283D" w14:textId="77777777" w:rsidR="003F1B58" w:rsidRDefault="003F1B58" w:rsidP="003F1B58">
      <w:pPr>
        <w:jc w:val="both"/>
        <w:rPr>
          <w:rFonts w:ascii="Times New Roman" w:hAnsi="Times New Roman" w:cs="Times New Roman"/>
          <w:color w:val="0070C0"/>
          <w:sz w:val="24"/>
          <w:szCs w:val="24"/>
          <w:highlight w:val="yellow"/>
        </w:rPr>
      </w:pPr>
      <w:r w:rsidRPr="00C07B63">
        <w:rPr>
          <w:rFonts w:ascii="Times New Roman" w:hAnsi="Times New Roman" w:cs="Times New Roman"/>
          <w:color w:val="0070C0"/>
          <w:sz w:val="24"/>
          <w:szCs w:val="24"/>
        </w:rPr>
        <w:t xml:space="preserve">66     Comme expliqué aux paragraphes 19 et 26(c), des différences temporaires peuvent être générées lors d'un regroupement d'entreprises. </w:t>
      </w:r>
      <w:r w:rsidRPr="00D17B91">
        <w:rPr>
          <w:rFonts w:ascii="Times New Roman" w:hAnsi="Times New Roman" w:cs="Times New Roman"/>
          <w:b/>
          <w:bCs/>
          <w:color w:val="0070C0"/>
          <w:sz w:val="24"/>
          <w:szCs w:val="24"/>
        </w:rPr>
        <w:t>Selon IFRS 3, une entité comptabilise des actifs d'impôt différé</w:t>
      </w:r>
      <w:r w:rsidRPr="00C07B63">
        <w:rPr>
          <w:rFonts w:ascii="Times New Roman" w:hAnsi="Times New Roman" w:cs="Times New Roman"/>
          <w:color w:val="0070C0"/>
          <w:sz w:val="24"/>
          <w:szCs w:val="24"/>
        </w:rPr>
        <w:t xml:space="preserve"> (dans la mesure où ils satisfont aux critères de comptabilisation du paragraphe 24 de la présente norme) </w:t>
      </w:r>
      <w:r w:rsidRPr="00D17B91">
        <w:rPr>
          <w:rFonts w:ascii="Times New Roman" w:hAnsi="Times New Roman" w:cs="Times New Roman"/>
          <w:b/>
          <w:bCs/>
          <w:color w:val="0070C0"/>
          <w:sz w:val="24"/>
          <w:szCs w:val="24"/>
        </w:rPr>
        <w:t>ou des passifs d'impôt différé correspondants en tant qu'actifs et passifs identifiables à la date d'acquisition</w:t>
      </w:r>
      <w:r w:rsidRPr="00C07B63">
        <w:rPr>
          <w:rFonts w:ascii="Times New Roman" w:hAnsi="Times New Roman" w:cs="Times New Roman"/>
          <w:color w:val="0070C0"/>
          <w:sz w:val="24"/>
          <w:szCs w:val="24"/>
        </w:rPr>
        <w:t xml:space="preserve">. </w:t>
      </w:r>
      <w:r>
        <w:rPr>
          <w:rFonts w:ascii="Times New Roman" w:hAnsi="Times New Roman" w:cs="Times New Roman"/>
          <w:color w:val="0070C0"/>
          <w:sz w:val="24"/>
          <w:szCs w:val="24"/>
        </w:rPr>
        <w:t>[…]</w:t>
      </w:r>
    </w:p>
    <w:p w14:paraId="30B78913" w14:textId="30849941" w:rsidR="003F1B58" w:rsidRPr="00A07120" w:rsidRDefault="003F1B58" w:rsidP="003F1B58">
      <w:pPr>
        <w:jc w:val="both"/>
        <w:rPr>
          <w:rFonts w:ascii="Times New Roman" w:hAnsi="Times New Roman" w:cs="Times New Roman"/>
          <w:sz w:val="24"/>
          <w:szCs w:val="24"/>
        </w:rPr>
      </w:pPr>
      <w:r w:rsidRPr="00C07B63">
        <w:rPr>
          <w:rFonts w:ascii="Times New Roman" w:hAnsi="Times New Roman" w:cs="Times New Roman"/>
          <w:sz w:val="24"/>
          <w:szCs w:val="24"/>
        </w:rPr>
        <w:t xml:space="preserve">Il faut comptabiliser les différences temporelles liées à la réévaluation à la juste valeur des actifs acquis et des passifs repris. En effet, pour la comptabilisation du regroupement en date de l’acquisition, les bases comptables des actifs et des passifs sont augmentées à leur juste valeur. Il n’y a pas eu de changement de base fiscale. Il faut donc comptabiliser et </w:t>
      </w:r>
      <w:r w:rsidRPr="00A07120">
        <w:rPr>
          <w:rFonts w:ascii="Times New Roman" w:hAnsi="Times New Roman" w:cs="Times New Roman"/>
          <w:sz w:val="24"/>
          <w:szCs w:val="24"/>
        </w:rPr>
        <w:t>évaluer l’écart temporaire qui en résulte ainsi.</w:t>
      </w:r>
    </w:p>
    <w:p w14:paraId="79D948DA" w14:textId="25E26967" w:rsidR="00A44B9E" w:rsidRDefault="003F1B58" w:rsidP="005A6EA4">
      <w:pPr>
        <w:jc w:val="both"/>
        <w:rPr>
          <w:rFonts w:ascii="Times New Roman" w:hAnsi="Times New Roman" w:cs="Times New Roman"/>
          <w:sz w:val="24"/>
          <w:szCs w:val="24"/>
        </w:rPr>
      </w:pPr>
      <w:r w:rsidRPr="00A07120">
        <w:rPr>
          <w:rFonts w:ascii="Times New Roman" w:hAnsi="Times New Roman" w:cs="Times New Roman"/>
          <w:sz w:val="24"/>
          <w:szCs w:val="24"/>
        </w:rPr>
        <w:lastRenderedPageBreak/>
        <w:t>L’écart temporaire résultant des réévaluations résulte donc en un passif d’impôts différés de 4</w:t>
      </w:r>
      <w:r>
        <w:rPr>
          <w:rFonts w:ascii="Times New Roman" w:hAnsi="Times New Roman" w:cs="Times New Roman"/>
          <w:sz w:val="24"/>
          <w:szCs w:val="24"/>
        </w:rPr>
        <w:t>5</w:t>
      </w:r>
      <w:r w:rsidR="00ED7B94">
        <w:rPr>
          <w:rFonts w:ascii="Times New Roman" w:hAnsi="Times New Roman" w:cs="Times New Roman"/>
          <w:sz w:val="24"/>
          <w:szCs w:val="24"/>
        </w:rPr>
        <w:t>4</w:t>
      </w:r>
      <w:r w:rsidRPr="00A07120">
        <w:rPr>
          <w:rFonts w:ascii="Times New Roman" w:hAnsi="Times New Roman" w:cs="Times New Roman"/>
          <w:sz w:val="24"/>
          <w:szCs w:val="24"/>
        </w:rPr>
        <w:t> 000 $ (voir document Excel</w:t>
      </w:r>
      <w:r w:rsidRPr="00C07B63">
        <w:rPr>
          <w:rFonts w:ascii="Times New Roman" w:hAnsi="Times New Roman" w:cs="Times New Roman"/>
          <w:sz w:val="24"/>
          <w:szCs w:val="24"/>
        </w:rPr>
        <w:t xml:space="preserve">, onglet A.2, </w:t>
      </w:r>
      <w:r>
        <w:rPr>
          <w:rFonts w:ascii="Times New Roman" w:hAnsi="Times New Roman" w:cs="Times New Roman"/>
          <w:sz w:val="24"/>
          <w:szCs w:val="24"/>
        </w:rPr>
        <w:t xml:space="preserve">note </w:t>
      </w:r>
      <w:r w:rsidR="00ED7B94">
        <w:rPr>
          <w:rFonts w:ascii="Times New Roman" w:hAnsi="Times New Roman" w:cs="Times New Roman"/>
          <w:sz w:val="24"/>
          <w:szCs w:val="24"/>
        </w:rPr>
        <w:t>2</w:t>
      </w:r>
      <w:r w:rsidRPr="00C07B63">
        <w:rPr>
          <w:rFonts w:ascii="Times New Roman" w:hAnsi="Times New Roman" w:cs="Times New Roman"/>
          <w:sz w:val="24"/>
          <w:szCs w:val="24"/>
        </w:rPr>
        <w:t>).</w:t>
      </w:r>
    </w:p>
    <w:p w14:paraId="20CF0E84" w14:textId="6925F479" w:rsidR="00D17B91" w:rsidRPr="00D17B91" w:rsidRDefault="006B1ADB" w:rsidP="00D267A4">
      <w:pPr>
        <w:jc w:val="both"/>
        <w:rPr>
          <w:rFonts w:ascii="Times New Roman" w:hAnsi="Times New Roman" w:cs="Times New Roman"/>
          <w:sz w:val="24"/>
          <w:szCs w:val="24"/>
          <w:u w:val="single"/>
        </w:rPr>
      </w:pPr>
      <w:r w:rsidRPr="00D17B91">
        <w:rPr>
          <w:rFonts w:ascii="Times New Roman" w:hAnsi="Times New Roman" w:cs="Times New Roman"/>
          <w:sz w:val="24"/>
          <w:szCs w:val="24"/>
          <w:u w:val="single"/>
        </w:rPr>
        <w:t xml:space="preserve">Étape </w:t>
      </w:r>
      <w:r w:rsidR="00D12833" w:rsidRPr="00D17B91">
        <w:rPr>
          <w:rFonts w:ascii="Times New Roman" w:hAnsi="Times New Roman" w:cs="Times New Roman"/>
          <w:sz w:val="24"/>
          <w:szCs w:val="24"/>
          <w:u w:val="single"/>
        </w:rPr>
        <w:t>4</w:t>
      </w:r>
      <w:r w:rsidRPr="00D17B91">
        <w:rPr>
          <w:rFonts w:ascii="Times New Roman" w:hAnsi="Times New Roman" w:cs="Times New Roman"/>
          <w:sz w:val="24"/>
          <w:szCs w:val="24"/>
          <w:u w:val="single"/>
        </w:rPr>
        <w:t xml:space="preserve"> : </w:t>
      </w:r>
      <w:r w:rsidR="00D12833" w:rsidRPr="00D17B91">
        <w:rPr>
          <w:rFonts w:ascii="Times New Roman" w:hAnsi="Times New Roman" w:cs="Times New Roman"/>
          <w:sz w:val="24"/>
          <w:szCs w:val="24"/>
          <w:u w:val="single"/>
        </w:rPr>
        <w:t>déterminer la contrepartie transférée</w:t>
      </w:r>
    </w:p>
    <w:p w14:paraId="5963EA72" w14:textId="6F429003" w:rsidR="00D17B91" w:rsidRDefault="00D17B91" w:rsidP="00D267A4">
      <w:pPr>
        <w:jc w:val="both"/>
        <w:rPr>
          <w:rFonts w:ascii="Times New Roman" w:hAnsi="Times New Roman" w:cs="Times New Roman"/>
          <w:color w:val="0070C0"/>
          <w:sz w:val="24"/>
          <w:szCs w:val="24"/>
        </w:rPr>
      </w:pPr>
      <w:r w:rsidRPr="00D17B91">
        <w:rPr>
          <w:rFonts w:ascii="Times New Roman" w:hAnsi="Times New Roman" w:cs="Times New Roman"/>
          <w:color w:val="0070C0"/>
          <w:sz w:val="24"/>
          <w:szCs w:val="24"/>
        </w:rPr>
        <w:t xml:space="preserve">37     La contrepartie transférée à l'occasion d'un regroupement d'entreprises doit être évaluée à la juste valeur, qui doit être calculée comme étant la </w:t>
      </w:r>
      <w:r w:rsidRPr="00D17B91">
        <w:rPr>
          <w:rFonts w:ascii="Times New Roman" w:hAnsi="Times New Roman" w:cs="Times New Roman"/>
          <w:b/>
          <w:bCs/>
          <w:color w:val="0070C0"/>
          <w:sz w:val="24"/>
          <w:szCs w:val="24"/>
        </w:rPr>
        <w:t>somme des justes valeurs</w:t>
      </w:r>
      <w:r w:rsidRPr="00D17B91">
        <w:rPr>
          <w:rFonts w:ascii="Times New Roman" w:hAnsi="Times New Roman" w:cs="Times New Roman"/>
          <w:color w:val="0070C0"/>
          <w:sz w:val="24"/>
          <w:szCs w:val="24"/>
        </w:rPr>
        <w:t xml:space="preserve">, à la date d'acquisition, des actifs transférés par l'acquéreur, </w:t>
      </w:r>
      <w:r w:rsidRPr="00D17B91">
        <w:rPr>
          <w:rFonts w:ascii="Times New Roman" w:hAnsi="Times New Roman" w:cs="Times New Roman"/>
          <w:b/>
          <w:bCs/>
          <w:color w:val="0070C0"/>
          <w:sz w:val="24"/>
          <w:szCs w:val="24"/>
        </w:rPr>
        <w:t>des dettes contractées par l'acquéreur à l'égard des détenteurs antérieurs de l'entreprise acquise et des titres de capitaux propres émis par l'acquéreur.</w:t>
      </w:r>
      <w:r w:rsidRPr="00D17B91">
        <w:rPr>
          <w:rFonts w:ascii="Times New Roman" w:hAnsi="Times New Roman" w:cs="Times New Roman"/>
          <w:color w:val="0070C0"/>
          <w:sz w:val="24"/>
          <w:szCs w:val="24"/>
        </w:rPr>
        <w:t xml:space="preserve"> </w:t>
      </w:r>
      <w:r>
        <w:rPr>
          <w:rFonts w:ascii="Times New Roman" w:hAnsi="Times New Roman" w:cs="Times New Roman"/>
          <w:color w:val="0070C0"/>
          <w:sz w:val="24"/>
          <w:szCs w:val="24"/>
        </w:rPr>
        <w:t>[…]</w:t>
      </w:r>
      <w:r w:rsidRPr="00D17B91">
        <w:rPr>
          <w:rFonts w:ascii="Times New Roman" w:hAnsi="Times New Roman" w:cs="Times New Roman"/>
          <w:color w:val="0070C0"/>
          <w:sz w:val="24"/>
          <w:szCs w:val="24"/>
        </w:rPr>
        <w:t xml:space="preserve"> Sont des exemples de formes de </w:t>
      </w:r>
      <w:r w:rsidRPr="00D17B91">
        <w:rPr>
          <w:rFonts w:ascii="Times New Roman" w:hAnsi="Times New Roman" w:cs="Times New Roman"/>
          <w:b/>
          <w:bCs/>
          <w:color w:val="0070C0"/>
          <w:sz w:val="24"/>
          <w:szCs w:val="24"/>
        </w:rPr>
        <w:t>contrepartie potentielles</w:t>
      </w:r>
      <w:r w:rsidRPr="00D17B91">
        <w:rPr>
          <w:rFonts w:ascii="Times New Roman" w:hAnsi="Times New Roman" w:cs="Times New Roman"/>
          <w:color w:val="0070C0"/>
          <w:sz w:val="24"/>
          <w:szCs w:val="24"/>
        </w:rPr>
        <w:t xml:space="preserve"> la </w:t>
      </w:r>
      <w:r w:rsidRPr="00D17B91">
        <w:rPr>
          <w:rFonts w:ascii="Times New Roman" w:hAnsi="Times New Roman" w:cs="Times New Roman"/>
          <w:b/>
          <w:bCs/>
          <w:color w:val="0070C0"/>
          <w:sz w:val="24"/>
          <w:szCs w:val="24"/>
        </w:rPr>
        <w:t>trésorerie</w:t>
      </w:r>
      <w:r w:rsidRPr="00D17B91">
        <w:rPr>
          <w:rFonts w:ascii="Times New Roman" w:hAnsi="Times New Roman" w:cs="Times New Roman"/>
          <w:color w:val="0070C0"/>
          <w:sz w:val="24"/>
          <w:szCs w:val="24"/>
        </w:rPr>
        <w:t xml:space="preserve">, d'autres actifs, une entreprise ou une filiale de l'acquéreur, une </w:t>
      </w:r>
      <w:r w:rsidRPr="00D17B91">
        <w:rPr>
          <w:rFonts w:ascii="Times New Roman" w:hAnsi="Times New Roman" w:cs="Times New Roman"/>
          <w:b/>
          <w:bCs/>
          <w:color w:val="0070C0"/>
          <w:sz w:val="24"/>
          <w:szCs w:val="24"/>
        </w:rPr>
        <w:t>contrepartie éventuelle</w:t>
      </w:r>
      <w:r w:rsidRPr="00D17B91">
        <w:rPr>
          <w:rFonts w:ascii="Times New Roman" w:hAnsi="Times New Roman" w:cs="Times New Roman"/>
          <w:color w:val="0070C0"/>
          <w:sz w:val="24"/>
          <w:szCs w:val="24"/>
        </w:rPr>
        <w:t>, des instruments de capitaux propres ordinaires ou préférentiels, des options, des bons de souscription et les intérêts des sociétaires dans des entités mutuelles</w:t>
      </w:r>
      <w:r w:rsidR="00D12833" w:rsidRPr="00D17B91">
        <w:rPr>
          <w:rFonts w:ascii="Times New Roman" w:hAnsi="Times New Roman" w:cs="Times New Roman"/>
          <w:color w:val="0070C0"/>
          <w:sz w:val="24"/>
          <w:szCs w:val="24"/>
        </w:rPr>
        <w:t>.</w:t>
      </w:r>
    </w:p>
    <w:p w14:paraId="6B995F91" w14:textId="79F25467" w:rsidR="001E146F" w:rsidRPr="00D17B91" w:rsidRDefault="001E146F" w:rsidP="009D1B33">
      <w:pPr>
        <w:pStyle w:val="Paragraphedeliste"/>
        <w:numPr>
          <w:ilvl w:val="0"/>
          <w:numId w:val="28"/>
        </w:numPr>
        <w:jc w:val="both"/>
        <w:rPr>
          <w:rFonts w:ascii="Times New Roman" w:hAnsi="Times New Roman" w:cs="Times New Roman"/>
          <w:sz w:val="24"/>
          <w:szCs w:val="24"/>
        </w:rPr>
      </w:pPr>
      <w:r w:rsidRPr="00D17B91">
        <w:rPr>
          <w:rFonts w:ascii="Times New Roman" w:hAnsi="Times New Roman" w:cs="Times New Roman"/>
          <w:sz w:val="24"/>
          <w:szCs w:val="24"/>
        </w:rPr>
        <w:t xml:space="preserve">2 </w:t>
      </w:r>
      <w:r w:rsidR="00CE4565">
        <w:rPr>
          <w:rFonts w:ascii="Times New Roman" w:hAnsi="Times New Roman" w:cs="Times New Roman"/>
          <w:sz w:val="24"/>
          <w:szCs w:val="24"/>
        </w:rPr>
        <w:t>5</w:t>
      </w:r>
      <w:r w:rsidR="009D1B33" w:rsidRPr="00D17B91">
        <w:rPr>
          <w:rFonts w:ascii="Times New Roman" w:hAnsi="Times New Roman" w:cs="Times New Roman"/>
          <w:sz w:val="24"/>
          <w:szCs w:val="24"/>
        </w:rPr>
        <w:t>00 000 $</w:t>
      </w:r>
      <w:r w:rsidRPr="00D17B91">
        <w:rPr>
          <w:rFonts w:ascii="Times New Roman" w:hAnsi="Times New Roman" w:cs="Times New Roman"/>
          <w:sz w:val="24"/>
          <w:szCs w:val="24"/>
        </w:rPr>
        <w:t xml:space="preserve">, car c’est </w:t>
      </w:r>
      <w:r w:rsidR="00D17B91">
        <w:rPr>
          <w:rFonts w:ascii="Times New Roman" w:hAnsi="Times New Roman" w:cs="Times New Roman"/>
          <w:sz w:val="24"/>
          <w:szCs w:val="24"/>
        </w:rPr>
        <w:t xml:space="preserve">de la trésorerie </w:t>
      </w:r>
      <w:r w:rsidRPr="00D17B91">
        <w:rPr>
          <w:rFonts w:ascii="Times New Roman" w:hAnsi="Times New Roman" w:cs="Times New Roman"/>
          <w:sz w:val="24"/>
          <w:szCs w:val="24"/>
        </w:rPr>
        <w:t>transférée à Alexandre, soit le propriétaire antérieur.</w:t>
      </w:r>
    </w:p>
    <w:p w14:paraId="473CAF87" w14:textId="77777777" w:rsidR="006E1016" w:rsidRDefault="006E1016" w:rsidP="00D267A4">
      <w:pPr>
        <w:jc w:val="both"/>
        <w:rPr>
          <w:rFonts w:ascii="Times New Roman" w:hAnsi="Times New Roman" w:cs="Times New Roman"/>
          <w:sz w:val="24"/>
          <w:szCs w:val="24"/>
          <w:u w:val="single"/>
        </w:rPr>
      </w:pPr>
    </w:p>
    <w:p w14:paraId="3D970344" w14:textId="7E26AB7A" w:rsidR="00D12833" w:rsidRPr="00A32F0A" w:rsidRDefault="00D12833" w:rsidP="00D267A4">
      <w:pPr>
        <w:jc w:val="both"/>
        <w:rPr>
          <w:rFonts w:ascii="Times New Roman" w:hAnsi="Times New Roman" w:cs="Times New Roman"/>
          <w:sz w:val="24"/>
          <w:szCs w:val="24"/>
          <w:u w:val="single"/>
        </w:rPr>
      </w:pPr>
      <w:r w:rsidRPr="00A32F0A">
        <w:rPr>
          <w:rFonts w:ascii="Times New Roman" w:hAnsi="Times New Roman" w:cs="Times New Roman"/>
          <w:sz w:val="24"/>
          <w:szCs w:val="24"/>
          <w:u w:val="single"/>
        </w:rPr>
        <w:t>Étape 5 : comptabiliser et évaluer l’écart d’acquisition ou le gain résultant d’une acquisition à des conditions avantageuses</w:t>
      </w:r>
    </w:p>
    <w:p w14:paraId="2818056E" w14:textId="21FD12F2" w:rsidR="00A32F0A" w:rsidRPr="00A32F0A" w:rsidRDefault="00A32F0A" w:rsidP="00A32F0A">
      <w:pPr>
        <w:jc w:val="both"/>
        <w:rPr>
          <w:rFonts w:ascii="Times New Roman" w:hAnsi="Times New Roman" w:cs="Times New Roman"/>
          <w:color w:val="0070C0"/>
          <w:sz w:val="24"/>
          <w:szCs w:val="24"/>
        </w:rPr>
      </w:pPr>
      <w:r w:rsidRPr="00A32F0A">
        <w:rPr>
          <w:rFonts w:ascii="Times New Roman" w:hAnsi="Times New Roman" w:cs="Times New Roman"/>
          <w:color w:val="0070C0"/>
          <w:sz w:val="24"/>
          <w:szCs w:val="24"/>
        </w:rPr>
        <w:t>32     L'acquéreur doit comptabiliser le goodwill à la date d'acquisition, évalué comme étant l'excédent de (a) par rapport à (b) ci-dessous :</w:t>
      </w:r>
    </w:p>
    <w:p w14:paraId="40D8F9D3" w14:textId="082FE2DD" w:rsidR="00A32F0A" w:rsidRPr="00A32F0A" w:rsidRDefault="00A32F0A" w:rsidP="00A32F0A">
      <w:pPr>
        <w:pStyle w:val="Paragraphedeliste"/>
        <w:numPr>
          <w:ilvl w:val="0"/>
          <w:numId w:val="39"/>
        </w:numPr>
        <w:jc w:val="both"/>
        <w:rPr>
          <w:rFonts w:ascii="Times New Roman" w:hAnsi="Times New Roman" w:cs="Times New Roman"/>
          <w:color w:val="0070C0"/>
          <w:sz w:val="24"/>
          <w:szCs w:val="24"/>
        </w:rPr>
      </w:pPr>
      <w:proofErr w:type="gramStart"/>
      <w:r w:rsidRPr="00A32F0A">
        <w:rPr>
          <w:rFonts w:ascii="Times New Roman" w:hAnsi="Times New Roman" w:cs="Times New Roman"/>
          <w:color w:val="0070C0"/>
          <w:sz w:val="24"/>
          <w:szCs w:val="24"/>
        </w:rPr>
        <w:t>le</w:t>
      </w:r>
      <w:proofErr w:type="gramEnd"/>
      <w:r w:rsidRPr="00A32F0A">
        <w:rPr>
          <w:rFonts w:ascii="Times New Roman" w:hAnsi="Times New Roman" w:cs="Times New Roman"/>
          <w:color w:val="0070C0"/>
          <w:sz w:val="24"/>
          <w:szCs w:val="24"/>
        </w:rPr>
        <w:t xml:space="preserve"> total de :</w:t>
      </w:r>
    </w:p>
    <w:p w14:paraId="777E12F7" w14:textId="2B893452" w:rsidR="00A32F0A" w:rsidRPr="00A32F0A" w:rsidRDefault="00A32F0A" w:rsidP="00A32F0A">
      <w:pPr>
        <w:pStyle w:val="Paragraphedeliste"/>
        <w:numPr>
          <w:ilvl w:val="0"/>
          <w:numId w:val="40"/>
        </w:numPr>
        <w:jc w:val="both"/>
        <w:rPr>
          <w:rFonts w:ascii="Times New Roman" w:hAnsi="Times New Roman" w:cs="Times New Roman"/>
          <w:color w:val="0070C0"/>
          <w:sz w:val="24"/>
          <w:szCs w:val="24"/>
        </w:rPr>
      </w:pPr>
      <w:proofErr w:type="gramStart"/>
      <w:r w:rsidRPr="00A32F0A">
        <w:rPr>
          <w:rFonts w:ascii="Times New Roman" w:hAnsi="Times New Roman" w:cs="Times New Roman"/>
          <w:color w:val="0070C0"/>
          <w:sz w:val="24"/>
          <w:szCs w:val="24"/>
        </w:rPr>
        <w:t>la</w:t>
      </w:r>
      <w:proofErr w:type="gramEnd"/>
      <w:r w:rsidRPr="00A32F0A">
        <w:rPr>
          <w:rFonts w:ascii="Times New Roman" w:hAnsi="Times New Roman" w:cs="Times New Roman"/>
          <w:color w:val="0070C0"/>
          <w:sz w:val="24"/>
          <w:szCs w:val="24"/>
        </w:rPr>
        <w:t xml:space="preserve"> contrepartie transférée, évaluée selon la présente norme, qui impose généralement le recours à la juste valeur à la date d'acquisition (voir paragraphe 37),</w:t>
      </w:r>
    </w:p>
    <w:p w14:paraId="3B140728" w14:textId="482A0B48" w:rsidR="00A32F0A" w:rsidRPr="00A32F0A" w:rsidRDefault="00A32F0A" w:rsidP="00A32F0A">
      <w:pPr>
        <w:pStyle w:val="Paragraphedeliste"/>
        <w:numPr>
          <w:ilvl w:val="0"/>
          <w:numId w:val="40"/>
        </w:numPr>
        <w:jc w:val="both"/>
        <w:rPr>
          <w:rFonts w:ascii="Times New Roman" w:hAnsi="Times New Roman" w:cs="Times New Roman"/>
          <w:color w:val="0070C0"/>
          <w:sz w:val="24"/>
          <w:szCs w:val="24"/>
        </w:rPr>
      </w:pPr>
      <w:proofErr w:type="gramStart"/>
      <w:r w:rsidRPr="00A32F0A">
        <w:rPr>
          <w:rFonts w:ascii="Times New Roman" w:hAnsi="Times New Roman" w:cs="Times New Roman"/>
          <w:color w:val="0070C0"/>
          <w:sz w:val="24"/>
          <w:szCs w:val="24"/>
        </w:rPr>
        <w:t>le</w:t>
      </w:r>
      <w:proofErr w:type="gramEnd"/>
      <w:r w:rsidRPr="00A32F0A">
        <w:rPr>
          <w:rFonts w:ascii="Times New Roman" w:hAnsi="Times New Roman" w:cs="Times New Roman"/>
          <w:color w:val="0070C0"/>
          <w:sz w:val="24"/>
          <w:szCs w:val="24"/>
        </w:rPr>
        <w:t xml:space="preserve"> montant de toute participation ne donnant pas le contrôle dans l'entreprise acquise évalué selon la présente norme, et</w:t>
      </w:r>
    </w:p>
    <w:p w14:paraId="2166AB01" w14:textId="1C2D43FD" w:rsidR="00A32F0A" w:rsidRPr="00A32F0A" w:rsidRDefault="00A32F0A" w:rsidP="00A32F0A">
      <w:pPr>
        <w:pStyle w:val="Paragraphedeliste"/>
        <w:numPr>
          <w:ilvl w:val="0"/>
          <w:numId w:val="40"/>
        </w:numPr>
        <w:jc w:val="both"/>
        <w:rPr>
          <w:rFonts w:ascii="Times New Roman" w:hAnsi="Times New Roman" w:cs="Times New Roman"/>
          <w:color w:val="0070C0"/>
          <w:sz w:val="24"/>
          <w:szCs w:val="24"/>
        </w:rPr>
      </w:pPr>
      <w:proofErr w:type="gramStart"/>
      <w:r w:rsidRPr="00A32F0A">
        <w:rPr>
          <w:rFonts w:ascii="Times New Roman" w:hAnsi="Times New Roman" w:cs="Times New Roman"/>
          <w:color w:val="0070C0"/>
          <w:sz w:val="24"/>
          <w:szCs w:val="24"/>
        </w:rPr>
        <w:t>dans</w:t>
      </w:r>
      <w:proofErr w:type="gramEnd"/>
      <w:r w:rsidRPr="00A32F0A">
        <w:rPr>
          <w:rFonts w:ascii="Times New Roman" w:hAnsi="Times New Roman" w:cs="Times New Roman"/>
          <w:color w:val="0070C0"/>
          <w:sz w:val="24"/>
          <w:szCs w:val="24"/>
        </w:rPr>
        <w:t xml:space="preserve"> un regroupement d'entreprises réalisé par étapes (voir paragraphes 41 et 42), la juste valeur à la date d'acquisition des titres de capitaux propres précédemment détenus par l'acquéreur dans l'entreprise acquise ;</w:t>
      </w:r>
    </w:p>
    <w:p w14:paraId="069F4DB6" w14:textId="5C9B87B5" w:rsidR="00A32F0A" w:rsidRPr="00A32F0A" w:rsidRDefault="00A32F0A" w:rsidP="00A32F0A">
      <w:pPr>
        <w:pStyle w:val="Paragraphedeliste"/>
        <w:numPr>
          <w:ilvl w:val="0"/>
          <w:numId w:val="39"/>
        </w:numPr>
        <w:jc w:val="both"/>
        <w:rPr>
          <w:rFonts w:ascii="Times New Roman" w:hAnsi="Times New Roman" w:cs="Times New Roman"/>
          <w:color w:val="0070C0"/>
          <w:sz w:val="24"/>
          <w:szCs w:val="24"/>
        </w:rPr>
      </w:pPr>
      <w:proofErr w:type="gramStart"/>
      <w:r w:rsidRPr="00A32F0A">
        <w:rPr>
          <w:rFonts w:ascii="Times New Roman" w:hAnsi="Times New Roman" w:cs="Times New Roman"/>
          <w:color w:val="0070C0"/>
          <w:sz w:val="24"/>
          <w:szCs w:val="24"/>
        </w:rPr>
        <w:t>le</w:t>
      </w:r>
      <w:proofErr w:type="gramEnd"/>
      <w:r w:rsidRPr="00A32F0A">
        <w:rPr>
          <w:rFonts w:ascii="Times New Roman" w:hAnsi="Times New Roman" w:cs="Times New Roman"/>
          <w:color w:val="0070C0"/>
          <w:sz w:val="24"/>
          <w:szCs w:val="24"/>
        </w:rPr>
        <w:t xml:space="preserve"> solde net des montants, à la date d'acquisition, des actifs identifiables acquis et des passifs repris, évalués selon la présente norme.</w:t>
      </w:r>
    </w:p>
    <w:p w14:paraId="55DCE5A3" w14:textId="609EB54A" w:rsidR="00AF422F" w:rsidRPr="00D61847" w:rsidRDefault="00C836A3" w:rsidP="00D267A4">
      <w:pPr>
        <w:jc w:val="both"/>
        <w:rPr>
          <w:rFonts w:ascii="Times New Roman" w:hAnsi="Times New Roman" w:cs="Times New Roman"/>
          <w:sz w:val="24"/>
          <w:szCs w:val="24"/>
          <w:highlight w:val="yellow"/>
        </w:rPr>
      </w:pPr>
      <w:r>
        <w:rPr>
          <w:rFonts w:ascii="Times New Roman" w:hAnsi="Times New Roman" w:cs="Times New Roman"/>
          <w:sz w:val="24"/>
          <w:szCs w:val="24"/>
        </w:rPr>
        <w:t>Cela</w:t>
      </w:r>
      <w:r w:rsidR="0096531A" w:rsidRPr="00613C26">
        <w:rPr>
          <w:rFonts w:ascii="Times New Roman" w:hAnsi="Times New Roman" w:cs="Times New Roman"/>
          <w:sz w:val="24"/>
          <w:szCs w:val="24"/>
        </w:rPr>
        <w:t xml:space="preserve"> donne un </w:t>
      </w:r>
      <w:r w:rsidR="00613C26" w:rsidRPr="00A07120">
        <w:rPr>
          <w:rFonts w:ascii="Times New Roman" w:hAnsi="Times New Roman" w:cs="Times New Roman"/>
          <w:sz w:val="24"/>
          <w:szCs w:val="24"/>
        </w:rPr>
        <w:t>goodwill</w:t>
      </w:r>
      <w:r w:rsidR="0096531A" w:rsidRPr="00A07120">
        <w:rPr>
          <w:rFonts w:ascii="Times New Roman" w:hAnsi="Times New Roman" w:cs="Times New Roman"/>
          <w:sz w:val="24"/>
          <w:szCs w:val="24"/>
        </w:rPr>
        <w:t xml:space="preserve"> de </w:t>
      </w:r>
      <w:r w:rsidR="00E95CC8" w:rsidRPr="00AE3F5F">
        <w:rPr>
          <w:rFonts w:ascii="Times New Roman" w:hAnsi="Times New Roman" w:cs="Times New Roman"/>
          <w:sz w:val="24"/>
          <w:szCs w:val="24"/>
        </w:rPr>
        <w:t>99</w:t>
      </w:r>
      <w:r w:rsidR="00407CFD" w:rsidRPr="00AE3F5F">
        <w:rPr>
          <w:rFonts w:ascii="Times New Roman" w:hAnsi="Times New Roman" w:cs="Times New Roman"/>
          <w:sz w:val="24"/>
          <w:szCs w:val="24"/>
        </w:rPr>
        <w:t>5</w:t>
      </w:r>
      <w:r w:rsidR="0096531A" w:rsidRPr="00E95CC8">
        <w:rPr>
          <w:rFonts w:ascii="Times New Roman" w:hAnsi="Times New Roman" w:cs="Times New Roman"/>
          <w:sz w:val="24"/>
          <w:szCs w:val="24"/>
        </w:rPr>
        <w:t> 000</w:t>
      </w:r>
      <w:r w:rsidR="001B248E" w:rsidRPr="00E95CC8">
        <w:rPr>
          <w:rFonts w:ascii="Times New Roman" w:hAnsi="Times New Roman" w:cs="Times New Roman"/>
          <w:sz w:val="24"/>
          <w:szCs w:val="24"/>
        </w:rPr>
        <w:t> </w:t>
      </w:r>
      <w:r w:rsidR="0096531A" w:rsidRPr="00E95CC8">
        <w:rPr>
          <w:rFonts w:ascii="Times New Roman" w:hAnsi="Times New Roman" w:cs="Times New Roman"/>
          <w:sz w:val="24"/>
          <w:szCs w:val="24"/>
        </w:rPr>
        <w:t>$</w:t>
      </w:r>
      <w:r w:rsidR="0096531A" w:rsidRPr="00A07120">
        <w:rPr>
          <w:rFonts w:ascii="Times New Roman" w:hAnsi="Times New Roman" w:cs="Times New Roman"/>
          <w:sz w:val="24"/>
          <w:szCs w:val="24"/>
        </w:rPr>
        <w:t xml:space="preserve"> à comptabiliser</w:t>
      </w:r>
      <w:r w:rsidR="0096531A" w:rsidRPr="00613C26">
        <w:rPr>
          <w:rFonts w:ascii="Times New Roman" w:hAnsi="Times New Roman" w:cs="Times New Roman"/>
          <w:sz w:val="24"/>
          <w:szCs w:val="24"/>
        </w:rPr>
        <w:t xml:space="preserve"> à la date d’acquisition</w:t>
      </w:r>
      <w:r w:rsidR="006E1016" w:rsidRPr="00613C26">
        <w:rPr>
          <w:rFonts w:ascii="Times New Roman" w:hAnsi="Times New Roman" w:cs="Times New Roman"/>
          <w:sz w:val="24"/>
          <w:szCs w:val="24"/>
        </w:rPr>
        <w:t xml:space="preserve"> (voir document Excel, onglet A.2</w:t>
      </w:r>
      <w:r w:rsidR="001B248E" w:rsidRPr="00613C26">
        <w:rPr>
          <w:rFonts w:ascii="Times New Roman" w:hAnsi="Times New Roman" w:cs="Times New Roman"/>
          <w:sz w:val="24"/>
          <w:szCs w:val="24"/>
        </w:rPr>
        <w:t>).</w:t>
      </w:r>
    </w:p>
    <w:p w14:paraId="241898C8" w14:textId="123A0B87" w:rsidR="00613C26" w:rsidRPr="00613C26" w:rsidRDefault="00AF422F" w:rsidP="00613C26">
      <w:pPr>
        <w:jc w:val="both"/>
        <w:rPr>
          <w:rFonts w:ascii="Times New Roman" w:hAnsi="Times New Roman" w:cs="Times New Roman"/>
          <w:sz w:val="24"/>
          <w:szCs w:val="24"/>
        </w:rPr>
      </w:pPr>
      <w:r w:rsidRPr="00613C26">
        <w:rPr>
          <w:rFonts w:ascii="Times New Roman" w:hAnsi="Times New Roman" w:cs="Times New Roman"/>
          <w:b/>
          <w:bCs/>
          <w:sz w:val="24"/>
          <w:szCs w:val="24"/>
        </w:rPr>
        <w:t xml:space="preserve">Conclusion : </w:t>
      </w:r>
      <w:r w:rsidR="00613C26">
        <w:rPr>
          <w:rFonts w:ascii="Times New Roman" w:hAnsi="Times New Roman" w:cs="Times New Roman"/>
          <w:sz w:val="24"/>
          <w:szCs w:val="24"/>
        </w:rPr>
        <w:t>Toutes les</w:t>
      </w:r>
      <w:r w:rsidR="002073E7" w:rsidRPr="00613C26">
        <w:rPr>
          <w:rFonts w:ascii="Times New Roman" w:hAnsi="Times New Roman" w:cs="Times New Roman"/>
          <w:sz w:val="24"/>
          <w:szCs w:val="24"/>
        </w:rPr>
        <w:t xml:space="preserve"> informations ci-dessus (</w:t>
      </w:r>
      <w:r w:rsidR="00613C26" w:rsidRPr="00613C26">
        <w:rPr>
          <w:rFonts w:ascii="Times New Roman" w:hAnsi="Times New Roman" w:cs="Times New Roman"/>
          <w:sz w:val="24"/>
          <w:szCs w:val="24"/>
        </w:rPr>
        <w:t>goodwill</w:t>
      </w:r>
      <w:r w:rsidR="002073E7" w:rsidRPr="00613C26">
        <w:rPr>
          <w:rFonts w:ascii="Times New Roman" w:hAnsi="Times New Roman" w:cs="Times New Roman"/>
          <w:sz w:val="24"/>
          <w:szCs w:val="24"/>
        </w:rPr>
        <w:t xml:space="preserve">, passif éventuel, comptabilisation à la juste valeur des actifs acquis et des passifs repris) seront utilisées dans la préparation des états financiers consolidés d’EGI. </w:t>
      </w:r>
      <w:r w:rsidR="00613C26" w:rsidRPr="00613C26">
        <w:rPr>
          <w:rFonts w:ascii="Times New Roman" w:hAnsi="Times New Roman" w:cs="Times New Roman"/>
          <w:sz w:val="24"/>
          <w:szCs w:val="24"/>
        </w:rPr>
        <w:t xml:space="preserve">(Voir document Excel, onglet A.4 – colonne </w:t>
      </w:r>
      <w:r w:rsidR="0007723E">
        <w:rPr>
          <w:rFonts w:ascii="Times New Roman" w:hAnsi="Times New Roman" w:cs="Times New Roman"/>
          <w:sz w:val="24"/>
          <w:szCs w:val="24"/>
        </w:rPr>
        <w:t>ajustements</w:t>
      </w:r>
      <w:r w:rsidR="00613C26" w:rsidRPr="00613C26">
        <w:rPr>
          <w:rFonts w:ascii="Times New Roman" w:hAnsi="Times New Roman" w:cs="Times New Roman"/>
          <w:sz w:val="24"/>
          <w:szCs w:val="24"/>
        </w:rPr>
        <w:t>).</w:t>
      </w:r>
    </w:p>
    <w:p w14:paraId="660EEEF3" w14:textId="5EAA0673" w:rsidR="005E6D13" w:rsidRDefault="005E6D13" w:rsidP="00884801">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1334B2AF" w14:textId="3919CD9C" w:rsidR="009D28B5" w:rsidRPr="00092211" w:rsidRDefault="00D61847" w:rsidP="00092211">
      <w:pPr>
        <w:pStyle w:val="Paragraphedeliste"/>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P</w:t>
      </w:r>
      <w:r w:rsidR="00852507" w:rsidRPr="00092211">
        <w:rPr>
          <w:rFonts w:ascii="Times New Roman" w:hAnsi="Times New Roman" w:cs="Times New Roman"/>
          <w:b/>
          <w:bCs/>
          <w:sz w:val="24"/>
          <w:szCs w:val="24"/>
        </w:rPr>
        <w:t>réparation des états financiers consolidés au 3</w:t>
      </w:r>
      <w:r w:rsidR="00CE4565">
        <w:rPr>
          <w:rFonts w:ascii="Times New Roman" w:hAnsi="Times New Roman" w:cs="Times New Roman"/>
          <w:b/>
          <w:bCs/>
          <w:sz w:val="24"/>
          <w:szCs w:val="24"/>
        </w:rPr>
        <w:t>1 décembre</w:t>
      </w:r>
      <w:r w:rsidR="00852507" w:rsidRPr="00092211">
        <w:rPr>
          <w:rFonts w:ascii="Times New Roman" w:hAnsi="Times New Roman" w:cs="Times New Roman"/>
          <w:b/>
          <w:bCs/>
          <w:sz w:val="24"/>
          <w:szCs w:val="24"/>
        </w:rPr>
        <w:t xml:space="preserve"> 202</w:t>
      </w:r>
      <w:r w:rsidR="0007723E">
        <w:rPr>
          <w:rFonts w:ascii="Times New Roman" w:hAnsi="Times New Roman" w:cs="Times New Roman"/>
          <w:b/>
          <w:bCs/>
          <w:sz w:val="24"/>
          <w:szCs w:val="24"/>
        </w:rPr>
        <w:t>5</w:t>
      </w:r>
    </w:p>
    <w:p w14:paraId="093C0500" w14:textId="77777777" w:rsidR="009D28B5" w:rsidRDefault="009D28B5" w:rsidP="009D28B5">
      <w:pPr>
        <w:pStyle w:val="Paragraphedeliste"/>
        <w:rPr>
          <w:rFonts w:ascii="Times New Roman" w:hAnsi="Times New Roman" w:cs="Times New Roman"/>
          <w:b/>
          <w:bCs/>
          <w:sz w:val="24"/>
          <w:szCs w:val="24"/>
        </w:rPr>
      </w:pPr>
    </w:p>
    <w:p w14:paraId="09BB3475" w14:textId="6FEC063A" w:rsidR="00852507" w:rsidRDefault="009D28B5" w:rsidP="00092211">
      <w:pPr>
        <w:rPr>
          <w:rFonts w:ascii="Times New Roman" w:hAnsi="Times New Roman" w:cs="Times New Roman"/>
          <w:sz w:val="24"/>
          <w:szCs w:val="24"/>
        </w:rPr>
      </w:pPr>
      <w:r w:rsidRPr="001A7A77">
        <w:rPr>
          <w:rFonts w:ascii="Times New Roman" w:hAnsi="Times New Roman" w:cs="Times New Roman"/>
          <w:b/>
          <w:bCs/>
          <w:sz w:val="24"/>
          <w:szCs w:val="24"/>
        </w:rPr>
        <w:t>Question :</w:t>
      </w:r>
      <w:r>
        <w:rPr>
          <w:rFonts w:ascii="Times New Roman" w:hAnsi="Times New Roman" w:cs="Times New Roman"/>
          <w:sz w:val="24"/>
          <w:szCs w:val="24"/>
        </w:rPr>
        <w:t xml:space="preserve"> </w:t>
      </w:r>
    </w:p>
    <w:p w14:paraId="43AC17B9" w14:textId="34BF88A1" w:rsidR="009D28B5" w:rsidRPr="00BB74C9" w:rsidRDefault="009D28B5" w:rsidP="009D28B5">
      <w:pPr>
        <w:jc w:val="both"/>
        <w:rPr>
          <w:rFonts w:ascii="Times New Roman" w:hAnsi="Times New Roman" w:cs="Times New Roman"/>
          <w:color w:val="000000" w:themeColor="text1"/>
          <w:sz w:val="24"/>
          <w:szCs w:val="24"/>
        </w:rPr>
      </w:pPr>
      <w:r w:rsidRPr="00BB74C9">
        <w:rPr>
          <w:rFonts w:ascii="Times New Roman" w:hAnsi="Times New Roman" w:cs="Times New Roman"/>
          <w:color w:val="000000" w:themeColor="text1"/>
          <w:sz w:val="24"/>
          <w:szCs w:val="24"/>
        </w:rPr>
        <w:t xml:space="preserve">Selon </w:t>
      </w:r>
      <w:r w:rsidR="00613C26" w:rsidRPr="00BB74C9">
        <w:rPr>
          <w:rFonts w:ascii="Times New Roman" w:hAnsi="Times New Roman" w:cs="Times New Roman"/>
          <w:color w:val="000000" w:themeColor="text1"/>
          <w:sz w:val="24"/>
          <w:szCs w:val="24"/>
        </w:rPr>
        <w:t>IFRS 10,</w:t>
      </w:r>
    </w:p>
    <w:p w14:paraId="3744AC6B" w14:textId="4732576E" w:rsidR="00B54FCC" w:rsidRPr="00B54FCC" w:rsidRDefault="00B54FCC" w:rsidP="00B54FCC">
      <w:pPr>
        <w:jc w:val="both"/>
        <w:rPr>
          <w:rFonts w:ascii="Times New Roman" w:hAnsi="Times New Roman" w:cs="Times New Roman"/>
          <w:color w:val="0070C0"/>
          <w:sz w:val="24"/>
          <w:szCs w:val="24"/>
        </w:rPr>
      </w:pPr>
      <w:r w:rsidRPr="00B54FCC">
        <w:rPr>
          <w:rFonts w:ascii="Times New Roman" w:hAnsi="Times New Roman" w:cs="Times New Roman"/>
          <w:color w:val="0070C0"/>
          <w:sz w:val="24"/>
          <w:szCs w:val="24"/>
        </w:rPr>
        <w:t>B86     L'établissement d'états financiers consolidés consiste à :</w:t>
      </w:r>
    </w:p>
    <w:p w14:paraId="1E6972ED" w14:textId="126BBD54" w:rsidR="00B54FCC" w:rsidRPr="00B54FCC" w:rsidRDefault="00B54FCC" w:rsidP="00B54FCC">
      <w:pPr>
        <w:pStyle w:val="Paragraphedeliste"/>
        <w:numPr>
          <w:ilvl w:val="0"/>
          <w:numId w:val="41"/>
        </w:numPr>
        <w:jc w:val="both"/>
        <w:rPr>
          <w:rFonts w:ascii="Times New Roman" w:hAnsi="Times New Roman" w:cs="Times New Roman"/>
          <w:color w:val="0070C0"/>
          <w:sz w:val="24"/>
          <w:szCs w:val="24"/>
        </w:rPr>
      </w:pPr>
      <w:proofErr w:type="gramStart"/>
      <w:r w:rsidRPr="00B54FCC">
        <w:rPr>
          <w:rFonts w:ascii="Times New Roman" w:hAnsi="Times New Roman" w:cs="Times New Roman"/>
          <w:b/>
          <w:bCs/>
          <w:color w:val="0070C0"/>
          <w:sz w:val="24"/>
          <w:szCs w:val="24"/>
        </w:rPr>
        <w:t>combiner</w:t>
      </w:r>
      <w:proofErr w:type="gramEnd"/>
      <w:r w:rsidRPr="00B54FCC">
        <w:rPr>
          <w:rFonts w:ascii="Times New Roman" w:hAnsi="Times New Roman" w:cs="Times New Roman"/>
          <w:b/>
          <w:bCs/>
          <w:color w:val="0070C0"/>
          <w:sz w:val="24"/>
          <w:szCs w:val="24"/>
        </w:rPr>
        <w:t xml:space="preserve"> les postes semblables</w:t>
      </w:r>
      <w:r w:rsidRPr="00B54FCC">
        <w:rPr>
          <w:rFonts w:ascii="Times New Roman" w:hAnsi="Times New Roman" w:cs="Times New Roman"/>
          <w:color w:val="0070C0"/>
          <w:sz w:val="24"/>
          <w:szCs w:val="24"/>
        </w:rPr>
        <w:t xml:space="preserve"> d'actifs, de passifs, de capitaux propres, de produits, de charges et de flux de trésorerie </w:t>
      </w:r>
      <w:r w:rsidRPr="005D5B16">
        <w:rPr>
          <w:rFonts w:ascii="Times New Roman" w:hAnsi="Times New Roman" w:cs="Times New Roman"/>
          <w:color w:val="0070C0"/>
          <w:sz w:val="24"/>
          <w:szCs w:val="24"/>
        </w:rPr>
        <w:t>de la société mère et de ses filiales</w:t>
      </w:r>
      <w:r w:rsidRPr="00B54FCC">
        <w:rPr>
          <w:rFonts w:ascii="Times New Roman" w:hAnsi="Times New Roman" w:cs="Times New Roman"/>
          <w:color w:val="0070C0"/>
          <w:sz w:val="24"/>
          <w:szCs w:val="24"/>
        </w:rPr>
        <w:t xml:space="preserve"> ;</w:t>
      </w:r>
    </w:p>
    <w:p w14:paraId="3BA8C5CB" w14:textId="2D2CDE7B" w:rsidR="00B54FCC" w:rsidRDefault="00B54FCC" w:rsidP="00B54FCC">
      <w:pPr>
        <w:pStyle w:val="Paragraphedeliste"/>
        <w:numPr>
          <w:ilvl w:val="0"/>
          <w:numId w:val="41"/>
        </w:numPr>
        <w:jc w:val="both"/>
        <w:rPr>
          <w:rFonts w:ascii="Times New Roman" w:hAnsi="Times New Roman" w:cs="Times New Roman"/>
          <w:color w:val="0070C0"/>
          <w:sz w:val="24"/>
          <w:szCs w:val="24"/>
        </w:rPr>
      </w:pPr>
      <w:proofErr w:type="gramStart"/>
      <w:r w:rsidRPr="00B54FCC">
        <w:rPr>
          <w:rFonts w:ascii="Times New Roman" w:hAnsi="Times New Roman" w:cs="Times New Roman"/>
          <w:b/>
          <w:bCs/>
          <w:color w:val="0070C0"/>
          <w:sz w:val="24"/>
          <w:szCs w:val="24"/>
        </w:rPr>
        <w:t>compenser</w:t>
      </w:r>
      <w:proofErr w:type="gramEnd"/>
      <w:r w:rsidRPr="00B54FCC">
        <w:rPr>
          <w:rFonts w:ascii="Times New Roman" w:hAnsi="Times New Roman" w:cs="Times New Roman"/>
          <w:b/>
          <w:bCs/>
          <w:color w:val="0070C0"/>
          <w:sz w:val="24"/>
          <w:szCs w:val="24"/>
        </w:rPr>
        <w:t xml:space="preserve"> </w:t>
      </w:r>
      <w:r w:rsidRPr="00B54FCC">
        <w:rPr>
          <w:rFonts w:ascii="Times New Roman" w:hAnsi="Times New Roman" w:cs="Times New Roman"/>
          <w:color w:val="0070C0"/>
          <w:sz w:val="24"/>
          <w:szCs w:val="24"/>
        </w:rPr>
        <w:t xml:space="preserve">(éliminer) la </w:t>
      </w:r>
      <w:r w:rsidRPr="00B54FCC">
        <w:rPr>
          <w:rFonts w:ascii="Times New Roman" w:hAnsi="Times New Roman" w:cs="Times New Roman"/>
          <w:b/>
          <w:bCs/>
          <w:color w:val="0070C0"/>
          <w:sz w:val="24"/>
          <w:szCs w:val="24"/>
        </w:rPr>
        <w:t>valeur comptable de la participation de la société mère dans chaque filiale</w:t>
      </w:r>
      <w:r w:rsidRPr="00B54FCC">
        <w:rPr>
          <w:rFonts w:ascii="Times New Roman" w:hAnsi="Times New Roman" w:cs="Times New Roman"/>
          <w:color w:val="0070C0"/>
          <w:sz w:val="24"/>
          <w:szCs w:val="24"/>
        </w:rPr>
        <w:t xml:space="preserve"> et la </w:t>
      </w:r>
      <w:r w:rsidRPr="00B54FCC">
        <w:rPr>
          <w:rFonts w:ascii="Times New Roman" w:hAnsi="Times New Roman" w:cs="Times New Roman"/>
          <w:b/>
          <w:bCs/>
          <w:color w:val="0070C0"/>
          <w:sz w:val="24"/>
          <w:szCs w:val="24"/>
        </w:rPr>
        <w:t>part de la société mère dans les capitaux propres de chaque filiale</w:t>
      </w:r>
      <w:r w:rsidRPr="00B54FCC">
        <w:rPr>
          <w:rFonts w:ascii="Times New Roman" w:hAnsi="Times New Roman" w:cs="Times New Roman"/>
          <w:color w:val="0070C0"/>
          <w:sz w:val="24"/>
          <w:szCs w:val="24"/>
        </w:rPr>
        <w:t xml:space="preserve"> (la comptabilisation du goodwill correspondant est expliquée dans IFRS 3) ;</w:t>
      </w:r>
    </w:p>
    <w:p w14:paraId="254A508D" w14:textId="29D4590B" w:rsidR="005D5B16" w:rsidRPr="005D5B16" w:rsidRDefault="005D5B16" w:rsidP="005D5B16">
      <w:pPr>
        <w:jc w:val="both"/>
        <w:rPr>
          <w:rFonts w:ascii="Times New Roman" w:hAnsi="Times New Roman" w:cs="Times New Roman"/>
          <w:sz w:val="24"/>
          <w:szCs w:val="24"/>
        </w:rPr>
      </w:pPr>
      <w:r w:rsidRPr="005D5B16">
        <w:rPr>
          <w:rFonts w:ascii="Times New Roman" w:hAnsi="Times New Roman" w:cs="Times New Roman"/>
          <w:sz w:val="24"/>
          <w:szCs w:val="24"/>
        </w:rPr>
        <w:t xml:space="preserve">Il faut donc remplacer le compte « Participation EAI » par les actifs acquis et passifs repris établis à leur juste valeur en date de l’acquisition, soit le </w:t>
      </w:r>
      <w:r w:rsidR="00CE4565">
        <w:rPr>
          <w:rFonts w:ascii="Times New Roman" w:hAnsi="Times New Roman" w:cs="Times New Roman"/>
          <w:sz w:val="24"/>
          <w:szCs w:val="24"/>
        </w:rPr>
        <w:t>1er janvier 202</w:t>
      </w:r>
      <w:r w:rsidR="0007723E">
        <w:rPr>
          <w:rFonts w:ascii="Times New Roman" w:hAnsi="Times New Roman" w:cs="Times New Roman"/>
          <w:sz w:val="24"/>
          <w:szCs w:val="24"/>
        </w:rPr>
        <w:t>5</w:t>
      </w:r>
      <w:r w:rsidRPr="005D5B16">
        <w:rPr>
          <w:rFonts w:ascii="Times New Roman" w:hAnsi="Times New Roman" w:cs="Times New Roman"/>
          <w:sz w:val="24"/>
          <w:szCs w:val="24"/>
        </w:rPr>
        <w:t xml:space="preserve">, (voir document Excel, onglet A.4, </w:t>
      </w:r>
      <w:r w:rsidR="00A07120">
        <w:rPr>
          <w:rFonts w:ascii="Times New Roman" w:hAnsi="Times New Roman" w:cs="Times New Roman"/>
          <w:sz w:val="24"/>
          <w:szCs w:val="24"/>
        </w:rPr>
        <w:t>note 1</w:t>
      </w:r>
      <w:r w:rsidRPr="005D5B16">
        <w:rPr>
          <w:rFonts w:ascii="Times New Roman" w:hAnsi="Times New Roman" w:cs="Times New Roman"/>
          <w:sz w:val="24"/>
          <w:szCs w:val="24"/>
        </w:rPr>
        <w:t xml:space="preserve">). Ainsi, il faut également retirer les résultats non distribués d’EAI en date de l’acquisition des résultats non distribués consolidés d’EGI (voir document Excel, onglet A.4, </w:t>
      </w:r>
      <w:r w:rsidR="00A07120">
        <w:rPr>
          <w:rFonts w:ascii="Times New Roman" w:hAnsi="Times New Roman" w:cs="Times New Roman"/>
          <w:sz w:val="24"/>
          <w:szCs w:val="24"/>
        </w:rPr>
        <w:t>note 1</w:t>
      </w:r>
      <w:r w:rsidRPr="005D5B16">
        <w:rPr>
          <w:rFonts w:ascii="Times New Roman" w:hAnsi="Times New Roman" w:cs="Times New Roman"/>
          <w:sz w:val="24"/>
          <w:szCs w:val="24"/>
        </w:rPr>
        <w:t>)).</w:t>
      </w:r>
    </w:p>
    <w:p w14:paraId="6060FDA9" w14:textId="603B130C" w:rsidR="005D5B16" w:rsidRPr="005D5B16" w:rsidRDefault="00B54FCC" w:rsidP="005D5B16">
      <w:pPr>
        <w:pStyle w:val="Paragraphedeliste"/>
        <w:numPr>
          <w:ilvl w:val="0"/>
          <w:numId w:val="41"/>
        </w:numPr>
        <w:jc w:val="both"/>
        <w:rPr>
          <w:rFonts w:ascii="Times New Roman" w:hAnsi="Times New Roman" w:cs="Times New Roman"/>
          <w:color w:val="0070C0"/>
          <w:sz w:val="24"/>
          <w:szCs w:val="24"/>
        </w:rPr>
      </w:pPr>
      <w:proofErr w:type="gramStart"/>
      <w:r w:rsidRPr="00B54FCC">
        <w:rPr>
          <w:rFonts w:ascii="Times New Roman" w:hAnsi="Times New Roman" w:cs="Times New Roman"/>
          <w:b/>
          <w:bCs/>
          <w:color w:val="0070C0"/>
          <w:sz w:val="24"/>
          <w:szCs w:val="24"/>
        </w:rPr>
        <w:t>éliminer</w:t>
      </w:r>
      <w:proofErr w:type="gramEnd"/>
      <w:r w:rsidRPr="00B54FCC">
        <w:rPr>
          <w:rFonts w:ascii="Times New Roman" w:hAnsi="Times New Roman" w:cs="Times New Roman"/>
          <w:b/>
          <w:bCs/>
          <w:color w:val="0070C0"/>
          <w:sz w:val="24"/>
          <w:szCs w:val="24"/>
        </w:rPr>
        <w:t xml:space="preserve"> </w:t>
      </w:r>
      <w:r w:rsidRPr="00B54FCC">
        <w:rPr>
          <w:rFonts w:ascii="Times New Roman" w:hAnsi="Times New Roman" w:cs="Times New Roman"/>
          <w:color w:val="0070C0"/>
          <w:sz w:val="24"/>
          <w:szCs w:val="24"/>
        </w:rPr>
        <w:t xml:space="preserve">complètement les actifs et les passifs, les capitaux propres, les produits, les charges et les flux de trésorerie </w:t>
      </w:r>
      <w:r w:rsidRPr="00B54FCC">
        <w:rPr>
          <w:rFonts w:ascii="Times New Roman" w:hAnsi="Times New Roman" w:cs="Times New Roman"/>
          <w:b/>
          <w:bCs/>
          <w:color w:val="0070C0"/>
          <w:sz w:val="24"/>
          <w:szCs w:val="24"/>
        </w:rPr>
        <w:t>intragroupe qui ont trait à des transactions entre entités du groupe</w:t>
      </w:r>
      <w:r>
        <w:rPr>
          <w:rFonts w:ascii="Times New Roman" w:hAnsi="Times New Roman" w:cs="Times New Roman"/>
          <w:b/>
          <w:bCs/>
          <w:color w:val="0070C0"/>
          <w:sz w:val="24"/>
          <w:szCs w:val="24"/>
        </w:rPr>
        <w:t>.</w:t>
      </w:r>
      <w:r w:rsidRPr="00B54FCC">
        <w:rPr>
          <w:rFonts w:ascii="Times New Roman" w:hAnsi="Times New Roman" w:cs="Times New Roman"/>
          <w:b/>
          <w:bCs/>
          <w:color w:val="0070C0"/>
          <w:sz w:val="24"/>
          <w:szCs w:val="24"/>
        </w:rPr>
        <w:t xml:space="preserve"> </w:t>
      </w:r>
      <w:r>
        <w:rPr>
          <w:rFonts w:ascii="Times New Roman" w:hAnsi="Times New Roman" w:cs="Times New Roman"/>
          <w:color w:val="0070C0"/>
          <w:sz w:val="24"/>
          <w:szCs w:val="24"/>
        </w:rPr>
        <w:t>[…]</w:t>
      </w:r>
    </w:p>
    <w:p w14:paraId="2E4F596D" w14:textId="6570BE83" w:rsidR="005D5B16" w:rsidRDefault="005D5B16" w:rsidP="005D5B16">
      <w:pPr>
        <w:jc w:val="both"/>
        <w:rPr>
          <w:rFonts w:ascii="Times New Roman" w:hAnsi="Times New Roman" w:cs="Times New Roman"/>
          <w:sz w:val="24"/>
          <w:szCs w:val="24"/>
        </w:rPr>
      </w:pPr>
      <w:r w:rsidRPr="005D5B16">
        <w:rPr>
          <w:rFonts w:ascii="Times New Roman" w:hAnsi="Times New Roman" w:cs="Times New Roman"/>
          <w:sz w:val="24"/>
          <w:szCs w:val="24"/>
        </w:rPr>
        <w:t xml:space="preserve">Aussi, il y a un solde réciproque, soit l’effet à payer (pour EAI) et l’effet à recevoir (pour EGI), à cause des conseils de gestion qu’EGI a fourni à EAI et qui n’était pas encore payé. Il faut donc l’éliminer (voir document Excel, onglet A.4, </w:t>
      </w:r>
      <w:r w:rsidR="00A07120">
        <w:rPr>
          <w:rFonts w:ascii="Times New Roman" w:hAnsi="Times New Roman" w:cs="Times New Roman"/>
          <w:sz w:val="24"/>
          <w:szCs w:val="24"/>
        </w:rPr>
        <w:t>note 3</w:t>
      </w:r>
      <w:r w:rsidRPr="005D5B16">
        <w:rPr>
          <w:rFonts w:ascii="Times New Roman" w:hAnsi="Times New Roman" w:cs="Times New Roman"/>
          <w:sz w:val="24"/>
          <w:szCs w:val="24"/>
        </w:rPr>
        <w:t>)).</w:t>
      </w:r>
    </w:p>
    <w:p w14:paraId="0204C351" w14:textId="5145086C" w:rsidR="009D28B5" w:rsidRDefault="005D5B16" w:rsidP="005D5B16">
      <w:pPr>
        <w:jc w:val="both"/>
        <w:rPr>
          <w:rFonts w:ascii="Times New Roman" w:hAnsi="Times New Roman" w:cs="Times New Roman"/>
          <w:sz w:val="24"/>
          <w:szCs w:val="24"/>
        </w:rPr>
      </w:pPr>
      <w:r w:rsidRPr="005D5B16">
        <w:rPr>
          <w:rFonts w:ascii="Times New Roman" w:hAnsi="Times New Roman" w:cs="Times New Roman"/>
          <w:sz w:val="24"/>
          <w:szCs w:val="24"/>
        </w:rPr>
        <w:t>Si l’état du bénéfice net devait être préparé, il y aurait un autre solde réciproque, soit des revenus pour EGI et des coûts pour EAI, vu qu’EGI a fourni un service à EAI. Il aurait également fallu éliminer ce solde réciproque.</w:t>
      </w:r>
    </w:p>
    <w:p w14:paraId="4564BB76" w14:textId="77777777" w:rsidR="005D5B16" w:rsidRPr="005D5B16" w:rsidRDefault="005D5B16" w:rsidP="005D5B16">
      <w:pPr>
        <w:jc w:val="both"/>
        <w:rPr>
          <w:rFonts w:ascii="Times New Roman" w:hAnsi="Times New Roman" w:cs="Times New Roman"/>
          <w:sz w:val="24"/>
          <w:szCs w:val="24"/>
        </w:rPr>
      </w:pPr>
    </w:p>
    <w:p w14:paraId="0BC5A391" w14:textId="77777777" w:rsidR="009D28B5" w:rsidRPr="005D5B16" w:rsidRDefault="009D28B5" w:rsidP="009D28B5">
      <w:pPr>
        <w:jc w:val="both"/>
        <w:rPr>
          <w:rFonts w:ascii="Times New Roman" w:hAnsi="Times New Roman" w:cs="Times New Roman"/>
          <w:color w:val="002060"/>
          <w:sz w:val="24"/>
          <w:szCs w:val="24"/>
        </w:rPr>
      </w:pPr>
      <w:r w:rsidRPr="005D5B16">
        <w:rPr>
          <w:rFonts w:ascii="Times New Roman" w:hAnsi="Times New Roman" w:cs="Times New Roman"/>
          <w:color w:val="002060"/>
          <w:sz w:val="24"/>
          <w:szCs w:val="24"/>
        </w:rPr>
        <w:t>Après la date d'acquisition</w:t>
      </w:r>
    </w:p>
    <w:p w14:paraId="3820B170" w14:textId="270768EE" w:rsidR="009D28B5" w:rsidRPr="00D61847" w:rsidRDefault="005D5B16" w:rsidP="009D28B5">
      <w:pPr>
        <w:jc w:val="both"/>
        <w:rPr>
          <w:rFonts w:ascii="Times New Roman" w:hAnsi="Times New Roman" w:cs="Times New Roman"/>
          <w:color w:val="0070C0"/>
          <w:sz w:val="24"/>
          <w:szCs w:val="24"/>
          <w:highlight w:val="yellow"/>
        </w:rPr>
      </w:pPr>
      <w:r w:rsidRPr="005D5B16">
        <w:rPr>
          <w:rFonts w:ascii="Times New Roman" w:hAnsi="Times New Roman" w:cs="Times New Roman"/>
          <w:color w:val="0070C0"/>
          <w:sz w:val="24"/>
          <w:szCs w:val="24"/>
        </w:rPr>
        <w:t xml:space="preserve">B88     L'entité inclut les produits et les charges d'une filiale dans les états financiers consolidés </w:t>
      </w:r>
      <w:r w:rsidRPr="005D5B16">
        <w:rPr>
          <w:rFonts w:ascii="Times New Roman" w:hAnsi="Times New Roman" w:cs="Times New Roman"/>
          <w:b/>
          <w:bCs/>
          <w:color w:val="0070C0"/>
          <w:sz w:val="24"/>
          <w:szCs w:val="24"/>
        </w:rPr>
        <w:t>à compter de la date où elle acquiert le contrôle de la filiale</w:t>
      </w:r>
      <w:r w:rsidRPr="005D5B16">
        <w:rPr>
          <w:rFonts w:ascii="Times New Roman" w:hAnsi="Times New Roman" w:cs="Times New Roman"/>
          <w:color w:val="0070C0"/>
          <w:sz w:val="24"/>
          <w:szCs w:val="24"/>
        </w:rPr>
        <w:t xml:space="preserve"> et jusqu'à la date où elle cesse de contrôler celle-ci. Les produits et les charges de la filiale sont établis en fonction des montants des actifs et des passifs comptabilisés dans les états financiers consolidés à la date d'acquisition. Par exemple, la </w:t>
      </w:r>
      <w:r w:rsidRPr="005D5B16">
        <w:rPr>
          <w:rFonts w:ascii="Times New Roman" w:hAnsi="Times New Roman" w:cs="Times New Roman"/>
          <w:b/>
          <w:bCs/>
          <w:color w:val="0070C0"/>
          <w:sz w:val="24"/>
          <w:szCs w:val="24"/>
        </w:rPr>
        <w:t xml:space="preserve">charge d'amortissement comptabilisée dans l'état consolidé du résultat global après la date d'acquisition est fondée sur les justes valeurs des actifs amortissables comptabilisés dans les états financiers consolidés </w:t>
      </w:r>
      <w:r w:rsidRPr="005D5B16">
        <w:rPr>
          <w:rFonts w:ascii="Times New Roman" w:hAnsi="Times New Roman" w:cs="Times New Roman"/>
          <w:color w:val="0070C0"/>
          <w:sz w:val="24"/>
          <w:szCs w:val="24"/>
        </w:rPr>
        <w:t>à la date d'acquisition.</w:t>
      </w:r>
    </w:p>
    <w:p w14:paraId="5943D7A4" w14:textId="77777777" w:rsidR="009D28B5" w:rsidRPr="005D5B16" w:rsidRDefault="009D28B5" w:rsidP="009D28B5">
      <w:pPr>
        <w:jc w:val="both"/>
        <w:rPr>
          <w:rFonts w:ascii="Times New Roman" w:hAnsi="Times New Roman" w:cs="Times New Roman"/>
          <w:sz w:val="24"/>
          <w:szCs w:val="24"/>
        </w:rPr>
      </w:pPr>
      <w:r w:rsidRPr="005D5B16">
        <w:rPr>
          <w:rFonts w:ascii="Times New Roman" w:hAnsi="Times New Roman" w:cs="Times New Roman"/>
          <w:sz w:val="24"/>
          <w:szCs w:val="24"/>
        </w:rPr>
        <w:t xml:space="preserve">Il faut donc réviser l’amortissement des actifs et passifs dont la juste valeur différait de la valeur comptable dans les livres d’EAI en date de l’acquisition pour que l’amortissement </w:t>
      </w:r>
      <w:r w:rsidRPr="005D5B16">
        <w:rPr>
          <w:rFonts w:ascii="Times New Roman" w:hAnsi="Times New Roman" w:cs="Times New Roman"/>
          <w:sz w:val="24"/>
          <w:szCs w:val="24"/>
        </w:rPr>
        <w:lastRenderedPageBreak/>
        <w:t>reflète les coûts attribués lors de la répartition du coût d’acquisition (voir document Excel, onglet A.4, note 3));</w:t>
      </w:r>
    </w:p>
    <w:p w14:paraId="10F2EFFF" w14:textId="59109D2B" w:rsidR="009D28B5" w:rsidRDefault="00F76F65" w:rsidP="009D28B5">
      <w:pPr>
        <w:jc w:val="both"/>
        <w:rPr>
          <w:rFonts w:ascii="Times New Roman" w:hAnsi="Times New Roman" w:cs="Times New Roman"/>
          <w:sz w:val="24"/>
          <w:szCs w:val="24"/>
        </w:rPr>
      </w:pPr>
      <w:r>
        <w:rPr>
          <w:rFonts w:ascii="Times New Roman" w:hAnsi="Times New Roman" w:cs="Times New Roman"/>
          <w:b/>
          <w:bCs/>
          <w:sz w:val="24"/>
          <w:szCs w:val="24"/>
        </w:rPr>
        <w:t>Conclusion</w:t>
      </w:r>
      <w:r w:rsidR="009D28B5" w:rsidRPr="005D5B16">
        <w:rPr>
          <w:rFonts w:ascii="Times New Roman" w:hAnsi="Times New Roman" w:cs="Times New Roman"/>
          <w:b/>
          <w:bCs/>
          <w:sz w:val="24"/>
          <w:szCs w:val="24"/>
        </w:rPr>
        <w:t> :</w:t>
      </w:r>
      <w:r w:rsidR="009D28B5" w:rsidRPr="005D5B16">
        <w:rPr>
          <w:rFonts w:ascii="Times New Roman" w:hAnsi="Times New Roman" w:cs="Times New Roman"/>
          <w:sz w:val="24"/>
          <w:szCs w:val="24"/>
        </w:rPr>
        <w:t xml:space="preserve"> Voir le fichier Excel pour la consolidation.</w:t>
      </w:r>
    </w:p>
    <w:p w14:paraId="235F8976" w14:textId="20353CC1" w:rsidR="007D6983" w:rsidRPr="00B4234B" w:rsidRDefault="007D6983" w:rsidP="00B4234B">
      <w:pPr>
        <w:pStyle w:val="Paragraphedeliste"/>
        <w:numPr>
          <w:ilvl w:val="0"/>
          <w:numId w:val="2"/>
        </w:numPr>
        <w:jc w:val="both"/>
        <w:rPr>
          <w:rFonts w:ascii="Times New Roman" w:hAnsi="Times New Roman" w:cs="Times New Roman"/>
          <w:b/>
          <w:bCs/>
          <w:sz w:val="24"/>
          <w:szCs w:val="24"/>
        </w:rPr>
      </w:pPr>
      <w:r w:rsidRPr="00B4234B">
        <w:rPr>
          <w:rFonts w:ascii="Times New Roman" w:hAnsi="Times New Roman" w:cs="Times New Roman"/>
          <w:sz w:val="24"/>
          <w:szCs w:val="24"/>
          <w:u w:val="single"/>
        </w:rPr>
        <w:br w:type="page"/>
      </w:r>
      <w:r w:rsidRPr="00B4234B">
        <w:rPr>
          <w:rFonts w:ascii="Times New Roman" w:hAnsi="Times New Roman" w:cs="Times New Roman"/>
          <w:b/>
          <w:bCs/>
          <w:sz w:val="24"/>
          <w:szCs w:val="24"/>
        </w:rPr>
        <w:lastRenderedPageBreak/>
        <w:t>Comptabilisation de la participation de PI</w:t>
      </w:r>
    </w:p>
    <w:p w14:paraId="742AD7AD" w14:textId="54ABC46A" w:rsidR="007D6983" w:rsidRDefault="002073E7" w:rsidP="00D267A4">
      <w:pPr>
        <w:jc w:val="both"/>
        <w:rPr>
          <w:rFonts w:ascii="Times New Roman" w:hAnsi="Times New Roman" w:cs="Times New Roman"/>
          <w:sz w:val="24"/>
          <w:szCs w:val="24"/>
        </w:rPr>
      </w:pPr>
      <w:r w:rsidRPr="002073E7">
        <w:rPr>
          <w:rFonts w:ascii="Times New Roman" w:hAnsi="Times New Roman" w:cs="Times New Roman"/>
          <w:b/>
          <w:bCs/>
          <w:sz w:val="24"/>
          <w:szCs w:val="24"/>
        </w:rPr>
        <w:t>Question :</w:t>
      </w:r>
      <w:r>
        <w:rPr>
          <w:rFonts w:ascii="Times New Roman" w:hAnsi="Times New Roman" w:cs="Times New Roman"/>
          <w:sz w:val="24"/>
          <w:szCs w:val="24"/>
        </w:rPr>
        <w:t xml:space="preserve"> comment faut-il comptabiliser la participation de PI dans les états financiers individuels d’EGI?</w:t>
      </w:r>
    </w:p>
    <w:p w14:paraId="100250D8" w14:textId="591BFDD3" w:rsidR="002073E7" w:rsidRDefault="002073E7" w:rsidP="00D267A4">
      <w:pPr>
        <w:jc w:val="both"/>
        <w:rPr>
          <w:rFonts w:ascii="Times New Roman" w:hAnsi="Times New Roman" w:cs="Times New Roman"/>
          <w:b/>
          <w:bCs/>
          <w:sz w:val="24"/>
          <w:szCs w:val="24"/>
        </w:rPr>
      </w:pPr>
      <w:r w:rsidRPr="002073E7">
        <w:rPr>
          <w:rFonts w:ascii="Times New Roman" w:hAnsi="Times New Roman" w:cs="Times New Roman"/>
          <w:b/>
          <w:bCs/>
          <w:sz w:val="24"/>
          <w:szCs w:val="24"/>
        </w:rPr>
        <w:t>Norme et analyse :</w:t>
      </w:r>
    </w:p>
    <w:p w14:paraId="21E56431" w14:textId="1307A4C6" w:rsidR="001B248E" w:rsidRPr="00226CD4" w:rsidRDefault="001B248E" w:rsidP="00D267A4">
      <w:pPr>
        <w:jc w:val="both"/>
        <w:rPr>
          <w:rFonts w:ascii="Times New Roman" w:hAnsi="Times New Roman" w:cs="Times New Roman"/>
          <w:sz w:val="24"/>
          <w:szCs w:val="24"/>
        </w:rPr>
      </w:pPr>
      <w:r w:rsidRPr="00226CD4">
        <w:rPr>
          <w:rFonts w:ascii="Times New Roman" w:hAnsi="Times New Roman" w:cs="Times New Roman"/>
          <w:sz w:val="24"/>
          <w:szCs w:val="24"/>
        </w:rPr>
        <w:t xml:space="preserve">Selon </w:t>
      </w:r>
      <w:r w:rsidR="00226CD4" w:rsidRPr="00226CD4">
        <w:rPr>
          <w:rFonts w:ascii="Times New Roman" w:hAnsi="Times New Roman" w:cs="Times New Roman"/>
          <w:sz w:val="24"/>
          <w:szCs w:val="24"/>
        </w:rPr>
        <w:t>IAS 28,</w:t>
      </w:r>
    </w:p>
    <w:p w14:paraId="221246F1" w14:textId="77600AD7" w:rsidR="00226CD4" w:rsidRPr="00DC0396" w:rsidRDefault="00226CD4" w:rsidP="00D267A4">
      <w:pPr>
        <w:jc w:val="both"/>
        <w:rPr>
          <w:rFonts w:ascii="Times New Roman" w:hAnsi="Times New Roman" w:cs="Times New Roman"/>
          <w:color w:val="0070C0"/>
          <w:sz w:val="24"/>
          <w:szCs w:val="24"/>
          <w:highlight w:val="yellow"/>
        </w:rPr>
      </w:pPr>
      <w:r w:rsidRPr="00226CD4">
        <w:rPr>
          <w:rFonts w:ascii="Times New Roman" w:hAnsi="Times New Roman" w:cs="Times New Roman"/>
          <w:color w:val="0070C0"/>
          <w:sz w:val="24"/>
          <w:szCs w:val="24"/>
        </w:rPr>
        <w:t xml:space="preserve">5     Si l'investisseur détient, directement ou indirectement (par exemple par le biais de filiales), 20 % ou plus des droits de vote dans l'entité émettrice, il est présumé exercer une influence notable, sauf s'il peut être démontré clairement que ce n'est pas le cas. Inversement, </w:t>
      </w:r>
      <w:r w:rsidRPr="00226CD4">
        <w:rPr>
          <w:rFonts w:ascii="Times New Roman" w:hAnsi="Times New Roman" w:cs="Times New Roman"/>
          <w:b/>
          <w:bCs/>
          <w:color w:val="0070C0"/>
          <w:sz w:val="24"/>
          <w:szCs w:val="24"/>
        </w:rPr>
        <w:t>si l'investisseur détient</w:t>
      </w:r>
      <w:r w:rsidRPr="00226CD4">
        <w:rPr>
          <w:rFonts w:ascii="Times New Roman" w:hAnsi="Times New Roman" w:cs="Times New Roman"/>
          <w:color w:val="0070C0"/>
          <w:sz w:val="24"/>
          <w:szCs w:val="24"/>
        </w:rPr>
        <w:t xml:space="preserve">, directement ou indirectement (par exemple par le biais de filiales), </w:t>
      </w:r>
      <w:r w:rsidRPr="00226CD4">
        <w:rPr>
          <w:rFonts w:ascii="Times New Roman" w:hAnsi="Times New Roman" w:cs="Times New Roman"/>
          <w:b/>
          <w:bCs/>
          <w:color w:val="0070C0"/>
          <w:sz w:val="24"/>
          <w:szCs w:val="24"/>
        </w:rPr>
        <w:t>moins de 20 % des droits de vote dans l'entité émettrice</w:t>
      </w:r>
      <w:r w:rsidRPr="00226CD4">
        <w:rPr>
          <w:rFonts w:ascii="Times New Roman" w:hAnsi="Times New Roman" w:cs="Times New Roman"/>
          <w:color w:val="0070C0"/>
          <w:sz w:val="24"/>
          <w:szCs w:val="24"/>
        </w:rPr>
        <w:t xml:space="preserve">, il est </w:t>
      </w:r>
      <w:r w:rsidRPr="00226CD4">
        <w:rPr>
          <w:rFonts w:ascii="Times New Roman" w:hAnsi="Times New Roman" w:cs="Times New Roman"/>
          <w:b/>
          <w:bCs/>
          <w:color w:val="0070C0"/>
          <w:sz w:val="24"/>
          <w:szCs w:val="24"/>
        </w:rPr>
        <w:t>présumé ne pas exercer d'influence notable</w:t>
      </w:r>
      <w:r w:rsidRPr="00226CD4">
        <w:rPr>
          <w:rFonts w:ascii="Times New Roman" w:hAnsi="Times New Roman" w:cs="Times New Roman"/>
          <w:color w:val="0070C0"/>
          <w:sz w:val="24"/>
          <w:szCs w:val="24"/>
        </w:rPr>
        <w:t>, sauf s'il peut être démontré clairement qu'il exerce une telle influence. L'existence d'une participation importante ou majoritaire d'un autre investisseur n'exclut pas nécessairement que l'investisseur puisse exercer une influence notable.</w:t>
      </w:r>
    </w:p>
    <w:p w14:paraId="619CCB3D" w14:textId="77777777" w:rsidR="00226CD4" w:rsidRPr="00226CD4" w:rsidRDefault="00EA6E00" w:rsidP="00D267A4">
      <w:pPr>
        <w:jc w:val="both"/>
        <w:rPr>
          <w:rFonts w:ascii="Times New Roman" w:hAnsi="Times New Roman" w:cs="Times New Roman"/>
          <w:sz w:val="24"/>
          <w:szCs w:val="24"/>
        </w:rPr>
      </w:pPr>
      <w:r w:rsidRPr="00226CD4">
        <w:rPr>
          <w:rFonts w:ascii="Times New Roman" w:hAnsi="Times New Roman" w:cs="Times New Roman"/>
          <w:sz w:val="24"/>
          <w:szCs w:val="24"/>
        </w:rPr>
        <w:t>EGI a acquis 17</w:t>
      </w:r>
      <w:r w:rsidR="001B248E" w:rsidRPr="00226CD4">
        <w:rPr>
          <w:rFonts w:ascii="Times New Roman" w:hAnsi="Times New Roman" w:cs="Times New Roman"/>
          <w:sz w:val="24"/>
          <w:szCs w:val="24"/>
        </w:rPr>
        <w:t> </w:t>
      </w:r>
      <w:r w:rsidRPr="00226CD4">
        <w:rPr>
          <w:rFonts w:ascii="Times New Roman" w:hAnsi="Times New Roman" w:cs="Times New Roman"/>
          <w:sz w:val="24"/>
          <w:szCs w:val="24"/>
        </w:rPr>
        <w:t>% des actions de PI. Il est présumé qu’EGI n’est pas en mesure d’exercer une influence notable</w:t>
      </w:r>
      <w:r w:rsidR="00571131" w:rsidRPr="00226CD4">
        <w:rPr>
          <w:rFonts w:ascii="Times New Roman" w:hAnsi="Times New Roman" w:cs="Times New Roman"/>
          <w:sz w:val="24"/>
          <w:szCs w:val="24"/>
        </w:rPr>
        <w:t xml:space="preserve"> vu que c’est sous la barre des 20</w:t>
      </w:r>
      <w:r w:rsidR="001B248E" w:rsidRPr="00226CD4">
        <w:rPr>
          <w:rFonts w:ascii="Times New Roman" w:hAnsi="Times New Roman" w:cs="Times New Roman"/>
          <w:sz w:val="24"/>
          <w:szCs w:val="24"/>
        </w:rPr>
        <w:t> </w:t>
      </w:r>
      <w:r w:rsidR="00571131" w:rsidRPr="00226CD4">
        <w:rPr>
          <w:rFonts w:ascii="Times New Roman" w:hAnsi="Times New Roman" w:cs="Times New Roman"/>
          <w:sz w:val="24"/>
          <w:szCs w:val="24"/>
        </w:rPr>
        <w:t>%</w:t>
      </w:r>
      <w:r w:rsidR="00226CD4" w:rsidRPr="00226CD4">
        <w:rPr>
          <w:rFonts w:ascii="Times New Roman" w:hAnsi="Times New Roman" w:cs="Times New Roman"/>
          <w:sz w:val="24"/>
          <w:szCs w:val="24"/>
        </w:rPr>
        <w:t>.</w:t>
      </w:r>
    </w:p>
    <w:p w14:paraId="089B2219" w14:textId="2693865E" w:rsidR="00226CD4" w:rsidRPr="00226CD4" w:rsidRDefault="00226CD4" w:rsidP="00226CD4">
      <w:pPr>
        <w:jc w:val="both"/>
        <w:rPr>
          <w:rFonts w:ascii="Times New Roman" w:hAnsi="Times New Roman" w:cs="Times New Roman"/>
          <w:color w:val="0070C0"/>
          <w:sz w:val="24"/>
          <w:szCs w:val="24"/>
        </w:rPr>
      </w:pPr>
      <w:r w:rsidRPr="00226CD4">
        <w:rPr>
          <w:rFonts w:ascii="Times New Roman" w:hAnsi="Times New Roman" w:cs="Times New Roman"/>
          <w:color w:val="0070C0"/>
          <w:sz w:val="24"/>
          <w:szCs w:val="24"/>
        </w:rPr>
        <w:t>6     L'exercice d'une influence notable par un investisseur est habituellement attesté par une ou plusieurs des situations suivantes :</w:t>
      </w:r>
    </w:p>
    <w:p w14:paraId="09F20FFC" w14:textId="15D1ADDC" w:rsidR="00226CD4" w:rsidRDefault="00226CD4" w:rsidP="00226CD4">
      <w:pPr>
        <w:pStyle w:val="Paragraphedeliste"/>
        <w:numPr>
          <w:ilvl w:val="0"/>
          <w:numId w:val="42"/>
        </w:numPr>
        <w:jc w:val="both"/>
        <w:rPr>
          <w:rFonts w:ascii="Times New Roman" w:hAnsi="Times New Roman" w:cs="Times New Roman"/>
          <w:color w:val="0070C0"/>
          <w:sz w:val="24"/>
          <w:szCs w:val="24"/>
        </w:rPr>
      </w:pPr>
      <w:proofErr w:type="gramStart"/>
      <w:r w:rsidRPr="00226CD4">
        <w:rPr>
          <w:rFonts w:ascii="Times New Roman" w:hAnsi="Times New Roman" w:cs="Times New Roman"/>
          <w:color w:val="0070C0"/>
          <w:sz w:val="24"/>
          <w:szCs w:val="24"/>
        </w:rPr>
        <w:t>représentation</w:t>
      </w:r>
      <w:proofErr w:type="gramEnd"/>
      <w:r w:rsidRPr="00226CD4">
        <w:rPr>
          <w:rFonts w:ascii="Times New Roman" w:hAnsi="Times New Roman" w:cs="Times New Roman"/>
          <w:color w:val="0070C0"/>
          <w:sz w:val="24"/>
          <w:szCs w:val="24"/>
        </w:rPr>
        <w:t xml:space="preserve"> au sein du Conseil d'administration ou de l'organe de direction équivalent de l'entité émettrice ;</w:t>
      </w:r>
    </w:p>
    <w:p w14:paraId="280781B4" w14:textId="2C1F8454" w:rsidR="00226CD4" w:rsidRPr="00226CD4" w:rsidRDefault="00226CD4" w:rsidP="00226CD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OUI, car </w:t>
      </w:r>
      <w:r w:rsidRPr="00226CD4">
        <w:rPr>
          <w:rFonts w:ascii="Times New Roman" w:hAnsi="Times New Roman" w:cs="Times New Roman"/>
          <w:color w:val="000000" w:themeColor="text1"/>
          <w:sz w:val="24"/>
          <w:szCs w:val="24"/>
        </w:rPr>
        <w:t xml:space="preserve">EGI a le droit d’élire deux des cinq membres au conseil d’administration, ce qui lui permet donc </w:t>
      </w:r>
      <w:proofErr w:type="gramStart"/>
      <w:r w:rsidRPr="00226CD4">
        <w:rPr>
          <w:rFonts w:ascii="Times New Roman" w:hAnsi="Times New Roman" w:cs="Times New Roman"/>
          <w:color w:val="000000" w:themeColor="text1"/>
          <w:sz w:val="24"/>
          <w:szCs w:val="24"/>
        </w:rPr>
        <w:t>d’avoir</w:t>
      </w:r>
      <w:proofErr w:type="gramEnd"/>
      <w:r w:rsidRPr="00226CD4">
        <w:rPr>
          <w:rFonts w:ascii="Times New Roman" w:hAnsi="Times New Roman" w:cs="Times New Roman"/>
          <w:color w:val="000000" w:themeColor="text1"/>
          <w:sz w:val="24"/>
          <w:szCs w:val="24"/>
        </w:rPr>
        <w:t xml:space="preserve"> une influence sur les décisions stratégiques qui doivent y être approuvées</w:t>
      </w:r>
      <w:r>
        <w:rPr>
          <w:rFonts w:ascii="Times New Roman" w:hAnsi="Times New Roman" w:cs="Times New Roman"/>
          <w:color w:val="000000" w:themeColor="text1"/>
          <w:sz w:val="24"/>
          <w:szCs w:val="24"/>
        </w:rPr>
        <w:t>.</w:t>
      </w:r>
    </w:p>
    <w:p w14:paraId="310524A5" w14:textId="37AFF263" w:rsidR="00226CD4" w:rsidRDefault="00226CD4" w:rsidP="00226CD4">
      <w:pPr>
        <w:pStyle w:val="Paragraphedeliste"/>
        <w:numPr>
          <w:ilvl w:val="0"/>
          <w:numId w:val="42"/>
        </w:numPr>
        <w:jc w:val="both"/>
        <w:rPr>
          <w:rFonts w:ascii="Times New Roman" w:hAnsi="Times New Roman" w:cs="Times New Roman"/>
          <w:color w:val="0070C0"/>
          <w:sz w:val="24"/>
          <w:szCs w:val="24"/>
        </w:rPr>
      </w:pPr>
      <w:proofErr w:type="gramStart"/>
      <w:r w:rsidRPr="00226CD4">
        <w:rPr>
          <w:rFonts w:ascii="Times New Roman" w:hAnsi="Times New Roman" w:cs="Times New Roman"/>
          <w:color w:val="0070C0"/>
          <w:sz w:val="24"/>
          <w:szCs w:val="24"/>
        </w:rPr>
        <w:t>participation</w:t>
      </w:r>
      <w:proofErr w:type="gramEnd"/>
      <w:r w:rsidRPr="00226CD4">
        <w:rPr>
          <w:rFonts w:ascii="Times New Roman" w:hAnsi="Times New Roman" w:cs="Times New Roman"/>
          <w:color w:val="0070C0"/>
          <w:sz w:val="24"/>
          <w:szCs w:val="24"/>
        </w:rPr>
        <w:t xml:space="preserve"> au processus d'élaboration des politiques, et notamment participation aux décisions relatives aux dividendes et autres distributions ;</w:t>
      </w:r>
    </w:p>
    <w:p w14:paraId="73F283B2" w14:textId="52ED9DE8" w:rsidR="00226CD4" w:rsidRPr="00226CD4" w:rsidRDefault="00226CD4" w:rsidP="00226CD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OUI, car </w:t>
      </w:r>
      <w:r w:rsidRPr="00226CD4">
        <w:rPr>
          <w:rFonts w:ascii="Times New Roman" w:hAnsi="Times New Roman" w:cs="Times New Roman"/>
          <w:color w:val="000000" w:themeColor="text1"/>
          <w:sz w:val="24"/>
          <w:szCs w:val="24"/>
        </w:rPr>
        <w:t>EGI participe également à l’établissement des politiques, du fait de sa présence au conseil d’administration, afin de faire valoir ses propres intérêts</w:t>
      </w:r>
      <w:r>
        <w:rPr>
          <w:rFonts w:ascii="Times New Roman" w:hAnsi="Times New Roman" w:cs="Times New Roman"/>
          <w:color w:val="000000" w:themeColor="text1"/>
          <w:sz w:val="24"/>
          <w:szCs w:val="24"/>
        </w:rPr>
        <w:t>.</w:t>
      </w:r>
    </w:p>
    <w:p w14:paraId="2CA2DEF9" w14:textId="40FFF19A" w:rsidR="00226CD4" w:rsidRDefault="00226CD4" w:rsidP="00226CD4">
      <w:pPr>
        <w:pStyle w:val="Paragraphedeliste"/>
        <w:numPr>
          <w:ilvl w:val="0"/>
          <w:numId w:val="42"/>
        </w:numPr>
        <w:jc w:val="both"/>
        <w:rPr>
          <w:rFonts w:ascii="Times New Roman" w:hAnsi="Times New Roman" w:cs="Times New Roman"/>
          <w:color w:val="0070C0"/>
          <w:sz w:val="24"/>
          <w:szCs w:val="24"/>
        </w:rPr>
      </w:pPr>
      <w:proofErr w:type="gramStart"/>
      <w:r w:rsidRPr="00226CD4">
        <w:rPr>
          <w:rFonts w:ascii="Times New Roman" w:hAnsi="Times New Roman" w:cs="Times New Roman"/>
          <w:color w:val="0070C0"/>
          <w:sz w:val="24"/>
          <w:szCs w:val="24"/>
        </w:rPr>
        <w:t>transactions</w:t>
      </w:r>
      <w:proofErr w:type="gramEnd"/>
      <w:r w:rsidRPr="00226CD4">
        <w:rPr>
          <w:rFonts w:ascii="Times New Roman" w:hAnsi="Times New Roman" w:cs="Times New Roman"/>
          <w:color w:val="0070C0"/>
          <w:sz w:val="24"/>
          <w:szCs w:val="24"/>
        </w:rPr>
        <w:t xml:space="preserve"> significatives entre l'investisseur et l'entité émettrice ;</w:t>
      </w:r>
    </w:p>
    <w:p w14:paraId="35E4886C" w14:textId="6A43D883" w:rsidR="00226CD4" w:rsidRPr="00226CD4" w:rsidRDefault="00226CD4" w:rsidP="00226CD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OUI, car </w:t>
      </w:r>
      <w:r w:rsidRPr="00226CD4">
        <w:rPr>
          <w:rFonts w:ascii="Times New Roman" w:hAnsi="Times New Roman" w:cs="Times New Roman"/>
          <w:color w:val="000000" w:themeColor="text1"/>
          <w:sz w:val="24"/>
          <w:szCs w:val="24"/>
        </w:rPr>
        <w:t>EGI a acquis PI afin d’avoir accès à sa technologie avant-gardiste, ce qui représente de la fourniture d’informations techniques entre les deux entreprises.</w:t>
      </w:r>
    </w:p>
    <w:p w14:paraId="223A477C" w14:textId="5299B5F6" w:rsidR="00EA6E00" w:rsidRPr="00226CD4" w:rsidRDefault="00EA6E00" w:rsidP="00D267A4">
      <w:pPr>
        <w:jc w:val="both"/>
        <w:rPr>
          <w:rFonts w:ascii="Times New Roman" w:hAnsi="Times New Roman" w:cs="Times New Roman"/>
          <w:sz w:val="24"/>
          <w:szCs w:val="24"/>
        </w:rPr>
      </w:pPr>
      <w:r w:rsidRPr="00226CD4">
        <w:rPr>
          <w:rFonts w:ascii="Times New Roman" w:hAnsi="Times New Roman" w:cs="Times New Roman"/>
          <w:sz w:val="24"/>
          <w:szCs w:val="24"/>
        </w:rPr>
        <w:t>De ce fait, compte tenu de l’analyse ci-dessus, la présomption selon laquelle EGI n’est pas en mesure d’exercer une influence notable est réfutée</w:t>
      </w:r>
      <w:r w:rsidR="00571131" w:rsidRPr="00226CD4">
        <w:rPr>
          <w:rFonts w:ascii="Times New Roman" w:hAnsi="Times New Roman" w:cs="Times New Roman"/>
          <w:sz w:val="24"/>
          <w:szCs w:val="24"/>
        </w:rPr>
        <w:t>. EGI peut donc exercer une influence notable sur PI avec sa présence au conseil d’administration, sa participation à l’établissement des politiques et la fourniture d’informations techniques entre les deux entreprises.</w:t>
      </w:r>
    </w:p>
    <w:p w14:paraId="1223CF9C" w14:textId="1BA7A660" w:rsidR="00EA6E00" w:rsidRPr="00226CD4" w:rsidRDefault="00EA6E00" w:rsidP="00D267A4">
      <w:pPr>
        <w:jc w:val="both"/>
        <w:rPr>
          <w:rFonts w:ascii="Times New Roman" w:hAnsi="Times New Roman" w:cs="Times New Roman"/>
          <w:sz w:val="24"/>
          <w:szCs w:val="24"/>
        </w:rPr>
      </w:pPr>
      <w:r w:rsidRPr="00226CD4">
        <w:rPr>
          <w:rFonts w:ascii="Times New Roman" w:hAnsi="Times New Roman" w:cs="Times New Roman"/>
          <w:sz w:val="24"/>
          <w:szCs w:val="24"/>
        </w:rPr>
        <w:t xml:space="preserve">EGI doit donc comptabiliser sa participation dans PI selon </w:t>
      </w:r>
      <w:r w:rsidR="00226CD4">
        <w:rPr>
          <w:rFonts w:ascii="Times New Roman" w:hAnsi="Times New Roman" w:cs="Times New Roman"/>
          <w:sz w:val="24"/>
          <w:szCs w:val="24"/>
        </w:rPr>
        <w:t>IAS 28.</w:t>
      </w:r>
    </w:p>
    <w:p w14:paraId="1778BBCA" w14:textId="078C0724" w:rsidR="008E69C6" w:rsidRPr="0005448B" w:rsidRDefault="0005448B" w:rsidP="00D267A4">
      <w:pPr>
        <w:jc w:val="both"/>
        <w:rPr>
          <w:rFonts w:ascii="Times New Roman" w:hAnsi="Times New Roman" w:cs="Times New Roman"/>
          <w:color w:val="0070C0"/>
          <w:sz w:val="24"/>
          <w:szCs w:val="24"/>
        </w:rPr>
      </w:pPr>
      <w:r w:rsidRPr="0005448B">
        <w:rPr>
          <w:rFonts w:ascii="Times New Roman" w:hAnsi="Times New Roman" w:cs="Times New Roman"/>
          <w:color w:val="0070C0"/>
          <w:sz w:val="24"/>
          <w:szCs w:val="24"/>
        </w:rPr>
        <w:lastRenderedPageBreak/>
        <w:t>Méthode de la mise en équivalence</w:t>
      </w:r>
    </w:p>
    <w:p w14:paraId="25EBA112" w14:textId="2B9A788F" w:rsidR="0005448B" w:rsidRDefault="0005448B" w:rsidP="00D267A4">
      <w:pPr>
        <w:jc w:val="both"/>
        <w:rPr>
          <w:rFonts w:ascii="Times New Roman" w:hAnsi="Times New Roman" w:cs="Times New Roman"/>
          <w:color w:val="0070C0"/>
          <w:sz w:val="24"/>
          <w:szCs w:val="24"/>
        </w:rPr>
      </w:pPr>
      <w:r w:rsidRPr="0005448B">
        <w:rPr>
          <w:rFonts w:ascii="Times New Roman" w:hAnsi="Times New Roman" w:cs="Times New Roman"/>
          <w:color w:val="0070C0"/>
          <w:sz w:val="24"/>
          <w:szCs w:val="24"/>
        </w:rPr>
        <w:t xml:space="preserve">10     Selon la méthode de la mise en équivalence, la participation dans une entreprise associée ou une coentreprise est comptabilisée </w:t>
      </w:r>
      <w:r w:rsidRPr="007F0D1E">
        <w:rPr>
          <w:rFonts w:ascii="Times New Roman" w:hAnsi="Times New Roman" w:cs="Times New Roman"/>
          <w:b/>
          <w:bCs/>
          <w:color w:val="0070C0"/>
          <w:sz w:val="24"/>
          <w:szCs w:val="24"/>
        </w:rPr>
        <w:t>au coût lors de la comptabilisation initiale</w:t>
      </w:r>
      <w:r w:rsidRPr="0005448B">
        <w:rPr>
          <w:rFonts w:ascii="Times New Roman" w:hAnsi="Times New Roman" w:cs="Times New Roman"/>
          <w:color w:val="0070C0"/>
          <w:sz w:val="24"/>
          <w:szCs w:val="24"/>
        </w:rPr>
        <w:t xml:space="preserve">, puis la </w:t>
      </w:r>
      <w:r w:rsidRPr="007F0D1E">
        <w:rPr>
          <w:rFonts w:ascii="Times New Roman" w:hAnsi="Times New Roman" w:cs="Times New Roman"/>
          <w:b/>
          <w:bCs/>
          <w:color w:val="0070C0"/>
          <w:sz w:val="24"/>
          <w:szCs w:val="24"/>
        </w:rPr>
        <w:t>valeur comptable</w:t>
      </w:r>
      <w:r w:rsidRPr="0005448B">
        <w:rPr>
          <w:rFonts w:ascii="Times New Roman" w:hAnsi="Times New Roman" w:cs="Times New Roman"/>
          <w:color w:val="0070C0"/>
          <w:sz w:val="24"/>
          <w:szCs w:val="24"/>
        </w:rPr>
        <w:t xml:space="preserve"> est </w:t>
      </w:r>
      <w:r w:rsidRPr="007F0D1E">
        <w:rPr>
          <w:rFonts w:ascii="Times New Roman" w:hAnsi="Times New Roman" w:cs="Times New Roman"/>
          <w:b/>
          <w:bCs/>
          <w:color w:val="0070C0"/>
          <w:sz w:val="24"/>
          <w:szCs w:val="24"/>
        </w:rPr>
        <w:t>augmentée ou diminuée</w:t>
      </w:r>
      <w:r w:rsidRPr="0005448B">
        <w:rPr>
          <w:rFonts w:ascii="Times New Roman" w:hAnsi="Times New Roman" w:cs="Times New Roman"/>
          <w:color w:val="0070C0"/>
          <w:sz w:val="24"/>
          <w:szCs w:val="24"/>
        </w:rPr>
        <w:t xml:space="preserve"> pour comptabiliser la </w:t>
      </w:r>
      <w:r w:rsidRPr="007F0D1E">
        <w:rPr>
          <w:rFonts w:ascii="Times New Roman" w:hAnsi="Times New Roman" w:cs="Times New Roman"/>
          <w:b/>
          <w:bCs/>
          <w:color w:val="0070C0"/>
          <w:sz w:val="24"/>
          <w:szCs w:val="24"/>
        </w:rPr>
        <w:t>quote-part de l'investisseur dans le résultat net</w:t>
      </w:r>
      <w:r w:rsidRPr="0005448B">
        <w:rPr>
          <w:rFonts w:ascii="Times New Roman" w:hAnsi="Times New Roman" w:cs="Times New Roman"/>
          <w:color w:val="0070C0"/>
          <w:sz w:val="24"/>
          <w:szCs w:val="24"/>
        </w:rPr>
        <w:t xml:space="preserve"> de l'entité émettrice après la date d'acquisition. La </w:t>
      </w:r>
      <w:r w:rsidRPr="007F0D1E">
        <w:rPr>
          <w:rFonts w:ascii="Times New Roman" w:hAnsi="Times New Roman" w:cs="Times New Roman"/>
          <w:b/>
          <w:bCs/>
          <w:color w:val="0070C0"/>
          <w:sz w:val="24"/>
          <w:szCs w:val="24"/>
        </w:rPr>
        <w:t>quote-part de l'investisseur dans le résultat net de l'entité émettrice est</w:t>
      </w:r>
      <w:r w:rsidRPr="0005448B">
        <w:rPr>
          <w:rFonts w:ascii="Times New Roman" w:hAnsi="Times New Roman" w:cs="Times New Roman"/>
          <w:color w:val="0070C0"/>
          <w:sz w:val="24"/>
          <w:szCs w:val="24"/>
        </w:rPr>
        <w:t xml:space="preserve"> comptabilisée </w:t>
      </w:r>
      <w:r w:rsidRPr="007F0D1E">
        <w:rPr>
          <w:rFonts w:ascii="Times New Roman" w:hAnsi="Times New Roman" w:cs="Times New Roman"/>
          <w:b/>
          <w:bCs/>
          <w:color w:val="0070C0"/>
          <w:sz w:val="24"/>
          <w:szCs w:val="24"/>
        </w:rPr>
        <w:t>dans le résultat net de l'investisseur</w:t>
      </w:r>
      <w:r w:rsidRPr="0005448B">
        <w:rPr>
          <w:rFonts w:ascii="Times New Roman" w:hAnsi="Times New Roman" w:cs="Times New Roman"/>
          <w:color w:val="0070C0"/>
          <w:sz w:val="24"/>
          <w:szCs w:val="24"/>
        </w:rPr>
        <w:t xml:space="preserve">. Les </w:t>
      </w:r>
      <w:r w:rsidRPr="007F0D1E">
        <w:rPr>
          <w:rFonts w:ascii="Times New Roman" w:hAnsi="Times New Roman" w:cs="Times New Roman"/>
          <w:b/>
          <w:bCs/>
          <w:color w:val="0070C0"/>
          <w:sz w:val="24"/>
          <w:szCs w:val="24"/>
        </w:rPr>
        <w:t>distributions reçues</w:t>
      </w:r>
      <w:r w:rsidRPr="0005448B">
        <w:rPr>
          <w:rFonts w:ascii="Times New Roman" w:hAnsi="Times New Roman" w:cs="Times New Roman"/>
          <w:color w:val="0070C0"/>
          <w:sz w:val="24"/>
          <w:szCs w:val="24"/>
        </w:rPr>
        <w:t xml:space="preserve"> de l'entité émettrice </w:t>
      </w:r>
      <w:r w:rsidRPr="007F0D1E">
        <w:rPr>
          <w:rFonts w:ascii="Times New Roman" w:hAnsi="Times New Roman" w:cs="Times New Roman"/>
          <w:b/>
          <w:bCs/>
          <w:color w:val="0070C0"/>
          <w:sz w:val="24"/>
          <w:szCs w:val="24"/>
        </w:rPr>
        <w:t>réduisent la valeur comptable</w:t>
      </w:r>
      <w:r w:rsidRPr="0005448B">
        <w:rPr>
          <w:rFonts w:ascii="Times New Roman" w:hAnsi="Times New Roman" w:cs="Times New Roman"/>
          <w:color w:val="0070C0"/>
          <w:sz w:val="24"/>
          <w:szCs w:val="24"/>
        </w:rPr>
        <w:t xml:space="preserve"> de la participation. </w:t>
      </w:r>
      <w:r w:rsidR="007F0D1E">
        <w:rPr>
          <w:rFonts w:ascii="Times New Roman" w:hAnsi="Times New Roman" w:cs="Times New Roman"/>
          <w:color w:val="0070C0"/>
          <w:sz w:val="24"/>
          <w:szCs w:val="24"/>
        </w:rPr>
        <w:t>[…]</w:t>
      </w:r>
    </w:p>
    <w:p w14:paraId="6CFD5082" w14:textId="0DA41ACC" w:rsidR="0050418B" w:rsidRPr="0050418B" w:rsidRDefault="0050418B" w:rsidP="0050418B">
      <w:pPr>
        <w:jc w:val="both"/>
        <w:rPr>
          <w:rFonts w:ascii="Times New Roman" w:hAnsi="Times New Roman" w:cs="Times New Roman"/>
          <w:color w:val="0070C0"/>
          <w:sz w:val="24"/>
          <w:szCs w:val="24"/>
        </w:rPr>
      </w:pPr>
      <w:r w:rsidRPr="0050418B">
        <w:rPr>
          <w:rFonts w:ascii="Times New Roman" w:hAnsi="Times New Roman" w:cs="Times New Roman"/>
          <w:color w:val="0070C0"/>
          <w:sz w:val="24"/>
          <w:szCs w:val="24"/>
        </w:rPr>
        <w:t>32     Une participation est comptabilisée selon la méthode de la mise en équivalence à partir de la date à laquelle elle devient une participation dans une entreprise associée ou une coentreprise. Lors de l'acquisition de la participation, toute différence entre le coût de la participation et la quote-part de l'investisseur dans la juste valeur nette des actifs et des passifs identifiables de l'entité émettrice est comptabilisée comme suit :</w:t>
      </w:r>
    </w:p>
    <w:p w14:paraId="0EFA6E78" w14:textId="6BA4C9CA" w:rsidR="0050418B" w:rsidRPr="0050418B" w:rsidRDefault="0050418B" w:rsidP="0050418B">
      <w:pPr>
        <w:jc w:val="both"/>
        <w:rPr>
          <w:rFonts w:ascii="Times New Roman" w:hAnsi="Times New Roman" w:cs="Times New Roman"/>
          <w:color w:val="0070C0"/>
          <w:sz w:val="24"/>
          <w:szCs w:val="24"/>
        </w:rPr>
      </w:pPr>
      <w:r w:rsidRPr="0050418B">
        <w:rPr>
          <w:rFonts w:ascii="Times New Roman" w:hAnsi="Times New Roman" w:cs="Times New Roman"/>
          <w:color w:val="0070C0"/>
          <w:sz w:val="24"/>
          <w:szCs w:val="24"/>
        </w:rPr>
        <w:t>(a)     le goodwill lié à l'entreprise associée ou à la coentreprise est inclus dans la valeur comptable de la participation. L'amortissement de ce goodwill n'est pas autorisé ;</w:t>
      </w:r>
    </w:p>
    <w:p w14:paraId="3992A5E5" w14:textId="2BDE47BD" w:rsidR="0050418B" w:rsidRPr="0050418B" w:rsidRDefault="0050418B" w:rsidP="0050418B">
      <w:pPr>
        <w:jc w:val="both"/>
        <w:rPr>
          <w:rFonts w:ascii="Times New Roman" w:hAnsi="Times New Roman" w:cs="Times New Roman"/>
          <w:color w:val="0070C0"/>
          <w:sz w:val="24"/>
          <w:szCs w:val="24"/>
        </w:rPr>
      </w:pPr>
      <w:r w:rsidRPr="0050418B">
        <w:rPr>
          <w:rFonts w:ascii="Times New Roman" w:hAnsi="Times New Roman" w:cs="Times New Roman"/>
          <w:color w:val="0070C0"/>
          <w:sz w:val="24"/>
          <w:szCs w:val="24"/>
        </w:rPr>
        <w:t>(b)     tout excédent de la quote-part de l'investisseur dans la juste valeur nette des actifs et passifs identifiables de l'entité émettrice sur le coût de la participation est inclus comme produit dans la détermination de la quote-part de l'investisseur dans le résultat net de l'entreprise associée ou de la coentreprise dans la période au cours de laquelle la participation est acquise.</w:t>
      </w:r>
    </w:p>
    <w:p w14:paraId="600FC32A" w14:textId="49F3161C" w:rsidR="0050418B" w:rsidRDefault="0050418B" w:rsidP="0050418B">
      <w:pPr>
        <w:jc w:val="both"/>
        <w:rPr>
          <w:rFonts w:ascii="Times New Roman" w:hAnsi="Times New Roman" w:cs="Times New Roman"/>
          <w:color w:val="0070C0"/>
          <w:sz w:val="24"/>
          <w:szCs w:val="24"/>
          <w:highlight w:val="yellow"/>
        </w:rPr>
      </w:pPr>
      <w:r w:rsidRPr="0050418B">
        <w:rPr>
          <w:rFonts w:ascii="Times New Roman" w:hAnsi="Times New Roman" w:cs="Times New Roman"/>
          <w:color w:val="0070C0"/>
          <w:sz w:val="24"/>
          <w:szCs w:val="24"/>
        </w:rPr>
        <w:t xml:space="preserve">     Des </w:t>
      </w:r>
      <w:r w:rsidRPr="0050418B">
        <w:rPr>
          <w:rFonts w:ascii="Times New Roman" w:hAnsi="Times New Roman" w:cs="Times New Roman"/>
          <w:b/>
          <w:bCs/>
          <w:color w:val="0070C0"/>
          <w:sz w:val="24"/>
          <w:szCs w:val="24"/>
        </w:rPr>
        <w:t>ajustements</w:t>
      </w:r>
      <w:r w:rsidRPr="0050418B">
        <w:rPr>
          <w:rFonts w:ascii="Times New Roman" w:hAnsi="Times New Roman" w:cs="Times New Roman"/>
          <w:color w:val="0070C0"/>
          <w:sz w:val="24"/>
          <w:szCs w:val="24"/>
        </w:rPr>
        <w:t xml:space="preserve"> appropriés sont apportés </w:t>
      </w:r>
      <w:r w:rsidRPr="0050418B">
        <w:rPr>
          <w:rFonts w:ascii="Times New Roman" w:hAnsi="Times New Roman" w:cs="Times New Roman"/>
          <w:b/>
          <w:bCs/>
          <w:color w:val="0070C0"/>
          <w:sz w:val="24"/>
          <w:szCs w:val="24"/>
        </w:rPr>
        <w:t>à la quote-part de l'investisseur dans le résultat net de l'entreprise associée ou de la coentreprise, après l'acquisition, pour tenir compte par exemple de l'amortissement des actifs amortissables, sur la base de leur juste valeur respective à la date d'acquisition</w:t>
      </w:r>
      <w:r w:rsidRPr="0050418B">
        <w:rPr>
          <w:rFonts w:ascii="Times New Roman" w:hAnsi="Times New Roman" w:cs="Times New Roman"/>
          <w:color w:val="0070C0"/>
          <w:sz w:val="24"/>
          <w:szCs w:val="24"/>
        </w:rPr>
        <w:t>. De même, des ajustements appropriés sont apportés à la quote-part de l'investisseur dans le résultat net de l'entreprise associée ou de la coentreprise, après l'acquisition, au titre des pertes de valeur subies, entre autres, par le goodwill ou les immobilisations corporelles.</w:t>
      </w:r>
    </w:p>
    <w:p w14:paraId="7943BC93" w14:textId="77777777" w:rsidR="00DD2372" w:rsidRPr="007F0D1E" w:rsidRDefault="00DD2372" w:rsidP="00D267A4">
      <w:pPr>
        <w:jc w:val="both"/>
        <w:rPr>
          <w:rFonts w:ascii="Times New Roman" w:hAnsi="Times New Roman" w:cs="Times New Roman"/>
          <w:sz w:val="24"/>
          <w:szCs w:val="24"/>
        </w:rPr>
      </w:pPr>
      <w:r w:rsidRPr="007F0D1E">
        <w:rPr>
          <w:rFonts w:ascii="Times New Roman" w:hAnsi="Times New Roman" w:cs="Times New Roman"/>
          <w:sz w:val="24"/>
          <w:szCs w:val="24"/>
        </w:rPr>
        <w:t>Pour EGI, le revenu de participation sera donc :</w:t>
      </w:r>
    </w:p>
    <w:p w14:paraId="76F21177" w14:textId="78BF8247" w:rsidR="00571131" w:rsidRPr="007F0D1E" w:rsidRDefault="00DD2372" w:rsidP="00DD2372">
      <w:pPr>
        <w:pStyle w:val="Paragraphedeliste"/>
        <w:numPr>
          <w:ilvl w:val="0"/>
          <w:numId w:val="8"/>
        </w:numPr>
        <w:jc w:val="both"/>
        <w:rPr>
          <w:rFonts w:ascii="Times New Roman" w:hAnsi="Times New Roman" w:cs="Times New Roman"/>
          <w:sz w:val="24"/>
          <w:szCs w:val="24"/>
        </w:rPr>
      </w:pPr>
      <w:proofErr w:type="gramStart"/>
      <w:r w:rsidRPr="007F0D1E">
        <w:rPr>
          <w:rFonts w:ascii="Times New Roman" w:hAnsi="Times New Roman" w:cs="Times New Roman"/>
          <w:sz w:val="24"/>
          <w:szCs w:val="24"/>
        </w:rPr>
        <w:t>sa</w:t>
      </w:r>
      <w:proofErr w:type="gramEnd"/>
      <w:r w:rsidRPr="007F0D1E">
        <w:rPr>
          <w:rFonts w:ascii="Times New Roman" w:hAnsi="Times New Roman" w:cs="Times New Roman"/>
          <w:sz w:val="24"/>
          <w:szCs w:val="24"/>
        </w:rPr>
        <w:t xml:space="preserve"> quote-part du résultat net</w:t>
      </w:r>
      <w:r w:rsidR="00605C9E" w:rsidRPr="007F0D1E">
        <w:rPr>
          <w:rFonts w:ascii="Times New Roman" w:hAnsi="Times New Roman" w:cs="Times New Roman"/>
          <w:sz w:val="24"/>
          <w:szCs w:val="24"/>
        </w:rPr>
        <w:t xml:space="preserve"> </w:t>
      </w:r>
      <w:r w:rsidRPr="007F0D1E">
        <w:rPr>
          <w:rFonts w:ascii="Times New Roman" w:hAnsi="Times New Roman" w:cs="Times New Roman"/>
          <w:sz w:val="24"/>
          <w:szCs w:val="24"/>
        </w:rPr>
        <w:t xml:space="preserve"> </w:t>
      </w:r>
    </w:p>
    <w:p w14:paraId="6EB5FD20" w14:textId="5648B598" w:rsidR="008E69C6" w:rsidRPr="007F0D1E" w:rsidRDefault="00571131" w:rsidP="00DD2372">
      <w:pPr>
        <w:pStyle w:val="Paragraphedeliste"/>
        <w:numPr>
          <w:ilvl w:val="0"/>
          <w:numId w:val="8"/>
        </w:numPr>
        <w:jc w:val="both"/>
        <w:rPr>
          <w:rFonts w:ascii="Times New Roman" w:hAnsi="Times New Roman" w:cs="Times New Roman"/>
          <w:sz w:val="24"/>
          <w:szCs w:val="24"/>
        </w:rPr>
      </w:pPr>
      <w:proofErr w:type="gramStart"/>
      <w:r w:rsidRPr="007F0D1E">
        <w:rPr>
          <w:rFonts w:ascii="Times New Roman" w:hAnsi="Times New Roman" w:cs="Times New Roman"/>
          <w:sz w:val="24"/>
          <w:szCs w:val="24"/>
        </w:rPr>
        <w:t>la</w:t>
      </w:r>
      <w:proofErr w:type="gramEnd"/>
      <w:r w:rsidRPr="007F0D1E">
        <w:rPr>
          <w:rFonts w:ascii="Times New Roman" w:hAnsi="Times New Roman" w:cs="Times New Roman"/>
          <w:sz w:val="24"/>
          <w:szCs w:val="24"/>
        </w:rPr>
        <w:t xml:space="preserve"> matérialisation des plus-values et moins-values sur les actifs et passifs </w:t>
      </w:r>
      <w:r w:rsidR="008157DD" w:rsidRPr="007F0D1E">
        <w:rPr>
          <w:rFonts w:ascii="Times New Roman" w:hAnsi="Times New Roman" w:cs="Times New Roman"/>
          <w:sz w:val="24"/>
          <w:szCs w:val="24"/>
        </w:rPr>
        <w:t>à la date d’acquisition</w:t>
      </w:r>
      <w:r w:rsidR="00605C9E" w:rsidRPr="007F0D1E">
        <w:rPr>
          <w:rFonts w:ascii="Times New Roman" w:hAnsi="Times New Roman" w:cs="Times New Roman"/>
          <w:sz w:val="24"/>
          <w:szCs w:val="24"/>
        </w:rPr>
        <w:t xml:space="preserve">  (voir document Excel, onglet A.3)</w:t>
      </w:r>
    </w:p>
    <w:p w14:paraId="62A5EAA0" w14:textId="692D67D1" w:rsidR="00215CF7" w:rsidRPr="007F0D1E" w:rsidRDefault="00DD2372" w:rsidP="00D267A4">
      <w:pPr>
        <w:jc w:val="both"/>
        <w:rPr>
          <w:rFonts w:ascii="Times New Roman" w:hAnsi="Times New Roman" w:cs="Times New Roman"/>
          <w:sz w:val="24"/>
          <w:szCs w:val="24"/>
        </w:rPr>
      </w:pPr>
      <w:r w:rsidRPr="007F0D1E">
        <w:rPr>
          <w:rFonts w:ascii="Times New Roman" w:hAnsi="Times New Roman" w:cs="Times New Roman"/>
          <w:sz w:val="24"/>
          <w:szCs w:val="24"/>
        </w:rPr>
        <w:t>Et le compte Participation sera donc :</w:t>
      </w:r>
    </w:p>
    <w:p w14:paraId="1F2089C9" w14:textId="4FBAC685" w:rsidR="00DD2372" w:rsidRPr="007F0D1E" w:rsidRDefault="00DD2372" w:rsidP="00DD2372">
      <w:pPr>
        <w:pStyle w:val="Paragraphedeliste"/>
        <w:numPr>
          <w:ilvl w:val="0"/>
          <w:numId w:val="8"/>
        </w:numPr>
        <w:jc w:val="both"/>
        <w:rPr>
          <w:rFonts w:ascii="Times New Roman" w:hAnsi="Times New Roman" w:cs="Times New Roman"/>
          <w:sz w:val="24"/>
          <w:szCs w:val="24"/>
        </w:rPr>
      </w:pPr>
      <w:proofErr w:type="gramStart"/>
      <w:r w:rsidRPr="007F0D1E">
        <w:rPr>
          <w:rFonts w:ascii="Times New Roman" w:hAnsi="Times New Roman" w:cs="Times New Roman"/>
          <w:sz w:val="24"/>
          <w:szCs w:val="24"/>
        </w:rPr>
        <w:t>évalué</w:t>
      </w:r>
      <w:proofErr w:type="gramEnd"/>
      <w:r w:rsidRPr="007F0D1E">
        <w:rPr>
          <w:rFonts w:ascii="Times New Roman" w:hAnsi="Times New Roman" w:cs="Times New Roman"/>
          <w:sz w:val="24"/>
          <w:szCs w:val="24"/>
        </w:rPr>
        <w:t xml:space="preserve"> d’abord au coût d’acquisition, soit </w:t>
      </w:r>
      <w:r w:rsidR="00DB713B" w:rsidRPr="007F0D1E">
        <w:rPr>
          <w:rFonts w:ascii="Times New Roman" w:hAnsi="Times New Roman" w:cs="Times New Roman"/>
          <w:sz w:val="24"/>
          <w:szCs w:val="24"/>
        </w:rPr>
        <w:t>400 000</w:t>
      </w:r>
      <w:r w:rsidR="008157DD" w:rsidRPr="007F0D1E">
        <w:rPr>
          <w:rFonts w:ascii="Times New Roman" w:hAnsi="Times New Roman" w:cs="Times New Roman"/>
          <w:sz w:val="24"/>
          <w:szCs w:val="24"/>
        </w:rPr>
        <w:t> </w:t>
      </w:r>
      <w:r w:rsidR="00DB713B" w:rsidRPr="007F0D1E">
        <w:rPr>
          <w:rFonts w:ascii="Times New Roman" w:hAnsi="Times New Roman" w:cs="Times New Roman"/>
          <w:sz w:val="24"/>
          <w:szCs w:val="24"/>
        </w:rPr>
        <w:t>$</w:t>
      </w:r>
    </w:p>
    <w:p w14:paraId="0DF4B437" w14:textId="4B5EB315" w:rsidR="00DD2372" w:rsidRPr="007F0D1E" w:rsidRDefault="00DD2372" w:rsidP="00DD2372">
      <w:pPr>
        <w:pStyle w:val="Paragraphedeliste"/>
        <w:numPr>
          <w:ilvl w:val="0"/>
          <w:numId w:val="8"/>
        </w:numPr>
        <w:jc w:val="both"/>
        <w:rPr>
          <w:rFonts w:ascii="Times New Roman" w:hAnsi="Times New Roman" w:cs="Times New Roman"/>
          <w:sz w:val="24"/>
          <w:szCs w:val="24"/>
        </w:rPr>
      </w:pPr>
      <w:proofErr w:type="gramStart"/>
      <w:r w:rsidRPr="007F0D1E">
        <w:rPr>
          <w:rFonts w:ascii="Times New Roman" w:hAnsi="Times New Roman" w:cs="Times New Roman"/>
          <w:sz w:val="24"/>
          <w:szCs w:val="24"/>
        </w:rPr>
        <w:t>augmenté</w:t>
      </w:r>
      <w:proofErr w:type="gramEnd"/>
      <w:r w:rsidRPr="007F0D1E">
        <w:rPr>
          <w:rFonts w:ascii="Times New Roman" w:hAnsi="Times New Roman" w:cs="Times New Roman"/>
          <w:sz w:val="24"/>
          <w:szCs w:val="24"/>
        </w:rPr>
        <w:t xml:space="preserve"> </w:t>
      </w:r>
      <w:r w:rsidR="00571131" w:rsidRPr="007F0D1E">
        <w:rPr>
          <w:rFonts w:ascii="Times New Roman" w:hAnsi="Times New Roman" w:cs="Times New Roman"/>
          <w:sz w:val="24"/>
          <w:szCs w:val="24"/>
        </w:rPr>
        <w:t>du revenu de participation</w:t>
      </w:r>
      <w:r w:rsidR="00DB713B" w:rsidRPr="007F0D1E">
        <w:rPr>
          <w:rFonts w:ascii="Times New Roman" w:hAnsi="Times New Roman" w:cs="Times New Roman"/>
          <w:sz w:val="24"/>
          <w:szCs w:val="24"/>
        </w:rPr>
        <w:t>, soit 1</w:t>
      </w:r>
      <w:r w:rsidR="00605C9E" w:rsidRPr="007F0D1E">
        <w:rPr>
          <w:rFonts w:ascii="Times New Roman" w:hAnsi="Times New Roman" w:cs="Times New Roman"/>
          <w:sz w:val="24"/>
          <w:szCs w:val="24"/>
        </w:rPr>
        <w:t>7</w:t>
      </w:r>
      <w:r w:rsidR="00DB713B" w:rsidRPr="007F0D1E">
        <w:rPr>
          <w:rFonts w:ascii="Times New Roman" w:hAnsi="Times New Roman" w:cs="Times New Roman"/>
          <w:sz w:val="24"/>
          <w:szCs w:val="24"/>
        </w:rPr>
        <w:t xml:space="preserve"> 000</w:t>
      </w:r>
      <w:r w:rsidR="00605C9E" w:rsidRPr="007F0D1E">
        <w:rPr>
          <w:rFonts w:ascii="Times New Roman" w:hAnsi="Times New Roman" w:cs="Times New Roman"/>
          <w:sz w:val="24"/>
          <w:szCs w:val="24"/>
        </w:rPr>
        <w:t> </w:t>
      </w:r>
      <w:r w:rsidR="00DB713B" w:rsidRPr="007F0D1E">
        <w:rPr>
          <w:rFonts w:ascii="Times New Roman" w:hAnsi="Times New Roman" w:cs="Times New Roman"/>
          <w:sz w:val="24"/>
          <w:szCs w:val="24"/>
        </w:rPr>
        <w:t xml:space="preserve">$ </w:t>
      </w:r>
    </w:p>
    <w:p w14:paraId="0B091382" w14:textId="7FE923EA" w:rsidR="00605C9E" w:rsidRPr="007F0D1E" w:rsidRDefault="00605C9E" w:rsidP="00DD2372">
      <w:pPr>
        <w:pStyle w:val="Paragraphedeliste"/>
        <w:numPr>
          <w:ilvl w:val="0"/>
          <w:numId w:val="8"/>
        </w:numPr>
        <w:jc w:val="both"/>
        <w:rPr>
          <w:rFonts w:ascii="Times New Roman" w:hAnsi="Times New Roman" w:cs="Times New Roman"/>
          <w:sz w:val="24"/>
          <w:szCs w:val="24"/>
        </w:rPr>
      </w:pPr>
      <w:proofErr w:type="gramStart"/>
      <w:r w:rsidRPr="007F0D1E">
        <w:rPr>
          <w:rFonts w:ascii="Times New Roman" w:hAnsi="Times New Roman" w:cs="Times New Roman"/>
          <w:sz w:val="24"/>
          <w:szCs w:val="24"/>
        </w:rPr>
        <w:t>moins</w:t>
      </w:r>
      <w:proofErr w:type="gramEnd"/>
      <w:r w:rsidRPr="007F0D1E">
        <w:rPr>
          <w:rFonts w:ascii="Times New Roman" w:hAnsi="Times New Roman" w:cs="Times New Roman"/>
          <w:sz w:val="24"/>
          <w:szCs w:val="24"/>
        </w:rPr>
        <w:t xml:space="preserve"> la matérialisation des plus-values et moins-values : (2</w:t>
      </w:r>
      <w:r w:rsidR="00E82ECF">
        <w:rPr>
          <w:rFonts w:ascii="Times New Roman" w:hAnsi="Times New Roman" w:cs="Times New Roman"/>
          <w:sz w:val="24"/>
          <w:szCs w:val="24"/>
        </w:rPr>
        <w:t>2</w:t>
      </w:r>
      <w:r w:rsidRPr="007F0D1E">
        <w:rPr>
          <w:rFonts w:ascii="Times New Roman" w:hAnsi="Times New Roman" w:cs="Times New Roman"/>
          <w:sz w:val="24"/>
          <w:szCs w:val="24"/>
        </w:rPr>
        <w:t> 000 $)</w:t>
      </w:r>
    </w:p>
    <w:p w14:paraId="6D2B132E" w14:textId="2AFA3A17" w:rsidR="00DD2372" w:rsidRPr="007F0D1E" w:rsidRDefault="00DD2372" w:rsidP="00DD2372">
      <w:pPr>
        <w:pStyle w:val="Paragraphedeliste"/>
        <w:numPr>
          <w:ilvl w:val="0"/>
          <w:numId w:val="8"/>
        </w:numPr>
        <w:jc w:val="both"/>
        <w:rPr>
          <w:rFonts w:ascii="Times New Roman" w:hAnsi="Times New Roman" w:cs="Times New Roman"/>
          <w:sz w:val="24"/>
          <w:szCs w:val="24"/>
        </w:rPr>
      </w:pPr>
      <w:proofErr w:type="gramStart"/>
      <w:r w:rsidRPr="007F0D1E">
        <w:rPr>
          <w:rFonts w:ascii="Times New Roman" w:hAnsi="Times New Roman" w:cs="Times New Roman"/>
          <w:sz w:val="24"/>
          <w:szCs w:val="24"/>
        </w:rPr>
        <w:t>diminué</w:t>
      </w:r>
      <w:proofErr w:type="gramEnd"/>
      <w:r w:rsidRPr="007F0D1E">
        <w:rPr>
          <w:rFonts w:ascii="Times New Roman" w:hAnsi="Times New Roman" w:cs="Times New Roman"/>
          <w:sz w:val="24"/>
          <w:szCs w:val="24"/>
        </w:rPr>
        <w:t xml:space="preserve"> de sa quote-part de toute distribution du bénéfice</w:t>
      </w:r>
      <w:r w:rsidR="00605C9E" w:rsidRPr="007F0D1E">
        <w:rPr>
          <w:rFonts w:ascii="Times New Roman" w:hAnsi="Times New Roman" w:cs="Times New Roman"/>
          <w:sz w:val="24"/>
          <w:szCs w:val="24"/>
        </w:rPr>
        <w:t xml:space="preserve"> (dividende)</w:t>
      </w:r>
      <w:r w:rsidRPr="007F0D1E">
        <w:rPr>
          <w:rFonts w:ascii="Times New Roman" w:hAnsi="Times New Roman" w:cs="Times New Roman"/>
          <w:sz w:val="24"/>
          <w:szCs w:val="24"/>
        </w:rPr>
        <w:t>, soit 9 000</w:t>
      </w:r>
      <w:r w:rsidR="00605C9E" w:rsidRPr="007F0D1E">
        <w:rPr>
          <w:rFonts w:ascii="Times New Roman" w:hAnsi="Times New Roman" w:cs="Times New Roman"/>
          <w:sz w:val="24"/>
          <w:szCs w:val="24"/>
        </w:rPr>
        <w:t> </w:t>
      </w:r>
      <w:r w:rsidRPr="007F0D1E">
        <w:rPr>
          <w:rFonts w:ascii="Times New Roman" w:hAnsi="Times New Roman" w:cs="Times New Roman"/>
          <w:sz w:val="24"/>
          <w:szCs w:val="24"/>
        </w:rPr>
        <w:t>$.</w:t>
      </w:r>
    </w:p>
    <w:p w14:paraId="61025D71" w14:textId="160E8494" w:rsidR="00215CF7" w:rsidRPr="007F0D1E" w:rsidRDefault="00DD2372" w:rsidP="00D267A4">
      <w:pPr>
        <w:jc w:val="both"/>
        <w:rPr>
          <w:rFonts w:ascii="Times New Roman" w:hAnsi="Times New Roman" w:cs="Times New Roman"/>
          <w:sz w:val="24"/>
          <w:szCs w:val="24"/>
        </w:rPr>
      </w:pPr>
      <w:r w:rsidRPr="007F0D1E">
        <w:rPr>
          <w:rFonts w:ascii="Times New Roman" w:hAnsi="Times New Roman" w:cs="Times New Roman"/>
          <w:sz w:val="24"/>
          <w:szCs w:val="24"/>
        </w:rPr>
        <w:t>Voir</w:t>
      </w:r>
      <w:r w:rsidR="006055A1" w:rsidRPr="007F0D1E">
        <w:rPr>
          <w:rFonts w:ascii="Times New Roman" w:hAnsi="Times New Roman" w:cs="Times New Roman"/>
          <w:sz w:val="24"/>
          <w:szCs w:val="24"/>
        </w:rPr>
        <w:t xml:space="preserve"> document Excel, onglet A.3 </w:t>
      </w:r>
    </w:p>
    <w:p w14:paraId="47B07DD1" w14:textId="77777777" w:rsidR="008E69C6" w:rsidRPr="00DC0396" w:rsidRDefault="008E69C6" w:rsidP="00D267A4">
      <w:pPr>
        <w:jc w:val="both"/>
        <w:rPr>
          <w:rFonts w:ascii="Times New Roman" w:hAnsi="Times New Roman" w:cs="Times New Roman"/>
          <w:sz w:val="24"/>
          <w:szCs w:val="24"/>
          <w:highlight w:val="yellow"/>
        </w:rPr>
      </w:pPr>
    </w:p>
    <w:p w14:paraId="1C9ADD77" w14:textId="434ED868" w:rsidR="00075248" w:rsidRDefault="00075248" w:rsidP="00D267A4">
      <w:pPr>
        <w:jc w:val="both"/>
        <w:rPr>
          <w:rFonts w:ascii="Times New Roman" w:hAnsi="Times New Roman" w:cs="Times New Roman"/>
          <w:sz w:val="24"/>
          <w:szCs w:val="24"/>
        </w:rPr>
      </w:pPr>
      <w:r w:rsidRPr="0005448B">
        <w:rPr>
          <w:rFonts w:ascii="Times New Roman" w:hAnsi="Times New Roman" w:cs="Times New Roman"/>
          <w:b/>
          <w:bCs/>
          <w:sz w:val="24"/>
          <w:szCs w:val="24"/>
        </w:rPr>
        <w:t>Recommandation :</w:t>
      </w:r>
      <w:r w:rsidRPr="0005448B">
        <w:rPr>
          <w:rFonts w:ascii="Times New Roman" w:hAnsi="Times New Roman" w:cs="Times New Roman"/>
          <w:sz w:val="24"/>
          <w:szCs w:val="24"/>
        </w:rPr>
        <w:t xml:space="preserve"> </w:t>
      </w:r>
      <w:r w:rsidR="0005448B" w:rsidRPr="0005448B">
        <w:rPr>
          <w:rFonts w:ascii="Times New Roman" w:hAnsi="Times New Roman" w:cs="Times New Roman"/>
          <w:sz w:val="24"/>
          <w:szCs w:val="24"/>
        </w:rPr>
        <w:t xml:space="preserve">actuellement, la méthode de la mise en équivalence ne semble pas suivie, car la valeur du placement en date du </w:t>
      </w:r>
      <w:r w:rsidR="00941F80">
        <w:rPr>
          <w:rFonts w:ascii="Times New Roman" w:hAnsi="Times New Roman" w:cs="Times New Roman"/>
          <w:sz w:val="24"/>
          <w:szCs w:val="24"/>
        </w:rPr>
        <w:t>31 décembre</w:t>
      </w:r>
      <w:r w:rsidR="0005448B" w:rsidRPr="0005448B">
        <w:rPr>
          <w:rFonts w:ascii="Times New Roman" w:hAnsi="Times New Roman" w:cs="Times New Roman"/>
          <w:sz w:val="24"/>
          <w:szCs w:val="24"/>
        </w:rPr>
        <w:t xml:space="preserve"> 202</w:t>
      </w:r>
      <w:r w:rsidR="00C94D69">
        <w:rPr>
          <w:rFonts w:ascii="Times New Roman" w:hAnsi="Times New Roman" w:cs="Times New Roman"/>
          <w:sz w:val="24"/>
          <w:szCs w:val="24"/>
        </w:rPr>
        <w:t>5</w:t>
      </w:r>
      <w:r w:rsidR="0005448B" w:rsidRPr="0005448B">
        <w:rPr>
          <w:rFonts w:ascii="Times New Roman" w:hAnsi="Times New Roman" w:cs="Times New Roman"/>
          <w:sz w:val="24"/>
          <w:szCs w:val="24"/>
        </w:rPr>
        <w:t xml:space="preserve"> correspond au coût d’acquisition, ce qui veut dire que le compte participation n’a pas été affecté par les dividendes, le bénéfice net et l’amortissement des écarts de juste valeur. Ainsi, il faudra apporter quelques </w:t>
      </w:r>
      <w:r w:rsidRPr="0005448B">
        <w:rPr>
          <w:rFonts w:ascii="Times New Roman" w:hAnsi="Times New Roman" w:cs="Times New Roman"/>
          <w:sz w:val="24"/>
          <w:szCs w:val="24"/>
        </w:rPr>
        <w:t>corrections aux états financiers d’EGI (voir Excel).</w:t>
      </w:r>
    </w:p>
    <w:p w14:paraId="48DA1C5D" w14:textId="727EF2B3" w:rsidR="001474E1" w:rsidRDefault="001474E1" w:rsidP="00D267A4">
      <w:pPr>
        <w:jc w:val="both"/>
        <w:rPr>
          <w:rFonts w:ascii="Times New Roman" w:hAnsi="Times New Roman" w:cs="Times New Roman"/>
          <w:sz w:val="24"/>
          <w:szCs w:val="24"/>
        </w:rPr>
      </w:pPr>
    </w:p>
    <w:p w14:paraId="0B31B1D8" w14:textId="0C8065D7" w:rsidR="001474E1" w:rsidRDefault="001474E1" w:rsidP="00D267A4">
      <w:pPr>
        <w:jc w:val="both"/>
        <w:rPr>
          <w:rFonts w:ascii="Times New Roman" w:hAnsi="Times New Roman" w:cs="Times New Roman"/>
          <w:sz w:val="24"/>
          <w:szCs w:val="24"/>
        </w:rPr>
      </w:pPr>
    </w:p>
    <w:p w14:paraId="34CFAFB0" w14:textId="1E93D0D3" w:rsidR="001474E1" w:rsidRDefault="001474E1">
      <w:pPr>
        <w:rPr>
          <w:rFonts w:ascii="Times New Roman" w:hAnsi="Times New Roman" w:cs="Times New Roman"/>
          <w:sz w:val="24"/>
          <w:szCs w:val="24"/>
        </w:rPr>
      </w:pPr>
      <w:r>
        <w:rPr>
          <w:rFonts w:ascii="Times New Roman" w:hAnsi="Times New Roman" w:cs="Times New Roman"/>
          <w:sz w:val="24"/>
          <w:szCs w:val="24"/>
        </w:rPr>
        <w:br w:type="page"/>
      </w:r>
    </w:p>
    <w:p w14:paraId="11F53641" w14:textId="4DE31705" w:rsidR="000B047E" w:rsidRDefault="000B047E" w:rsidP="000B047E">
      <w:pPr>
        <w:jc w:val="both"/>
        <w:rPr>
          <w:rFonts w:ascii="Times New Roman" w:hAnsi="Times New Roman" w:cs="Times New Roman"/>
          <w:b/>
          <w:bCs/>
          <w:sz w:val="24"/>
          <w:szCs w:val="24"/>
        </w:rPr>
      </w:pPr>
      <w:r>
        <w:rPr>
          <w:rFonts w:ascii="Times New Roman" w:hAnsi="Times New Roman" w:cs="Times New Roman"/>
          <w:b/>
          <w:bCs/>
          <w:sz w:val="24"/>
          <w:szCs w:val="24"/>
        </w:rPr>
        <w:lastRenderedPageBreak/>
        <w:t>Partie B</w:t>
      </w:r>
    </w:p>
    <w:p w14:paraId="072F299E" w14:textId="77777777" w:rsidR="000B047E" w:rsidRPr="007D6983" w:rsidRDefault="000B047E" w:rsidP="000B047E">
      <w:pPr>
        <w:jc w:val="both"/>
        <w:rPr>
          <w:rFonts w:ascii="Times New Roman" w:hAnsi="Times New Roman" w:cs="Times New Roman"/>
          <w:sz w:val="24"/>
          <w:szCs w:val="24"/>
        </w:rPr>
      </w:pPr>
      <w:r w:rsidRPr="007D6983">
        <w:rPr>
          <w:rFonts w:ascii="Times New Roman" w:hAnsi="Times New Roman" w:cs="Times New Roman"/>
          <w:b/>
          <w:bCs/>
          <w:sz w:val="24"/>
          <w:szCs w:val="24"/>
        </w:rPr>
        <w:t>À :</w:t>
      </w:r>
      <w:r w:rsidRPr="007D6983">
        <w:rPr>
          <w:rFonts w:ascii="Times New Roman" w:hAnsi="Times New Roman" w:cs="Times New Roman"/>
          <w:sz w:val="24"/>
          <w:szCs w:val="24"/>
        </w:rPr>
        <w:t xml:space="preserve"> Mathieu Lefebvre</w:t>
      </w:r>
    </w:p>
    <w:p w14:paraId="375C493F" w14:textId="77777777" w:rsidR="000B047E" w:rsidRPr="007D6983" w:rsidRDefault="000B047E" w:rsidP="000B047E">
      <w:pPr>
        <w:jc w:val="both"/>
        <w:rPr>
          <w:rFonts w:ascii="Times New Roman" w:hAnsi="Times New Roman" w:cs="Times New Roman"/>
          <w:sz w:val="24"/>
          <w:szCs w:val="24"/>
        </w:rPr>
      </w:pPr>
      <w:r w:rsidRPr="007D6983">
        <w:rPr>
          <w:rFonts w:ascii="Times New Roman" w:hAnsi="Times New Roman" w:cs="Times New Roman"/>
          <w:b/>
          <w:bCs/>
          <w:sz w:val="24"/>
          <w:szCs w:val="24"/>
        </w:rPr>
        <w:t>De :</w:t>
      </w:r>
      <w:r w:rsidRPr="007D6983">
        <w:rPr>
          <w:rFonts w:ascii="Times New Roman" w:hAnsi="Times New Roman" w:cs="Times New Roman"/>
          <w:sz w:val="24"/>
          <w:szCs w:val="24"/>
        </w:rPr>
        <w:t xml:space="preserve"> contrôleur </w:t>
      </w:r>
    </w:p>
    <w:p w14:paraId="6A72CE3A" w14:textId="77777777" w:rsidR="000B047E" w:rsidRPr="007D6983" w:rsidRDefault="000B047E" w:rsidP="000B047E">
      <w:pPr>
        <w:jc w:val="both"/>
        <w:rPr>
          <w:rFonts w:ascii="Times New Roman" w:hAnsi="Times New Roman" w:cs="Times New Roman"/>
          <w:sz w:val="24"/>
          <w:szCs w:val="24"/>
        </w:rPr>
      </w:pPr>
      <w:r w:rsidRPr="007D6983">
        <w:rPr>
          <w:rFonts w:ascii="Times New Roman" w:hAnsi="Times New Roman" w:cs="Times New Roman"/>
          <w:b/>
          <w:bCs/>
          <w:sz w:val="24"/>
          <w:szCs w:val="24"/>
        </w:rPr>
        <w:t>Objet :</w:t>
      </w:r>
      <w:r w:rsidRPr="007D6983">
        <w:rPr>
          <w:rFonts w:ascii="Times New Roman" w:hAnsi="Times New Roman" w:cs="Times New Roman"/>
          <w:sz w:val="24"/>
          <w:szCs w:val="24"/>
        </w:rPr>
        <w:t xml:space="preserve"> le présent rapport portera sur</w:t>
      </w:r>
    </w:p>
    <w:p w14:paraId="7952E82B" w14:textId="16191C91" w:rsidR="000B047E" w:rsidRPr="000356AA" w:rsidRDefault="000B047E" w:rsidP="000B047E">
      <w:pPr>
        <w:pStyle w:val="Paragraphedeliste"/>
        <w:numPr>
          <w:ilvl w:val="0"/>
          <w:numId w:val="21"/>
        </w:numPr>
        <w:jc w:val="both"/>
        <w:rPr>
          <w:rFonts w:ascii="Times New Roman" w:hAnsi="Times New Roman" w:cs="Times New Roman"/>
          <w:b/>
          <w:bCs/>
          <w:sz w:val="24"/>
          <w:szCs w:val="24"/>
        </w:rPr>
      </w:pPr>
      <w:r w:rsidRPr="000356AA">
        <w:rPr>
          <w:rFonts w:ascii="Times New Roman" w:hAnsi="Times New Roman" w:cs="Times New Roman"/>
          <w:b/>
          <w:bCs/>
          <w:sz w:val="24"/>
          <w:szCs w:val="24"/>
        </w:rPr>
        <w:t>Les impacts des nouvelles informations sur les états financiers consolidés d’EGI</w:t>
      </w:r>
    </w:p>
    <w:p w14:paraId="15A3C235" w14:textId="77777777" w:rsidR="000356AA" w:rsidRDefault="000356AA">
      <w:pPr>
        <w:rPr>
          <w:rFonts w:ascii="Times New Roman" w:hAnsi="Times New Roman" w:cs="Times New Roman"/>
          <w:sz w:val="24"/>
          <w:szCs w:val="24"/>
        </w:rPr>
      </w:pPr>
    </w:p>
    <w:p w14:paraId="1A7D53E7" w14:textId="0CAB8E83" w:rsidR="000B047E" w:rsidRDefault="0021533B" w:rsidP="000B047E">
      <w:pPr>
        <w:jc w:val="both"/>
        <w:rPr>
          <w:rFonts w:ascii="Times New Roman" w:hAnsi="Times New Roman" w:cs="Times New Roman"/>
          <w:sz w:val="24"/>
          <w:szCs w:val="24"/>
        </w:rPr>
      </w:pPr>
      <w:r w:rsidRPr="0021533B">
        <w:rPr>
          <w:rFonts w:ascii="Times New Roman" w:hAnsi="Times New Roman" w:cs="Times New Roman"/>
          <w:b/>
          <w:bCs/>
          <w:sz w:val="24"/>
          <w:szCs w:val="24"/>
        </w:rPr>
        <w:t>Question :</w:t>
      </w:r>
      <w:r>
        <w:rPr>
          <w:rFonts w:ascii="Times New Roman" w:hAnsi="Times New Roman" w:cs="Times New Roman"/>
          <w:sz w:val="24"/>
          <w:szCs w:val="24"/>
        </w:rPr>
        <w:t xml:space="preserve"> quel ser</w:t>
      </w:r>
      <w:r w:rsidR="00B6460F">
        <w:rPr>
          <w:rFonts w:ascii="Times New Roman" w:hAnsi="Times New Roman" w:cs="Times New Roman"/>
          <w:sz w:val="24"/>
          <w:szCs w:val="24"/>
        </w:rPr>
        <w:t>a</w:t>
      </w:r>
      <w:r>
        <w:rPr>
          <w:rFonts w:ascii="Times New Roman" w:hAnsi="Times New Roman" w:cs="Times New Roman"/>
          <w:sz w:val="24"/>
          <w:szCs w:val="24"/>
        </w:rPr>
        <w:t xml:space="preserve"> l</w:t>
      </w:r>
      <w:r w:rsidR="00B6460F">
        <w:rPr>
          <w:rFonts w:ascii="Times New Roman" w:hAnsi="Times New Roman" w:cs="Times New Roman"/>
          <w:sz w:val="24"/>
          <w:szCs w:val="24"/>
        </w:rPr>
        <w:t>’</w:t>
      </w:r>
      <w:r>
        <w:rPr>
          <w:rFonts w:ascii="Times New Roman" w:hAnsi="Times New Roman" w:cs="Times New Roman"/>
          <w:sz w:val="24"/>
          <w:szCs w:val="24"/>
        </w:rPr>
        <w:t>impacts des nouvelles informations</w:t>
      </w:r>
      <w:r w:rsidR="00B6460F">
        <w:rPr>
          <w:rFonts w:ascii="Times New Roman" w:hAnsi="Times New Roman" w:cs="Times New Roman"/>
          <w:sz w:val="24"/>
          <w:szCs w:val="24"/>
        </w:rPr>
        <w:t xml:space="preserve"> sur la poursuite contre EAI</w:t>
      </w:r>
      <w:r>
        <w:rPr>
          <w:rFonts w:ascii="Times New Roman" w:hAnsi="Times New Roman" w:cs="Times New Roman"/>
          <w:sz w:val="24"/>
          <w:szCs w:val="24"/>
        </w:rPr>
        <w:t xml:space="preserve"> sur les états financiers consolidés d’EGI?</w:t>
      </w:r>
    </w:p>
    <w:p w14:paraId="2BA2D051" w14:textId="5055A6FE" w:rsidR="0021533B" w:rsidRPr="0021533B" w:rsidRDefault="0021533B" w:rsidP="000B047E">
      <w:pPr>
        <w:jc w:val="both"/>
        <w:rPr>
          <w:rFonts w:ascii="Times New Roman" w:hAnsi="Times New Roman" w:cs="Times New Roman"/>
          <w:b/>
          <w:bCs/>
          <w:sz w:val="24"/>
          <w:szCs w:val="24"/>
        </w:rPr>
      </w:pPr>
      <w:r w:rsidRPr="0021533B">
        <w:rPr>
          <w:rFonts w:ascii="Times New Roman" w:hAnsi="Times New Roman" w:cs="Times New Roman"/>
          <w:b/>
          <w:bCs/>
          <w:sz w:val="24"/>
          <w:szCs w:val="24"/>
        </w:rPr>
        <w:t>Norme et analyse :</w:t>
      </w:r>
    </w:p>
    <w:p w14:paraId="00F42D8D" w14:textId="1287C2D1" w:rsidR="0021533B" w:rsidRPr="00AE4A03" w:rsidRDefault="0021533B" w:rsidP="000B047E">
      <w:pPr>
        <w:jc w:val="both"/>
        <w:rPr>
          <w:rFonts w:ascii="Times New Roman" w:hAnsi="Times New Roman" w:cs="Times New Roman"/>
          <w:color w:val="002060"/>
          <w:sz w:val="24"/>
          <w:szCs w:val="24"/>
        </w:rPr>
      </w:pPr>
      <w:r w:rsidRPr="00AE4A03">
        <w:rPr>
          <w:rFonts w:ascii="Times New Roman" w:hAnsi="Times New Roman" w:cs="Times New Roman"/>
          <w:color w:val="002060"/>
          <w:sz w:val="24"/>
          <w:szCs w:val="24"/>
        </w:rPr>
        <w:t xml:space="preserve">Selon </w:t>
      </w:r>
      <w:r w:rsidR="00AE4A03" w:rsidRPr="00AE4A03">
        <w:rPr>
          <w:rFonts w:ascii="Times New Roman" w:hAnsi="Times New Roman" w:cs="Times New Roman"/>
          <w:color w:val="002060"/>
          <w:sz w:val="24"/>
          <w:szCs w:val="24"/>
        </w:rPr>
        <w:t>IFRS 3,</w:t>
      </w:r>
    </w:p>
    <w:p w14:paraId="343E5531" w14:textId="77777777" w:rsidR="00AE4A03" w:rsidRPr="00AE4A03" w:rsidRDefault="00AE4A03" w:rsidP="000B047E">
      <w:pPr>
        <w:jc w:val="both"/>
        <w:rPr>
          <w:rFonts w:ascii="Times New Roman" w:hAnsi="Times New Roman" w:cs="Times New Roman"/>
          <w:b/>
          <w:bCs/>
          <w:color w:val="0070C0"/>
          <w:sz w:val="24"/>
          <w:szCs w:val="24"/>
        </w:rPr>
      </w:pPr>
      <w:r w:rsidRPr="00AE4A03">
        <w:rPr>
          <w:rFonts w:ascii="Times New Roman" w:hAnsi="Times New Roman" w:cs="Times New Roman"/>
          <w:color w:val="0070C0"/>
          <w:sz w:val="24"/>
          <w:szCs w:val="24"/>
        </w:rPr>
        <w:t xml:space="preserve">45     </w:t>
      </w:r>
      <w:r w:rsidRPr="00AE4A03">
        <w:rPr>
          <w:rFonts w:ascii="Times New Roman" w:hAnsi="Times New Roman" w:cs="Times New Roman"/>
          <w:b/>
          <w:bCs/>
          <w:color w:val="0070C0"/>
          <w:sz w:val="24"/>
          <w:szCs w:val="24"/>
        </w:rPr>
        <w:t>Si la comptabilisation initiale d'un regroupement d'entreprises est inachevée</w:t>
      </w:r>
      <w:r w:rsidRPr="00AE4A03">
        <w:rPr>
          <w:rFonts w:ascii="Times New Roman" w:hAnsi="Times New Roman" w:cs="Times New Roman"/>
          <w:color w:val="0070C0"/>
          <w:sz w:val="24"/>
          <w:szCs w:val="24"/>
        </w:rPr>
        <w:t xml:space="preserve"> à la fin de la période de présentation de l'information financière au cours de laquelle le regroupement d'entreprises survient, l'acquéreur </w:t>
      </w:r>
      <w:r w:rsidRPr="00AE4A03">
        <w:rPr>
          <w:rFonts w:ascii="Times New Roman" w:hAnsi="Times New Roman" w:cs="Times New Roman"/>
          <w:b/>
          <w:bCs/>
          <w:color w:val="0070C0"/>
          <w:sz w:val="24"/>
          <w:szCs w:val="24"/>
        </w:rPr>
        <w:t>doit mentionner</w:t>
      </w:r>
      <w:r w:rsidRPr="00AE4A03">
        <w:rPr>
          <w:rFonts w:ascii="Times New Roman" w:hAnsi="Times New Roman" w:cs="Times New Roman"/>
          <w:color w:val="0070C0"/>
          <w:sz w:val="24"/>
          <w:szCs w:val="24"/>
        </w:rPr>
        <w:t xml:space="preserve"> dans ses états financiers les montants provisoires relatifs aux éléments pour lesquels la comptabilisation est inachevée. </w:t>
      </w:r>
      <w:r w:rsidRPr="00AE4A03">
        <w:rPr>
          <w:rFonts w:ascii="Times New Roman" w:hAnsi="Times New Roman" w:cs="Times New Roman"/>
          <w:b/>
          <w:bCs/>
          <w:color w:val="0070C0"/>
          <w:sz w:val="24"/>
          <w:szCs w:val="24"/>
        </w:rPr>
        <w:t>Pendant la période d'évaluation, l'acquéreur doit ajuster, de manière rétrospective, les montants provisoires comptabilisés à la date d'acquisition</w:t>
      </w:r>
      <w:r w:rsidRPr="00AE4A03">
        <w:rPr>
          <w:rFonts w:ascii="Times New Roman" w:hAnsi="Times New Roman" w:cs="Times New Roman"/>
          <w:color w:val="0070C0"/>
          <w:sz w:val="24"/>
          <w:szCs w:val="24"/>
        </w:rPr>
        <w:t xml:space="preserve"> afin de refléter les </w:t>
      </w:r>
      <w:r w:rsidRPr="00AE4A03">
        <w:rPr>
          <w:rFonts w:ascii="Times New Roman" w:hAnsi="Times New Roman" w:cs="Times New Roman"/>
          <w:b/>
          <w:bCs/>
          <w:color w:val="0070C0"/>
          <w:sz w:val="24"/>
          <w:szCs w:val="24"/>
        </w:rPr>
        <w:t>informations nouvelles obtenues à propos des faits et des circonstances qui prévalaient à la date d'acquisition</w:t>
      </w:r>
      <w:r w:rsidRPr="00AE4A03">
        <w:rPr>
          <w:rFonts w:ascii="Times New Roman" w:hAnsi="Times New Roman" w:cs="Times New Roman"/>
          <w:color w:val="0070C0"/>
          <w:sz w:val="24"/>
          <w:szCs w:val="24"/>
        </w:rPr>
        <w:t xml:space="preserve"> et qui, si elles avaient été connues, </w:t>
      </w:r>
      <w:r w:rsidRPr="00AE4A03">
        <w:rPr>
          <w:rFonts w:ascii="Times New Roman" w:hAnsi="Times New Roman" w:cs="Times New Roman"/>
          <w:b/>
          <w:bCs/>
          <w:color w:val="0070C0"/>
          <w:sz w:val="24"/>
          <w:szCs w:val="24"/>
        </w:rPr>
        <w:t>auraient affecté l'évaluation des montants comptabilisés à cette date</w:t>
      </w:r>
      <w:r w:rsidRPr="00AE4A03">
        <w:rPr>
          <w:rFonts w:ascii="Times New Roman" w:hAnsi="Times New Roman" w:cs="Times New Roman"/>
          <w:color w:val="0070C0"/>
          <w:sz w:val="24"/>
          <w:szCs w:val="24"/>
        </w:rPr>
        <w:t>. Pendant la période d'évaluation,</w:t>
      </w:r>
      <w:r w:rsidRPr="00AE4A03">
        <w:rPr>
          <w:rFonts w:ascii="Times New Roman" w:hAnsi="Times New Roman" w:cs="Times New Roman"/>
          <w:b/>
          <w:bCs/>
          <w:color w:val="0070C0"/>
          <w:sz w:val="24"/>
          <w:szCs w:val="24"/>
        </w:rPr>
        <w:t xml:space="preserve"> </w:t>
      </w:r>
      <w:r w:rsidRPr="00AE4A03">
        <w:rPr>
          <w:rFonts w:ascii="Times New Roman" w:hAnsi="Times New Roman" w:cs="Times New Roman"/>
          <w:color w:val="0070C0"/>
          <w:sz w:val="24"/>
          <w:szCs w:val="24"/>
        </w:rPr>
        <w:t xml:space="preserve">l'acquéreur doit également comptabiliser des actifs ou des passifs additionnels si des informations nouvelles sont obtenues à propos des faits et des circonstances qui prévalaient à la date d'acquisition et qui, si elles avaient été connues, auraient abouti à la comptabilisation de ces actifs et passifs à cette date. La période d'évaluation prend fin dès que l'acquéreur reçoit l'information qu'il recherchait à propos des faits et des circonstances qui prévalaient à la date d'acquisition ou dès qu'il apprend qu'il est impossible d'obtenir des informations supplémentaires. </w:t>
      </w:r>
      <w:r w:rsidRPr="00AE4A03">
        <w:rPr>
          <w:rFonts w:ascii="Times New Roman" w:hAnsi="Times New Roman" w:cs="Times New Roman"/>
          <w:b/>
          <w:bCs/>
          <w:color w:val="0070C0"/>
          <w:sz w:val="24"/>
          <w:szCs w:val="24"/>
        </w:rPr>
        <w:t>Cependant, la période d'évaluation ne doit pas excéder un an à compter de la date d'acquisition.</w:t>
      </w:r>
    </w:p>
    <w:p w14:paraId="64CCF177" w14:textId="16729C2A" w:rsidR="005B3C61" w:rsidRPr="00B6460F" w:rsidRDefault="00B636A3" w:rsidP="00C847F7">
      <w:pPr>
        <w:jc w:val="both"/>
        <w:rPr>
          <w:rFonts w:ascii="Times New Roman" w:hAnsi="Times New Roman" w:cs="Times New Roman"/>
          <w:sz w:val="24"/>
          <w:szCs w:val="24"/>
        </w:rPr>
      </w:pPr>
      <w:r w:rsidRPr="00AE4A03">
        <w:rPr>
          <w:rFonts w:ascii="Times New Roman" w:hAnsi="Times New Roman" w:cs="Times New Roman"/>
          <w:sz w:val="24"/>
          <w:szCs w:val="24"/>
        </w:rPr>
        <w:t>La</w:t>
      </w:r>
      <w:r w:rsidR="00C847F7" w:rsidRPr="00AE4A03">
        <w:rPr>
          <w:rFonts w:ascii="Times New Roman" w:hAnsi="Times New Roman" w:cs="Times New Roman"/>
          <w:sz w:val="24"/>
          <w:szCs w:val="24"/>
        </w:rPr>
        <w:t xml:space="preserve"> date d’acquisition </w:t>
      </w:r>
      <w:r w:rsidRPr="00AE4A03">
        <w:rPr>
          <w:rFonts w:ascii="Times New Roman" w:hAnsi="Times New Roman" w:cs="Times New Roman"/>
          <w:sz w:val="24"/>
          <w:szCs w:val="24"/>
        </w:rPr>
        <w:t>était</w:t>
      </w:r>
      <w:r w:rsidR="00C847F7" w:rsidRPr="00AE4A03">
        <w:rPr>
          <w:rFonts w:ascii="Times New Roman" w:hAnsi="Times New Roman" w:cs="Times New Roman"/>
          <w:sz w:val="24"/>
          <w:szCs w:val="24"/>
        </w:rPr>
        <w:t xml:space="preserve"> le </w:t>
      </w:r>
      <w:r w:rsidR="00941F80">
        <w:rPr>
          <w:rFonts w:ascii="Times New Roman" w:hAnsi="Times New Roman" w:cs="Times New Roman"/>
          <w:sz w:val="24"/>
          <w:szCs w:val="24"/>
        </w:rPr>
        <w:t>1er janvier 202</w:t>
      </w:r>
      <w:r w:rsidR="00C94D69">
        <w:rPr>
          <w:rFonts w:ascii="Times New Roman" w:hAnsi="Times New Roman" w:cs="Times New Roman"/>
          <w:sz w:val="24"/>
          <w:szCs w:val="24"/>
        </w:rPr>
        <w:t>5</w:t>
      </w:r>
      <w:r w:rsidR="00C847F7" w:rsidRPr="00AE4A03">
        <w:rPr>
          <w:rFonts w:ascii="Times New Roman" w:hAnsi="Times New Roman" w:cs="Times New Roman"/>
          <w:sz w:val="24"/>
          <w:szCs w:val="24"/>
        </w:rPr>
        <w:t xml:space="preserve"> et </w:t>
      </w:r>
      <w:r w:rsidR="00AE4A03">
        <w:rPr>
          <w:rFonts w:ascii="Times New Roman" w:hAnsi="Times New Roman" w:cs="Times New Roman"/>
          <w:sz w:val="24"/>
          <w:szCs w:val="24"/>
        </w:rPr>
        <w:t>la</w:t>
      </w:r>
      <w:r w:rsidR="00C847F7" w:rsidRPr="00AE4A03">
        <w:rPr>
          <w:rFonts w:ascii="Times New Roman" w:hAnsi="Times New Roman" w:cs="Times New Roman"/>
          <w:sz w:val="24"/>
          <w:szCs w:val="24"/>
        </w:rPr>
        <w:t xml:space="preserve"> nouvelle information</w:t>
      </w:r>
      <w:r w:rsidR="00AE4A03">
        <w:rPr>
          <w:rFonts w:ascii="Times New Roman" w:hAnsi="Times New Roman" w:cs="Times New Roman"/>
          <w:sz w:val="24"/>
          <w:szCs w:val="24"/>
        </w:rPr>
        <w:t xml:space="preserve"> sur la poursuite</w:t>
      </w:r>
      <w:r w:rsidR="00C847F7" w:rsidRPr="00AE4A03">
        <w:rPr>
          <w:rFonts w:ascii="Times New Roman" w:hAnsi="Times New Roman" w:cs="Times New Roman"/>
          <w:sz w:val="24"/>
          <w:szCs w:val="24"/>
        </w:rPr>
        <w:t xml:space="preserve"> </w:t>
      </w:r>
      <w:r w:rsidR="00AE4A03">
        <w:rPr>
          <w:rFonts w:ascii="Times New Roman" w:hAnsi="Times New Roman" w:cs="Times New Roman"/>
          <w:sz w:val="24"/>
          <w:szCs w:val="24"/>
        </w:rPr>
        <w:t>a</w:t>
      </w:r>
      <w:r w:rsidR="00C847F7" w:rsidRPr="00AE4A03">
        <w:rPr>
          <w:rFonts w:ascii="Times New Roman" w:hAnsi="Times New Roman" w:cs="Times New Roman"/>
          <w:sz w:val="24"/>
          <w:szCs w:val="24"/>
        </w:rPr>
        <w:t xml:space="preserve"> été obtenue durant </w:t>
      </w:r>
      <w:r w:rsidR="00941F80" w:rsidRPr="00AE4A03">
        <w:rPr>
          <w:rFonts w:ascii="Times New Roman" w:hAnsi="Times New Roman" w:cs="Times New Roman"/>
          <w:sz w:val="24"/>
          <w:szCs w:val="24"/>
        </w:rPr>
        <w:t>l</w:t>
      </w:r>
      <w:r w:rsidR="00941F80">
        <w:rPr>
          <w:rFonts w:ascii="Times New Roman" w:hAnsi="Times New Roman" w:cs="Times New Roman"/>
          <w:sz w:val="24"/>
          <w:szCs w:val="24"/>
        </w:rPr>
        <w:t>e printemps</w:t>
      </w:r>
      <w:r w:rsidR="00941F80" w:rsidRPr="00AE4A03">
        <w:rPr>
          <w:rFonts w:ascii="Times New Roman" w:hAnsi="Times New Roman" w:cs="Times New Roman"/>
          <w:sz w:val="24"/>
          <w:szCs w:val="24"/>
        </w:rPr>
        <w:t xml:space="preserve"> </w:t>
      </w:r>
      <w:r w:rsidR="00C847F7" w:rsidRPr="00AE4A03">
        <w:rPr>
          <w:rFonts w:ascii="Times New Roman" w:hAnsi="Times New Roman" w:cs="Times New Roman"/>
          <w:sz w:val="24"/>
          <w:szCs w:val="24"/>
        </w:rPr>
        <w:t>202</w:t>
      </w:r>
      <w:r w:rsidR="00C94D69">
        <w:rPr>
          <w:rFonts w:ascii="Times New Roman" w:hAnsi="Times New Roman" w:cs="Times New Roman"/>
          <w:sz w:val="24"/>
          <w:szCs w:val="24"/>
        </w:rPr>
        <w:t>6</w:t>
      </w:r>
      <w:r w:rsidR="00C847F7" w:rsidRPr="00AE4A03">
        <w:rPr>
          <w:rFonts w:ascii="Times New Roman" w:hAnsi="Times New Roman" w:cs="Times New Roman"/>
          <w:sz w:val="24"/>
          <w:szCs w:val="24"/>
        </w:rPr>
        <w:t> : de ce fait, nous</w:t>
      </w:r>
      <w:r w:rsidR="007F531F">
        <w:rPr>
          <w:rFonts w:ascii="Times New Roman" w:hAnsi="Times New Roman" w:cs="Times New Roman"/>
          <w:sz w:val="24"/>
          <w:szCs w:val="24"/>
        </w:rPr>
        <w:t xml:space="preserve"> ne</w:t>
      </w:r>
      <w:r w:rsidR="00C847F7" w:rsidRPr="00AE4A03">
        <w:rPr>
          <w:rFonts w:ascii="Times New Roman" w:hAnsi="Times New Roman" w:cs="Times New Roman"/>
          <w:sz w:val="24"/>
          <w:szCs w:val="24"/>
        </w:rPr>
        <w:t xml:space="preserve"> sommes </w:t>
      </w:r>
      <w:r w:rsidR="007F531F">
        <w:rPr>
          <w:rFonts w:ascii="Times New Roman" w:hAnsi="Times New Roman" w:cs="Times New Roman"/>
          <w:sz w:val="24"/>
          <w:szCs w:val="24"/>
        </w:rPr>
        <w:t xml:space="preserve">plus </w:t>
      </w:r>
      <w:r w:rsidR="00C847F7" w:rsidRPr="00AE4A03">
        <w:rPr>
          <w:rFonts w:ascii="Times New Roman" w:hAnsi="Times New Roman" w:cs="Times New Roman"/>
          <w:sz w:val="24"/>
          <w:szCs w:val="24"/>
        </w:rPr>
        <w:t xml:space="preserve">dans la période </w:t>
      </w:r>
      <w:r w:rsidR="00C847F7" w:rsidRPr="00B6460F">
        <w:rPr>
          <w:rFonts w:ascii="Times New Roman" w:hAnsi="Times New Roman" w:cs="Times New Roman"/>
          <w:sz w:val="24"/>
          <w:szCs w:val="24"/>
        </w:rPr>
        <w:t>d’évaluation</w:t>
      </w:r>
      <w:r w:rsidR="007F531F">
        <w:rPr>
          <w:rFonts w:ascii="Times New Roman" w:hAnsi="Times New Roman" w:cs="Times New Roman"/>
          <w:sz w:val="24"/>
          <w:szCs w:val="24"/>
        </w:rPr>
        <w:t xml:space="preserve"> d’</w:t>
      </w:r>
      <w:r w:rsidR="00B6460F" w:rsidRPr="00B6460F">
        <w:rPr>
          <w:rFonts w:ascii="Times New Roman" w:hAnsi="Times New Roman" w:cs="Times New Roman"/>
          <w:sz w:val="24"/>
          <w:szCs w:val="24"/>
        </w:rPr>
        <w:t>au plus un an.</w:t>
      </w:r>
      <w:r w:rsidR="002E31D5">
        <w:rPr>
          <w:rFonts w:ascii="Times New Roman" w:hAnsi="Times New Roman" w:cs="Times New Roman"/>
          <w:sz w:val="24"/>
          <w:szCs w:val="24"/>
        </w:rPr>
        <w:t xml:space="preserve"> Ainsi, considérant que le délai est écoul</w:t>
      </w:r>
      <w:r w:rsidR="00EE4129">
        <w:rPr>
          <w:rFonts w:ascii="Times New Roman" w:hAnsi="Times New Roman" w:cs="Times New Roman"/>
          <w:sz w:val="24"/>
          <w:szCs w:val="24"/>
        </w:rPr>
        <w:t>é</w:t>
      </w:r>
      <w:r w:rsidR="00664AF0">
        <w:rPr>
          <w:rFonts w:ascii="Times New Roman" w:hAnsi="Times New Roman" w:cs="Times New Roman"/>
          <w:sz w:val="24"/>
          <w:szCs w:val="24"/>
        </w:rPr>
        <w:t xml:space="preserve">, il n’y a aucun ajustement </w:t>
      </w:r>
      <w:r w:rsidR="00172519">
        <w:rPr>
          <w:rFonts w:ascii="Times New Roman" w:hAnsi="Times New Roman" w:cs="Times New Roman"/>
          <w:sz w:val="24"/>
          <w:szCs w:val="24"/>
        </w:rPr>
        <w:t>rétrospectif à faire, c’est-à-dire que son impact sera uniquement sur les états financiers de 202</w:t>
      </w:r>
      <w:r w:rsidR="00C94D69">
        <w:rPr>
          <w:rFonts w:ascii="Times New Roman" w:hAnsi="Times New Roman" w:cs="Times New Roman"/>
          <w:sz w:val="24"/>
          <w:szCs w:val="24"/>
        </w:rPr>
        <w:t>6</w:t>
      </w:r>
      <w:r w:rsidR="005B3C61">
        <w:rPr>
          <w:rFonts w:ascii="Times New Roman" w:hAnsi="Times New Roman" w:cs="Times New Roman"/>
          <w:sz w:val="24"/>
          <w:szCs w:val="24"/>
        </w:rPr>
        <w:t xml:space="preserve"> où la provision deviendra une somme à payer. </w:t>
      </w:r>
    </w:p>
    <w:p w14:paraId="4FA289D3" w14:textId="59B7A28D" w:rsidR="00974292" w:rsidRPr="00AE4A03" w:rsidRDefault="00974292" w:rsidP="00AE4A03">
      <w:pPr>
        <w:jc w:val="both"/>
        <w:rPr>
          <w:rFonts w:ascii="Times New Roman" w:hAnsi="Times New Roman" w:cs="Times New Roman"/>
          <w:sz w:val="24"/>
          <w:szCs w:val="24"/>
          <w:highlight w:val="yellow"/>
        </w:rPr>
      </w:pPr>
    </w:p>
    <w:sectPr w:rsidR="00974292" w:rsidRPr="00AE4A03">
      <w:headerReference w:type="default" r:id="rId10"/>
      <w:footerReference w:type="defaul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1ED45" w14:textId="77777777" w:rsidR="008E5D3F" w:rsidRDefault="008E5D3F" w:rsidP="00A272E1">
      <w:pPr>
        <w:spacing w:after="0" w:line="240" w:lineRule="auto"/>
      </w:pPr>
      <w:r>
        <w:separator/>
      </w:r>
    </w:p>
  </w:endnote>
  <w:endnote w:type="continuationSeparator" w:id="0">
    <w:p w14:paraId="7520F07A" w14:textId="77777777" w:rsidR="008E5D3F" w:rsidRDefault="008E5D3F" w:rsidP="00A27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1D6E" w14:textId="41A838CA" w:rsidR="00B71AB5" w:rsidRDefault="00B71AB5" w:rsidP="00B71AB5">
    <w:pPr>
      <w:pStyle w:val="Pieddepage"/>
    </w:pPr>
    <w:r>
      <w:rPr>
        <w:i/>
        <w:iCs/>
      </w:rPr>
      <w:t>Solution</w:t>
    </w:r>
    <w:r w:rsidRPr="001E51F4">
      <w:rPr>
        <w:i/>
        <w:iCs/>
      </w:rPr>
      <w:t xml:space="preserve"> rédigé</w:t>
    </w:r>
    <w:r>
      <w:rPr>
        <w:i/>
        <w:iCs/>
      </w:rPr>
      <w:t>e</w:t>
    </w:r>
    <w:r w:rsidRPr="001E51F4">
      <w:rPr>
        <w:i/>
        <w:iCs/>
      </w:rPr>
      <w:t xml:space="preserve"> par Véronique Béland, </w:t>
    </w:r>
    <w:r w:rsidR="00884801">
      <w:rPr>
        <w:i/>
        <w:iCs/>
      </w:rPr>
      <w:t>juin</w:t>
    </w:r>
    <w:r w:rsidRPr="001E51F4">
      <w:rPr>
        <w:i/>
        <w:iCs/>
      </w:rPr>
      <w:t xml:space="preserve"> 2022</w:t>
    </w:r>
    <w:r>
      <w:rPr>
        <w:i/>
        <w:iCs/>
      </w:rPr>
      <w:t>, révisée Louise Overbeek</w:t>
    </w:r>
    <w:r w:rsidRPr="00C850FD">
      <w:rPr>
        <w:i/>
        <w:iCs/>
      </w:rPr>
      <w:t xml:space="preserve">, </w:t>
    </w:r>
    <w:r w:rsidR="00B83DAF">
      <w:rPr>
        <w:i/>
        <w:iCs/>
      </w:rPr>
      <w:t>mars</w:t>
    </w:r>
    <w:r w:rsidR="00753B0E">
      <w:rPr>
        <w:i/>
        <w:iCs/>
      </w:rPr>
      <w:t xml:space="preserve"> 202</w:t>
    </w:r>
    <w:r w:rsidR="00B83DAF">
      <w:rPr>
        <w:i/>
        <w:iCs/>
      </w:rPr>
      <w:t>5</w:t>
    </w:r>
  </w:p>
  <w:p w14:paraId="29C3CE43" w14:textId="77777777" w:rsidR="00A272E1" w:rsidRPr="00B71AB5" w:rsidRDefault="00A272E1" w:rsidP="00B71A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06342" w14:textId="77777777" w:rsidR="008E5D3F" w:rsidRDefault="008E5D3F" w:rsidP="00A272E1">
      <w:pPr>
        <w:spacing w:after="0" w:line="240" w:lineRule="auto"/>
      </w:pPr>
      <w:r>
        <w:separator/>
      </w:r>
    </w:p>
  </w:footnote>
  <w:footnote w:type="continuationSeparator" w:id="0">
    <w:p w14:paraId="5D5814BC" w14:textId="77777777" w:rsidR="008E5D3F" w:rsidRDefault="008E5D3F" w:rsidP="00A27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428459"/>
      <w:docPartObj>
        <w:docPartGallery w:val="Page Numbers (Top of Page)"/>
        <w:docPartUnique/>
      </w:docPartObj>
    </w:sdtPr>
    <w:sdtContent>
      <w:p w14:paraId="33486E4E" w14:textId="6426EBB1" w:rsidR="0002580A" w:rsidRDefault="0002580A">
        <w:pPr>
          <w:pStyle w:val="En-tte"/>
          <w:jc w:val="right"/>
        </w:pPr>
        <w:r>
          <w:fldChar w:fldCharType="begin"/>
        </w:r>
        <w:r>
          <w:instrText>PAGE   \* MERGEFORMAT</w:instrText>
        </w:r>
        <w:r>
          <w:fldChar w:fldCharType="separate"/>
        </w:r>
        <w:r>
          <w:rPr>
            <w:lang w:val="fr-FR"/>
          </w:rPr>
          <w:t>2</w:t>
        </w:r>
        <w:r>
          <w:fldChar w:fldCharType="end"/>
        </w:r>
      </w:p>
    </w:sdtContent>
  </w:sdt>
  <w:p w14:paraId="18DC1EC4" w14:textId="77777777" w:rsidR="0002580A" w:rsidRDefault="0002580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019"/>
    <w:multiLevelType w:val="hybridMultilevel"/>
    <w:tmpl w:val="EA7EA782"/>
    <w:lvl w:ilvl="0" w:tplc="C71ACBD2">
      <w:start w:val="1"/>
      <w:numFmt w:val="bullet"/>
      <w:lvlText w:val=""/>
      <w:lvlJc w:val="left"/>
      <w:pPr>
        <w:ind w:left="720" w:hanging="360"/>
      </w:pPr>
      <w:rPr>
        <w:rFonts w:ascii="Symbol" w:eastAsiaTheme="minorHAnsi" w:hAnsi="Symbol"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09D24B0"/>
    <w:multiLevelType w:val="hybridMultilevel"/>
    <w:tmpl w:val="9B9C2948"/>
    <w:lvl w:ilvl="0" w:tplc="343E814A">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2860FCF"/>
    <w:multiLevelType w:val="hybridMultilevel"/>
    <w:tmpl w:val="2BACC982"/>
    <w:lvl w:ilvl="0" w:tplc="F8F8DF90">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3807A1A"/>
    <w:multiLevelType w:val="hybridMultilevel"/>
    <w:tmpl w:val="1B364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B915C6"/>
    <w:multiLevelType w:val="hybridMultilevel"/>
    <w:tmpl w:val="8E44534E"/>
    <w:lvl w:ilvl="0" w:tplc="5E78A02C">
      <w:start w:val="1"/>
      <w:numFmt w:val="lowerLetter"/>
      <w:lvlText w:val="(%1)"/>
      <w:lvlJc w:val="left"/>
      <w:pPr>
        <w:ind w:left="930" w:hanging="570"/>
      </w:pPr>
      <w:rPr>
        <w:rFonts w:ascii="Times New Roman" w:eastAsiaTheme="minorHAnsi" w:hAnsi="Times New Roman" w:cs="Times New Roman"/>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0BB25A2C"/>
    <w:multiLevelType w:val="hybridMultilevel"/>
    <w:tmpl w:val="1B364D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0FBE1534"/>
    <w:multiLevelType w:val="hybridMultilevel"/>
    <w:tmpl w:val="B5FE801C"/>
    <w:lvl w:ilvl="0" w:tplc="4BB840FE">
      <w:start w:val="1"/>
      <w:numFmt w:val="lowerLetter"/>
      <w:lvlText w:val="(%1)"/>
      <w:lvlJc w:val="left"/>
      <w:pPr>
        <w:ind w:left="1155" w:hanging="7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1F765F1"/>
    <w:multiLevelType w:val="hybridMultilevel"/>
    <w:tmpl w:val="1B364D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22C441D"/>
    <w:multiLevelType w:val="hybridMultilevel"/>
    <w:tmpl w:val="FBCEB7B6"/>
    <w:lvl w:ilvl="0" w:tplc="040C000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2F7D52"/>
    <w:multiLevelType w:val="hybridMultilevel"/>
    <w:tmpl w:val="76369268"/>
    <w:lvl w:ilvl="0" w:tplc="B4DCDF7E">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6802768"/>
    <w:multiLevelType w:val="hybridMultilevel"/>
    <w:tmpl w:val="D9B0B746"/>
    <w:lvl w:ilvl="0" w:tplc="507AA900">
      <w:start w:val="1"/>
      <w:numFmt w:val="lowerLetter"/>
      <w:lvlText w:val="(%1)"/>
      <w:lvlJc w:val="left"/>
      <w:pPr>
        <w:ind w:left="990" w:hanging="63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277871A0"/>
    <w:multiLevelType w:val="hybridMultilevel"/>
    <w:tmpl w:val="1B364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B36288"/>
    <w:multiLevelType w:val="hybridMultilevel"/>
    <w:tmpl w:val="C188185C"/>
    <w:lvl w:ilvl="0" w:tplc="03504D52">
      <w:start w:val="1"/>
      <w:numFmt w:val="lowerRoman"/>
      <w:lvlText w:val="(%1)"/>
      <w:lvlJc w:val="left"/>
      <w:pPr>
        <w:ind w:left="1428" w:hanging="72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13" w15:restartNumberingAfterBreak="0">
    <w:nsid w:val="2B90705E"/>
    <w:multiLevelType w:val="multilevel"/>
    <w:tmpl w:val="43E410F8"/>
    <w:lvl w:ilvl="0">
      <w:start w:val="1"/>
      <w:numFmt w:val="lowerLetter"/>
      <w:lvlText w:val="%1."/>
      <w:lvlJc w:val="left"/>
      <w:pPr>
        <w:tabs>
          <w:tab w:val="num" w:pos="720"/>
        </w:tabs>
        <w:ind w:left="720" w:hanging="360"/>
      </w:pPr>
    </w:lvl>
    <w:lvl w:ilvl="1" w:tentative="1">
      <w:numFmt w:val="lowerLetter"/>
      <w:lvlText w:val="%2."/>
      <w:lvlJc w:val="left"/>
      <w:pPr>
        <w:tabs>
          <w:tab w:val="num" w:pos="1440"/>
        </w:tabs>
        <w:ind w:left="1440" w:hanging="360"/>
      </w:pPr>
    </w:lvl>
    <w:lvl w:ilvl="2" w:tentative="1">
      <w:numFmt w:val="lowerLetter"/>
      <w:lvlText w:val="%3."/>
      <w:lvlJc w:val="left"/>
      <w:pPr>
        <w:tabs>
          <w:tab w:val="num" w:pos="2160"/>
        </w:tabs>
        <w:ind w:left="2160" w:hanging="360"/>
      </w:pPr>
    </w:lvl>
    <w:lvl w:ilvl="3" w:tentative="1">
      <w:numFmt w:val="lowerLetter"/>
      <w:lvlText w:val="%4."/>
      <w:lvlJc w:val="left"/>
      <w:pPr>
        <w:tabs>
          <w:tab w:val="num" w:pos="2880"/>
        </w:tabs>
        <w:ind w:left="2880" w:hanging="360"/>
      </w:pPr>
    </w:lvl>
    <w:lvl w:ilvl="4" w:tentative="1">
      <w:numFmt w:val="lowerLetter"/>
      <w:lvlText w:val="%5."/>
      <w:lvlJc w:val="left"/>
      <w:pPr>
        <w:tabs>
          <w:tab w:val="num" w:pos="3600"/>
        </w:tabs>
        <w:ind w:left="3600" w:hanging="360"/>
      </w:pPr>
    </w:lvl>
    <w:lvl w:ilvl="5" w:tentative="1">
      <w:numFmt w:val="lowerLetter"/>
      <w:lvlText w:val="%6."/>
      <w:lvlJc w:val="left"/>
      <w:pPr>
        <w:tabs>
          <w:tab w:val="num" w:pos="4320"/>
        </w:tabs>
        <w:ind w:left="4320" w:hanging="360"/>
      </w:pPr>
    </w:lvl>
    <w:lvl w:ilvl="6" w:tentative="1">
      <w:numFmt w:val="lowerLetter"/>
      <w:lvlText w:val="%7."/>
      <w:lvlJc w:val="left"/>
      <w:pPr>
        <w:tabs>
          <w:tab w:val="num" w:pos="5040"/>
        </w:tabs>
        <w:ind w:left="5040" w:hanging="360"/>
      </w:pPr>
    </w:lvl>
    <w:lvl w:ilvl="7" w:tentative="1">
      <w:numFmt w:val="lowerLetter"/>
      <w:lvlText w:val="%8."/>
      <w:lvlJc w:val="left"/>
      <w:pPr>
        <w:tabs>
          <w:tab w:val="num" w:pos="5760"/>
        </w:tabs>
        <w:ind w:left="5760" w:hanging="360"/>
      </w:pPr>
    </w:lvl>
    <w:lvl w:ilvl="8" w:tentative="1">
      <w:numFmt w:val="lowerLetter"/>
      <w:lvlText w:val="%9."/>
      <w:lvlJc w:val="left"/>
      <w:pPr>
        <w:tabs>
          <w:tab w:val="num" w:pos="6480"/>
        </w:tabs>
        <w:ind w:left="6480" w:hanging="360"/>
      </w:pPr>
    </w:lvl>
  </w:abstractNum>
  <w:abstractNum w:abstractNumId="14" w15:restartNumberingAfterBreak="0">
    <w:nsid w:val="2F6E3F6B"/>
    <w:multiLevelType w:val="hybridMultilevel"/>
    <w:tmpl w:val="DFE6029C"/>
    <w:lvl w:ilvl="0" w:tplc="6492CE1E">
      <w:start w:val="1"/>
      <w:numFmt w:val="lowerLetter"/>
      <w:lvlText w:val="%1)"/>
      <w:lvlJc w:val="left"/>
      <w:pPr>
        <w:ind w:left="855" w:hanging="4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1084324"/>
    <w:multiLevelType w:val="hybridMultilevel"/>
    <w:tmpl w:val="3F1681BC"/>
    <w:lvl w:ilvl="0" w:tplc="78828246">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348106F1"/>
    <w:multiLevelType w:val="hybridMultilevel"/>
    <w:tmpl w:val="3CDC55FA"/>
    <w:lvl w:ilvl="0" w:tplc="C028406E">
      <w:start w:val="1"/>
      <w:numFmt w:val="lowerLetter"/>
      <w:lvlText w:val="(%1)"/>
      <w:lvlJc w:val="left"/>
      <w:pPr>
        <w:ind w:left="930" w:hanging="57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37561F85"/>
    <w:multiLevelType w:val="hybridMultilevel"/>
    <w:tmpl w:val="37AC3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9A65355"/>
    <w:multiLevelType w:val="multilevel"/>
    <w:tmpl w:val="36280ECE"/>
    <w:lvl w:ilvl="0">
      <w:start w:val="1"/>
      <w:numFmt w:val="lowerLetter"/>
      <w:lvlText w:val="%1."/>
      <w:lvlJc w:val="left"/>
      <w:pPr>
        <w:tabs>
          <w:tab w:val="num" w:pos="720"/>
        </w:tabs>
        <w:ind w:left="720" w:hanging="360"/>
      </w:pPr>
    </w:lvl>
    <w:lvl w:ilvl="1" w:tentative="1">
      <w:numFmt w:val="lowerLetter"/>
      <w:lvlText w:val="%2."/>
      <w:lvlJc w:val="left"/>
      <w:pPr>
        <w:tabs>
          <w:tab w:val="num" w:pos="1440"/>
        </w:tabs>
        <w:ind w:left="1440" w:hanging="360"/>
      </w:pPr>
    </w:lvl>
    <w:lvl w:ilvl="2" w:tentative="1">
      <w:numFmt w:val="lowerLetter"/>
      <w:lvlText w:val="%3."/>
      <w:lvlJc w:val="left"/>
      <w:pPr>
        <w:tabs>
          <w:tab w:val="num" w:pos="2160"/>
        </w:tabs>
        <w:ind w:left="2160" w:hanging="360"/>
      </w:pPr>
    </w:lvl>
    <w:lvl w:ilvl="3" w:tentative="1">
      <w:numFmt w:val="lowerLetter"/>
      <w:lvlText w:val="%4."/>
      <w:lvlJc w:val="left"/>
      <w:pPr>
        <w:tabs>
          <w:tab w:val="num" w:pos="2880"/>
        </w:tabs>
        <w:ind w:left="2880" w:hanging="360"/>
      </w:pPr>
    </w:lvl>
    <w:lvl w:ilvl="4" w:tentative="1">
      <w:numFmt w:val="lowerLetter"/>
      <w:lvlText w:val="%5."/>
      <w:lvlJc w:val="left"/>
      <w:pPr>
        <w:tabs>
          <w:tab w:val="num" w:pos="3600"/>
        </w:tabs>
        <w:ind w:left="3600" w:hanging="360"/>
      </w:pPr>
    </w:lvl>
    <w:lvl w:ilvl="5" w:tentative="1">
      <w:numFmt w:val="lowerLetter"/>
      <w:lvlText w:val="%6."/>
      <w:lvlJc w:val="left"/>
      <w:pPr>
        <w:tabs>
          <w:tab w:val="num" w:pos="4320"/>
        </w:tabs>
        <w:ind w:left="4320" w:hanging="360"/>
      </w:pPr>
    </w:lvl>
    <w:lvl w:ilvl="6" w:tentative="1">
      <w:numFmt w:val="lowerLetter"/>
      <w:lvlText w:val="%7."/>
      <w:lvlJc w:val="left"/>
      <w:pPr>
        <w:tabs>
          <w:tab w:val="num" w:pos="5040"/>
        </w:tabs>
        <w:ind w:left="5040" w:hanging="360"/>
      </w:pPr>
    </w:lvl>
    <w:lvl w:ilvl="7" w:tentative="1">
      <w:numFmt w:val="lowerLetter"/>
      <w:lvlText w:val="%8."/>
      <w:lvlJc w:val="left"/>
      <w:pPr>
        <w:tabs>
          <w:tab w:val="num" w:pos="5760"/>
        </w:tabs>
        <w:ind w:left="5760" w:hanging="360"/>
      </w:pPr>
    </w:lvl>
    <w:lvl w:ilvl="8" w:tentative="1">
      <w:numFmt w:val="lowerLetter"/>
      <w:lvlText w:val="%9."/>
      <w:lvlJc w:val="left"/>
      <w:pPr>
        <w:tabs>
          <w:tab w:val="num" w:pos="6480"/>
        </w:tabs>
        <w:ind w:left="6480" w:hanging="360"/>
      </w:pPr>
    </w:lvl>
  </w:abstractNum>
  <w:abstractNum w:abstractNumId="19" w15:restartNumberingAfterBreak="0">
    <w:nsid w:val="3C084AFF"/>
    <w:multiLevelType w:val="hybridMultilevel"/>
    <w:tmpl w:val="1B364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081889"/>
    <w:multiLevelType w:val="hybridMultilevel"/>
    <w:tmpl w:val="519E8A42"/>
    <w:lvl w:ilvl="0" w:tplc="39AA99DE">
      <w:start w:val="1"/>
      <w:numFmt w:val="lowerLetter"/>
      <w:lvlText w:val="%1)"/>
      <w:lvlJc w:val="left"/>
      <w:pPr>
        <w:ind w:left="885" w:hanging="52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3DF9450A"/>
    <w:multiLevelType w:val="hybridMultilevel"/>
    <w:tmpl w:val="DFE6029C"/>
    <w:lvl w:ilvl="0" w:tplc="6492CE1E">
      <w:start w:val="1"/>
      <w:numFmt w:val="lowerLetter"/>
      <w:lvlText w:val="%1)"/>
      <w:lvlJc w:val="left"/>
      <w:pPr>
        <w:ind w:left="855" w:hanging="4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1021C2B"/>
    <w:multiLevelType w:val="hybridMultilevel"/>
    <w:tmpl w:val="B0DEDA10"/>
    <w:lvl w:ilvl="0" w:tplc="24261090">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47624616"/>
    <w:multiLevelType w:val="hybridMultilevel"/>
    <w:tmpl w:val="7EFAAB36"/>
    <w:lvl w:ilvl="0" w:tplc="CBA27AAC">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49C95D22"/>
    <w:multiLevelType w:val="hybridMultilevel"/>
    <w:tmpl w:val="CE923DE6"/>
    <w:lvl w:ilvl="0" w:tplc="5D7A839E">
      <w:start w:val="1"/>
      <w:numFmt w:val="lowerRoman"/>
      <w:lvlText w:val="(%1)"/>
      <w:lvlJc w:val="left"/>
      <w:pPr>
        <w:ind w:left="1563" w:hanging="855"/>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25" w15:restartNumberingAfterBreak="0">
    <w:nsid w:val="4A2B1743"/>
    <w:multiLevelType w:val="hybridMultilevel"/>
    <w:tmpl w:val="310C223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4D41727B"/>
    <w:multiLevelType w:val="hybridMultilevel"/>
    <w:tmpl w:val="1B364D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4F677664"/>
    <w:multiLevelType w:val="hybridMultilevel"/>
    <w:tmpl w:val="095C595A"/>
    <w:lvl w:ilvl="0" w:tplc="D33084B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21701FA"/>
    <w:multiLevelType w:val="hybridMultilevel"/>
    <w:tmpl w:val="399ED2C8"/>
    <w:lvl w:ilvl="0" w:tplc="C916D06C">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53286E1C"/>
    <w:multiLevelType w:val="hybridMultilevel"/>
    <w:tmpl w:val="C1265CE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55E2082D"/>
    <w:multiLevelType w:val="hybridMultilevel"/>
    <w:tmpl w:val="76E83C0E"/>
    <w:lvl w:ilvl="0" w:tplc="4E2454FA">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5B092DD5"/>
    <w:multiLevelType w:val="hybridMultilevel"/>
    <w:tmpl w:val="E0AA9916"/>
    <w:lvl w:ilvl="0" w:tplc="15C2F5B0">
      <w:start w:val="1"/>
      <w:numFmt w:val="lowerLetter"/>
      <w:lvlText w:val="%1)"/>
      <w:lvlJc w:val="left"/>
      <w:pPr>
        <w:ind w:left="1005" w:hanging="64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5DBB0710"/>
    <w:multiLevelType w:val="hybridMultilevel"/>
    <w:tmpl w:val="1B364D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1F5411F"/>
    <w:multiLevelType w:val="hybridMultilevel"/>
    <w:tmpl w:val="ADA4F940"/>
    <w:lvl w:ilvl="0" w:tplc="5906992C">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653C69E9"/>
    <w:multiLevelType w:val="hybridMultilevel"/>
    <w:tmpl w:val="FB3267EA"/>
    <w:lvl w:ilvl="0" w:tplc="202E048E">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5" w15:restartNumberingAfterBreak="0">
    <w:nsid w:val="66E827E9"/>
    <w:multiLevelType w:val="hybridMultilevel"/>
    <w:tmpl w:val="519E8A42"/>
    <w:lvl w:ilvl="0" w:tplc="39AA99DE">
      <w:start w:val="1"/>
      <w:numFmt w:val="lowerLetter"/>
      <w:lvlText w:val="%1)"/>
      <w:lvlJc w:val="left"/>
      <w:pPr>
        <w:ind w:left="885" w:hanging="52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6C501ADF"/>
    <w:multiLevelType w:val="hybridMultilevel"/>
    <w:tmpl w:val="CA584C90"/>
    <w:lvl w:ilvl="0" w:tplc="3ED00EA2">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C886BE5"/>
    <w:multiLevelType w:val="hybridMultilevel"/>
    <w:tmpl w:val="25DCB426"/>
    <w:lvl w:ilvl="0" w:tplc="5836A4A0">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8" w15:restartNumberingAfterBreak="0">
    <w:nsid w:val="6D41315F"/>
    <w:multiLevelType w:val="hybridMultilevel"/>
    <w:tmpl w:val="7E1ED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9" w15:restartNumberingAfterBreak="0">
    <w:nsid w:val="6D621736"/>
    <w:multiLevelType w:val="hybridMultilevel"/>
    <w:tmpl w:val="D2B6321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0" w15:restartNumberingAfterBreak="0">
    <w:nsid w:val="6D675481"/>
    <w:multiLevelType w:val="hybridMultilevel"/>
    <w:tmpl w:val="96E8E0AE"/>
    <w:lvl w:ilvl="0" w:tplc="8854A28E">
      <w:start w:val="8"/>
      <w:numFmt w:val="bullet"/>
      <w:lvlText w:val=""/>
      <w:lvlJc w:val="left"/>
      <w:pPr>
        <w:ind w:left="720" w:hanging="360"/>
      </w:pPr>
      <w:rPr>
        <w:rFonts w:ascii="Symbol" w:eastAsiaTheme="minorHAnsi" w:hAnsi="Symbol"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1" w15:restartNumberingAfterBreak="0">
    <w:nsid w:val="6E2E1AD9"/>
    <w:multiLevelType w:val="hybridMultilevel"/>
    <w:tmpl w:val="6760422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E3653B1"/>
    <w:multiLevelType w:val="hybridMultilevel"/>
    <w:tmpl w:val="DFE603CA"/>
    <w:lvl w:ilvl="0" w:tplc="2814FBC8">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3" w15:restartNumberingAfterBreak="0">
    <w:nsid w:val="6FC10614"/>
    <w:multiLevelType w:val="hybridMultilevel"/>
    <w:tmpl w:val="5BA06F52"/>
    <w:lvl w:ilvl="0" w:tplc="DCAE8BD2">
      <w:start w:val="1"/>
      <w:numFmt w:val="lowerLetter"/>
      <w:lvlText w:val="(%1)"/>
      <w:lvlJc w:val="left"/>
      <w:pPr>
        <w:ind w:left="990" w:hanging="63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4" w15:restartNumberingAfterBreak="0">
    <w:nsid w:val="772934B5"/>
    <w:multiLevelType w:val="hybridMultilevel"/>
    <w:tmpl w:val="48347616"/>
    <w:lvl w:ilvl="0" w:tplc="E78A20F8">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5" w15:restartNumberingAfterBreak="0">
    <w:nsid w:val="7DC13559"/>
    <w:multiLevelType w:val="multilevel"/>
    <w:tmpl w:val="A9407CB8"/>
    <w:lvl w:ilvl="0">
      <w:start w:val="1"/>
      <w:numFmt w:val="lowerLetter"/>
      <w:lvlText w:val="%1."/>
      <w:lvlJc w:val="left"/>
      <w:pPr>
        <w:tabs>
          <w:tab w:val="num" w:pos="720"/>
        </w:tabs>
        <w:ind w:left="720" w:hanging="360"/>
      </w:pPr>
    </w:lvl>
    <w:lvl w:ilvl="1" w:tentative="1">
      <w:numFmt w:val="lowerLetter"/>
      <w:lvlText w:val="%2."/>
      <w:lvlJc w:val="left"/>
      <w:pPr>
        <w:tabs>
          <w:tab w:val="num" w:pos="1440"/>
        </w:tabs>
        <w:ind w:left="1440" w:hanging="360"/>
      </w:pPr>
    </w:lvl>
    <w:lvl w:ilvl="2" w:tentative="1">
      <w:numFmt w:val="lowerLetter"/>
      <w:lvlText w:val="%3."/>
      <w:lvlJc w:val="left"/>
      <w:pPr>
        <w:tabs>
          <w:tab w:val="num" w:pos="2160"/>
        </w:tabs>
        <w:ind w:left="2160" w:hanging="360"/>
      </w:pPr>
    </w:lvl>
    <w:lvl w:ilvl="3" w:tentative="1">
      <w:numFmt w:val="lowerLetter"/>
      <w:lvlText w:val="%4."/>
      <w:lvlJc w:val="left"/>
      <w:pPr>
        <w:tabs>
          <w:tab w:val="num" w:pos="2880"/>
        </w:tabs>
        <w:ind w:left="2880" w:hanging="360"/>
      </w:pPr>
    </w:lvl>
    <w:lvl w:ilvl="4" w:tentative="1">
      <w:numFmt w:val="lowerLetter"/>
      <w:lvlText w:val="%5."/>
      <w:lvlJc w:val="left"/>
      <w:pPr>
        <w:tabs>
          <w:tab w:val="num" w:pos="3600"/>
        </w:tabs>
        <w:ind w:left="3600" w:hanging="360"/>
      </w:pPr>
    </w:lvl>
    <w:lvl w:ilvl="5" w:tentative="1">
      <w:numFmt w:val="lowerLetter"/>
      <w:lvlText w:val="%6."/>
      <w:lvlJc w:val="left"/>
      <w:pPr>
        <w:tabs>
          <w:tab w:val="num" w:pos="4320"/>
        </w:tabs>
        <w:ind w:left="4320" w:hanging="360"/>
      </w:pPr>
    </w:lvl>
    <w:lvl w:ilvl="6" w:tentative="1">
      <w:numFmt w:val="lowerLetter"/>
      <w:lvlText w:val="%7."/>
      <w:lvlJc w:val="left"/>
      <w:pPr>
        <w:tabs>
          <w:tab w:val="num" w:pos="5040"/>
        </w:tabs>
        <w:ind w:left="5040" w:hanging="360"/>
      </w:pPr>
    </w:lvl>
    <w:lvl w:ilvl="7" w:tentative="1">
      <w:numFmt w:val="lowerLetter"/>
      <w:lvlText w:val="%8."/>
      <w:lvlJc w:val="left"/>
      <w:pPr>
        <w:tabs>
          <w:tab w:val="num" w:pos="5760"/>
        </w:tabs>
        <w:ind w:left="5760" w:hanging="360"/>
      </w:pPr>
    </w:lvl>
    <w:lvl w:ilvl="8" w:tentative="1">
      <w:numFmt w:val="lowerLetter"/>
      <w:lvlText w:val="%9."/>
      <w:lvlJc w:val="left"/>
      <w:pPr>
        <w:tabs>
          <w:tab w:val="num" w:pos="6480"/>
        </w:tabs>
        <w:ind w:left="6480" w:hanging="360"/>
      </w:pPr>
    </w:lvl>
  </w:abstractNum>
  <w:abstractNum w:abstractNumId="46" w15:restartNumberingAfterBreak="0">
    <w:nsid w:val="7DDE7A10"/>
    <w:multiLevelType w:val="hybridMultilevel"/>
    <w:tmpl w:val="F2A430A4"/>
    <w:lvl w:ilvl="0" w:tplc="C9509DD2">
      <w:start w:val="1"/>
      <w:numFmt w:val="lowerLetter"/>
      <w:lvlText w:val="(%1)"/>
      <w:lvlJc w:val="left"/>
      <w:pPr>
        <w:ind w:left="930" w:hanging="57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53740960">
    <w:abstractNumId w:val="7"/>
  </w:num>
  <w:num w:numId="2" w16cid:durableId="348797473">
    <w:abstractNumId w:val="32"/>
  </w:num>
  <w:num w:numId="3" w16cid:durableId="1844474279">
    <w:abstractNumId w:val="38"/>
  </w:num>
  <w:num w:numId="4" w16cid:durableId="1654992177">
    <w:abstractNumId w:val="21"/>
  </w:num>
  <w:num w:numId="5" w16cid:durableId="1844397338">
    <w:abstractNumId w:val="29"/>
  </w:num>
  <w:num w:numId="6" w16cid:durableId="54593141">
    <w:abstractNumId w:val="14"/>
  </w:num>
  <w:num w:numId="7" w16cid:durableId="1952736543">
    <w:abstractNumId w:val="31"/>
  </w:num>
  <w:num w:numId="8" w16cid:durableId="1396048021">
    <w:abstractNumId w:val="40"/>
  </w:num>
  <w:num w:numId="9" w16cid:durableId="530340878">
    <w:abstractNumId w:val="1"/>
  </w:num>
  <w:num w:numId="10" w16cid:durableId="305820905">
    <w:abstractNumId w:val="33"/>
  </w:num>
  <w:num w:numId="11" w16cid:durableId="1834686855">
    <w:abstractNumId w:val="15"/>
  </w:num>
  <w:num w:numId="12" w16cid:durableId="1779906936">
    <w:abstractNumId w:val="28"/>
  </w:num>
  <w:num w:numId="13" w16cid:durableId="728111456">
    <w:abstractNumId w:val="22"/>
  </w:num>
  <w:num w:numId="14" w16cid:durableId="1031304908">
    <w:abstractNumId w:val="23"/>
  </w:num>
  <w:num w:numId="15" w16cid:durableId="92677509">
    <w:abstractNumId w:val="34"/>
  </w:num>
  <w:num w:numId="16" w16cid:durableId="553925739">
    <w:abstractNumId w:val="30"/>
  </w:num>
  <w:num w:numId="17" w16cid:durableId="567763731">
    <w:abstractNumId w:val="42"/>
  </w:num>
  <w:num w:numId="18" w16cid:durableId="520171836">
    <w:abstractNumId w:val="37"/>
  </w:num>
  <w:num w:numId="19" w16cid:durableId="119762110">
    <w:abstractNumId w:val="9"/>
  </w:num>
  <w:num w:numId="20" w16cid:durableId="2143111326">
    <w:abstractNumId w:val="2"/>
  </w:num>
  <w:num w:numId="21" w16cid:durableId="1904364271">
    <w:abstractNumId w:val="26"/>
  </w:num>
  <w:num w:numId="22" w16cid:durableId="1446341199">
    <w:abstractNumId w:val="5"/>
  </w:num>
  <w:num w:numId="23" w16cid:durableId="1451164113">
    <w:abstractNumId w:val="20"/>
  </w:num>
  <w:num w:numId="24" w16cid:durableId="92671775">
    <w:abstractNumId w:val="44"/>
  </w:num>
  <w:num w:numId="25" w16cid:durableId="1538470927">
    <w:abstractNumId w:val="35"/>
  </w:num>
  <w:num w:numId="26" w16cid:durableId="2113164523">
    <w:abstractNumId w:val="25"/>
  </w:num>
  <w:num w:numId="27" w16cid:durableId="59063684">
    <w:abstractNumId w:val="39"/>
  </w:num>
  <w:num w:numId="28" w16cid:durableId="687487655">
    <w:abstractNumId w:val="17"/>
  </w:num>
  <w:num w:numId="29" w16cid:durableId="28382588">
    <w:abstractNumId w:val="11"/>
  </w:num>
  <w:num w:numId="30" w16cid:durableId="961377483">
    <w:abstractNumId w:val="27"/>
  </w:num>
  <w:num w:numId="31" w16cid:durableId="629169046">
    <w:abstractNumId w:val="8"/>
  </w:num>
  <w:num w:numId="32" w16cid:durableId="2043944779">
    <w:abstractNumId w:val="19"/>
  </w:num>
  <w:num w:numId="33" w16cid:durableId="1100444641">
    <w:abstractNumId w:val="41"/>
  </w:num>
  <w:num w:numId="34" w16cid:durableId="1126388050">
    <w:abstractNumId w:val="3"/>
  </w:num>
  <w:num w:numId="35" w16cid:durableId="2028632053">
    <w:abstractNumId w:val="36"/>
  </w:num>
  <w:num w:numId="36" w16cid:durableId="1938128794">
    <w:abstractNumId w:val="0"/>
  </w:num>
  <w:num w:numId="37" w16cid:durableId="122385928">
    <w:abstractNumId w:val="43"/>
  </w:num>
  <w:num w:numId="38" w16cid:durableId="695161365">
    <w:abstractNumId w:val="24"/>
  </w:num>
  <w:num w:numId="39" w16cid:durableId="1058624770">
    <w:abstractNumId w:val="46"/>
  </w:num>
  <w:num w:numId="40" w16cid:durableId="1849977342">
    <w:abstractNumId w:val="12"/>
  </w:num>
  <w:num w:numId="41" w16cid:durableId="1772043650">
    <w:abstractNumId w:val="16"/>
  </w:num>
  <w:num w:numId="42" w16cid:durableId="1790004576">
    <w:abstractNumId w:val="6"/>
  </w:num>
  <w:num w:numId="43" w16cid:durableId="1264725828">
    <w:abstractNumId w:val="4"/>
  </w:num>
  <w:num w:numId="44" w16cid:durableId="2082562532">
    <w:abstractNumId w:val="13"/>
  </w:num>
  <w:num w:numId="45" w16cid:durableId="940456078">
    <w:abstractNumId w:val="18"/>
  </w:num>
  <w:num w:numId="46" w16cid:durableId="1556551931">
    <w:abstractNumId w:val="45"/>
  </w:num>
  <w:num w:numId="47" w16cid:durableId="20200433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83"/>
    <w:rsid w:val="00003BBF"/>
    <w:rsid w:val="00013FFF"/>
    <w:rsid w:val="00016B30"/>
    <w:rsid w:val="0002580A"/>
    <w:rsid w:val="00026B3E"/>
    <w:rsid w:val="00034606"/>
    <w:rsid w:val="000356AA"/>
    <w:rsid w:val="00040E99"/>
    <w:rsid w:val="00041A10"/>
    <w:rsid w:val="00041A2C"/>
    <w:rsid w:val="00046EF7"/>
    <w:rsid w:val="0005448B"/>
    <w:rsid w:val="0005750C"/>
    <w:rsid w:val="000578EF"/>
    <w:rsid w:val="00075248"/>
    <w:rsid w:val="0007723E"/>
    <w:rsid w:val="00092211"/>
    <w:rsid w:val="000B047E"/>
    <w:rsid w:val="000C5D11"/>
    <w:rsid w:val="000C69A7"/>
    <w:rsid w:val="000D08A9"/>
    <w:rsid w:val="000D52D4"/>
    <w:rsid w:val="000E5E20"/>
    <w:rsid w:val="00106D21"/>
    <w:rsid w:val="001118C6"/>
    <w:rsid w:val="00111C23"/>
    <w:rsid w:val="001228B3"/>
    <w:rsid w:val="0012601E"/>
    <w:rsid w:val="0013143E"/>
    <w:rsid w:val="001474E1"/>
    <w:rsid w:val="00172519"/>
    <w:rsid w:val="00185956"/>
    <w:rsid w:val="001A7A77"/>
    <w:rsid w:val="001B0966"/>
    <w:rsid w:val="001B248E"/>
    <w:rsid w:val="001C0234"/>
    <w:rsid w:val="001C3DA7"/>
    <w:rsid w:val="001C52DF"/>
    <w:rsid w:val="001E146F"/>
    <w:rsid w:val="001F179D"/>
    <w:rsid w:val="002073E7"/>
    <w:rsid w:val="0021533B"/>
    <w:rsid w:val="00215CF7"/>
    <w:rsid w:val="002172B1"/>
    <w:rsid w:val="00220705"/>
    <w:rsid w:val="00226606"/>
    <w:rsid w:val="00226CD4"/>
    <w:rsid w:val="002A0FED"/>
    <w:rsid w:val="002B0AF1"/>
    <w:rsid w:val="002B5916"/>
    <w:rsid w:val="002B753E"/>
    <w:rsid w:val="002C2689"/>
    <w:rsid w:val="002C2AE9"/>
    <w:rsid w:val="002C44D1"/>
    <w:rsid w:val="002E1547"/>
    <w:rsid w:val="002E31D5"/>
    <w:rsid w:val="002F5B3A"/>
    <w:rsid w:val="003005D2"/>
    <w:rsid w:val="0033149F"/>
    <w:rsid w:val="00332323"/>
    <w:rsid w:val="00337F8C"/>
    <w:rsid w:val="00342BEC"/>
    <w:rsid w:val="003523A1"/>
    <w:rsid w:val="0035567D"/>
    <w:rsid w:val="003602AD"/>
    <w:rsid w:val="00370400"/>
    <w:rsid w:val="00373DF3"/>
    <w:rsid w:val="003A61C6"/>
    <w:rsid w:val="003B6869"/>
    <w:rsid w:val="003C2738"/>
    <w:rsid w:val="003C692C"/>
    <w:rsid w:val="003D06C8"/>
    <w:rsid w:val="003D71AB"/>
    <w:rsid w:val="003E0139"/>
    <w:rsid w:val="003E0342"/>
    <w:rsid w:val="003F1B58"/>
    <w:rsid w:val="003F3B15"/>
    <w:rsid w:val="00407CFD"/>
    <w:rsid w:val="00411AD1"/>
    <w:rsid w:val="00431CF2"/>
    <w:rsid w:val="004533A5"/>
    <w:rsid w:val="004778C5"/>
    <w:rsid w:val="00496100"/>
    <w:rsid w:val="004B3847"/>
    <w:rsid w:val="004C34B1"/>
    <w:rsid w:val="004D2E9A"/>
    <w:rsid w:val="004F1966"/>
    <w:rsid w:val="004F6207"/>
    <w:rsid w:val="005030EF"/>
    <w:rsid w:val="0050418B"/>
    <w:rsid w:val="00531E1C"/>
    <w:rsid w:val="005566B0"/>
    <w:rsid w:val="00571131"/>
    <w:rsid w:val="00575589"/>
    <w:rsid w:val="00591716"/>
    <w:rsid w:val="0059514C"/>
    <w:rsid w:val="005A6EA4"/>
    <w:rsid w:val="005B3C61"/>
    <w:rsid w:val="005D5B16"/>
    <w:rsid w:val="005E6D13"/>
    <w:rsid w:val="006055A1"/>
    <w:rsid w:val="00605C9E"/>
    <w:rsid w:val="00613C26"/>
    <w:rsid w:val="00614989"/>
    <w:rsid w:val="006425C4"/>
    <w:rsid w:val="00644B12"/>
    <w:rsid w:val="00664AF0"/>
    <w:rsid w:val="006654CF"/>
    <w:rsid w:val="006655B3"/>
    <w:rsid w:val="006724E6"/>
    <w:rsid w:val="00685E7C"/>
    <w:rsid w:val="00687F59"/>
    <w:rsid w:val="006932AD"/>
    <w:rsid w:val="006B1ADB"/>
    <w:rsid w:val="006D2860"/>
    <w:rsid w:val="006E1016"/>
    <w:rsid w:val="006E789E"/>
    <w:rsid w:val="006F4B68"/>
    <w:rsid w:val="00702473"/>
    <w:rsid w:val="0071102C"/>
    <w:rsid w:val="00715D30"/>
    <w:rsid w:val="00715E55"/>
    <w:rsid w:val="00720DBB"/>
    <w:rsid w:val="00723EA8"/>
    <w:rsid w:val="00731A2F"/>
    <w:rsid w:val="00753B0E"/>
    <w:rsid w:val="007567E6"/>
    <w:rsid w:val="00792E14"/>
    <w:rsid w:val="007D6983"/>
    <w:rsid w:val="007E1588"/>
    <w:rsid w:val="007F0D1E"/>
    <w:rsid w:val="007F531F"/>
    <w:rsid w:val="008008BF"/>
    <w:rsid w:val="008157DD"/>
    <w:rsid w:val="00852507"/>
    <w:rsid w:val="00852EF4"/>
    <w:rsid w:val="008670C0"/>
    <w:rsid w:val="00876F79"/>
    <w:rsid w:val="00884801"/>
    <w:rsid w:val="008907EC"/>
    <w:rsid w:val="00890FEB"/>
    <w:rsid w:val="008B5713"/>
    <w:rsid w:val="008C0535"/>
    <w:rsid w:val="008D0CD3"/>
    <w:rsid w:val="008D367A"/>
    <w:rsid w:val="008E5D3F"/>
    <w:rsid w:val="008E69C6"/>
    <w:rsid w:val="00904F62"/>
    <w:rsid w:val="009154A0"/>
    <w:rsid w:val="00941F80"/>
    <w:rsid w:val="0096531A"/>
    <w:rsid w:val="00974292"/>
    <w:rsid w:val="00983CDC"/>
    <w:rsid w:val="009911AC"/>
    <w:rsid w:val="00996AF1"/>
    <w:rsid w:val="009A7FEF"/>
    <w:rsid w:val="009D1B33"/>
    <w:rsid w:val="009D28B5"/>
    <w:rsid w:val="009D6782"/>
    <w:rsid w:val="009E60E9"/>
    <w:rsid w:val="00A07120"/>
    <w:rsid w:val="00A23431"/>
    <w:rsid w:val="00A272E1"/>
    <w:rsid w:val="00A32F0A"/>
    <w:rsid w:val="00A3547A"/>
    <w:rsid w:val="00A44B9E"/>
    <w:rsid w:val="00A538DF"/>
    <w:rsid w:val="00A63E03"/>
    <w:rsid w:val="00A760B3"/>
    <w:rsid w:val="00A84541"/>
    <w:rsid w:val="00A91067"/>
    <w:rsid w:val="00A94A60"/>
    <w:rsid w:val="00A94EA5"/>
    <w:rsid w:val="00A97750"/>
    <w:rsid w:val="00AA3587"/>
    <w:rsid w:val="00AB1181"/>
    <w:rsid w:val="00AC55DE"/>
    <w:rsid w:val="00AE3F5F"/>
    <w:rsid w:val="00AE4A03"/>
    <w:rsid w:val="00AF422F"/>
    <w:rsid w:val="00B076BF"/>
    <w:rsid w:val="00B32AC5"/>
    <w:rsid w:val="00B4234B"/>
    <w:rsid w:val="00B423C1"/>
    <w:rsid w:val="00B42E26"/>
    <w:rsid w:val="00B519BF"/>
    <w:rsid w:val="00B54FCC"/>
    <w:rsid w:val="00B612F1"/>
    <w:rsid w:val="00B636A3"/>
    <w:rsid w:val="00B6460F"/>
    <w:rsid w:val="00B700BC"/>
    <w:rsid w:val="00B71AB5"/>
    <w:rsid w:val="00B74920"/>
    <w:rsid w:val="00B83BF0"/>
    <w:rsid w:val="00B83DAF"/>
    <w:rsid w:val="00B86F1F"/>
    <w:rsid w:val="00B96ECB"/>
    <w:rsid w:val="00B97009"/>
    <w:rsid w:val="00BB1297"/>
    <w:rsid w:val="00BB5958"/>
    <w:rsid w:val="00BB64FF"/>
    <w:rsid w:val="00BB74C9"/>
    <w:rsid w:val="00BC6A96"/>
    <w:rsid w:val="00C07B63"/>
    <w:rsid w:val="00C20163"/>
    <w:rsid w:val="00C43F88"/>
    <w:rsid w:val="00C456B0"/>
    <w:rsid w:val="00C60C63"/>
    <w:rsid w:val="00C73DC2"/>
    <w:rsid w:val="00C836A3"/>
    <w:rsid w:val="00C847F7"/>
    <w:rsid w:val="00C850FD"/>
    <w:rsid w:val="00C94D69"/>
    <w:rsid w:val="00CB6A17"/>
    <w:rsid w:val="00CD474A"/>
    <w:rsid w:val="00CD5637"/>
    <w:rsid w:val="00CE4565"/>
    <w:rsid w:val="00CF22EB"/>
    <w:rsid w:val="00CF50B4"/>
    <w:rsid w:val="00D12833"/>
    <w:rsid w:val="00D17B91"/>
    <w:rsid w:val="00D267A4"/>
    <w:rsid w:val="00D313C2"/>
    <w:rsid w:val="00D55E66"/>
    <w:rsid w:val="00D61847"/>
    <w:rsid w:val="00D64F3E"/>
    <w:rsid w:val="00D711B8"/>
    <w:rsid w:val="00D7761D"/>
    <w:rsid w:val="00D8051C"/>
    <w:rsid w:val="00D954B8"/>
    <w:rsid w:val="00DA5ABE"/>
    <w:rsid w:val="00DB713B"/>
    <w:rsid w:val="00DC0396"/>
    <w:rsid w:val="00DD2372"/>
    <w:rsid w:val="00DD5A3B"/>
    <w:rsid w:val="00DE263C"/>
    <w:rsid w:val="00DF433E"/>
    <w:rsid w:val="00E03EA1"/>
    <w:rsid w:val="00E82ECF"/>
    <w:rsid w:val="00E95CC8"/>
    <w:rsid w:val="00E976EE"/>
    <w:rsid w:val="00EA0B89"/>
    <w:rsid w:val="00EA6E00"/>
    <w:rsid w:val="00ED19D8"/>
    <w:rsid w:val="00ED7B94"/>
    <w:rsid w:val="00EE4129"/>
    <w:rsid w:val="00F0088F"/>
    <w:rsid w:val="00F24A59"/>
    <w:rsid w:val="00F26558"/>
    <w:rsid w:val="00F36B3C"/>
    <w:rsid w:val="00F57222"/>
    <w:rsid w:val="00F61EA5"/>
    <w:rsid w:val="00F73812"/>
    <w:rsid w:val="00F74338"/>
    <w:rsid w:val="00F74B89"/>
    <w:rsid w:val="00F76F65"/>
    <w:rsid w:val="00F807F9"/>
    <w:rsid w:val="00F840D5"/>
    <w:rsid w:val="00F856D0"/>
    <w:rsid w:val="00F942F3"/>
    <w:rsid w:val="00F96858"/>
    <w:rsid w:val="00FA6ACD"/>
    <w:rsid w:val="00FB3CD0"/>
    <w:rsid w:val="00FC2ADA"/>
    <w:rsid w:val="00FD43BD"/>
    <w:rsid w:val="00FF041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E1584"/>
  <w15:chartTrackingRefBased/>
  <w15:docId w15:val="{C7C57AAC-AA60-4E60-9557-609D7851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69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D6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D6983"/>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7D6983"/>
    <w:pPr>
      <w:outlineLvl w:val="9"/>
    </w:pPr>
    <w:rPr>
      <w:lang w:eastAsia="fr-CA"/>
    </w:rPr>
  </w:style>
  <w:style w:type="paragraph" w:styleId="Paragraphedeliste">
    <w:name w:val="List Paragraph"/>
    <w:basedOn w:val="Normal"/>
    <w:uiPriority w:val="34"/>
    <w:qFormat/>
    <w:rsid w:val="007D6983"/>
    <w:pPr>
      <w:ind w:left="720"/>
      <w:contextualSpacing/>
    </w:pPr>
  </w:style>
  <w:style w:type="character" w:styleId="Marquedecommentaire">
    <w:name w:val="annotation reference"/>
    <w:basedOn w:val="Policepardfaut"/>
    <w:uiPriority w:val="99"/>
    <w:semiHidden/>
    <w:unhideWhenUsed/>
    <w:rsid w:val="006B1ADB"/>
    <w:rPr>
      <w:sz w:val="16"/>
      <w:szCs w:val="16"/>
    </w:rPr>
  </w:style>
  <w:style w:type="paragraph" w:styleId="Commentaire">
    <w:name w:val="annotation text"/>
    <w:basedOn w:val="Normal"/>
    <w:link w:val="CommentaireCar"/>
    <w:uiPriority w:val="99"/>
    <w:semiHidden/>
    <w:unhideWhenUsed/>
    <w:rsid w:val="006B1ADB"/>
    <w:pPr>
      <w:spacing w:line="240" w:lineRule="auto"/>
    </w:pPr>
    <w:rPr>
      <w:sz w:val="20"/>
      <w:szCs w:val="20"/>
    </w:rPr>
  </w:style>
  <w:style w:type="character" w:customStyle="1" w:styleId="CommentaireCar">
    <w:name w:val="Commentaire Car"/>
    <w:basedOn w:val="Policepardfaut"/>
    <w:link w:val="Commentaire"/>
    <w:uiPriority w:val="99"/>
    <w:semiHidden/>
    <w:rsid w:val="006B1ADB"/>
    <w:rPr>
      <w:sz w:val="20"/>
      <w:szCs w:val="20"/>
    </w:rPr>
  </w:style>
  <w:style w:type="paragraph" w:styleId="Objetducommentaire">
    <w:name w:val="annotation subject"/>
    <w:basedOn w:val="Commentaire"/>
    <w:next w:val="Commentaire"/>
    <w:link w:val="ObjetducommentaireCar"/>
    <w:uiPriority w:val="99"/>
    <w:semiHidden/>
    <w:unhideWhenUsed/>
    <w:rsid w:val="006B1ADB"/>
    <w:rPr>
      <w:b/>
      <w:bCs/>
    </w:rPr>
  </w:style>
  <w:style w:type="character" w:customStyle="1" w:styleId="ObjetducommentaireCar">
    <w:name w:val="Objet du commentaire Car"/>
    <w:basedOn w:val="CommentaireCar"/>
    <w:link w:val="Objetducommentaire"/>
    <w:uiPriority w:val="99"/>
    <w:semiHidden/>
    <w:rsid w:val="006B1ADB"/>
    <w:rPr>
      <w:b/>
      <w:bCs/>
      <w:sz w:val="20"/>
      <w:szCs w:val="20"/>
    </w:rPr>
  </w:style>
  <w:style w:type="paragraph" w:styleId="En-tte">
    <w:name w:val="header"/>
    <w:basedOn w:val="Normal"/>
    <w:link w:val="En-tteCar"/>
    <w:uiPriority w:val="99"/>
    <w:unhideWhenUsed/>
    <w:rsid w:val="00A272E1"/>
    <w:pPr>
      <w:tabs>
        <w:tab w:val="center" w:pos="4320"/>
        <w:tab w:val="right" w:pos="8640"/>
      </w:tabs>
      <w:spacing w:after="0" w:line="240" w:lineRule="auto"/>
    </w:pPr>
  </w:style>
  <w:style w:type="character" w:customStyle="1" w:styleId="En-tteCar">
    <w:name w:val="En-tête Car"/>
    <w:basedOn w:val="Policepardfaut"/>
    <w:link w:val="En-tte"/>
    <w:uiPriority w:val="99"/>
    <w:rsid w:val="00A272E1"/>
  </w:style>
  <w:style w:type="paragraph" w:styleId="Pieddepage">
    <w:name w:val="footer"/>
    <w:basedOn w:val="Normal"/>
    <w:link w:val="PieddepageCar"/>
    <w:uiPriority w:val="99"/>
    <w:unhideWhenUsed/>
    <w:rsid w:val="00A272E1"/>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272E1"/>
  </w:style>
  <w:style w:type="paragraph" w:customStyle="1" w:styleId="l6">
    <w:name w:val="l6"/>
    <w:basedOn w:val="Normal"/>
    <w:rsid w:val="005E6D1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comptabilitpartieii">
    <w:name w:val="comptabilitpartieii"/>
    <w:basedOn w:val="Policepardfaut"/>
    <w:rsid w:val="005E6D13"/>
  </w:style>
  <w:style w:type="paragraph" w:customStyle="1" w:styleId="paragraph">
    <w:name w:val="paragraph"/>
    <w:basedOn w:val="Normal"/>
    <w:rsid w:val="005E6D1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ienhypertexte">
    <w:name w:val="Hyperlink"/>
    <w:basedOn w:val="Policepardfaut"/>
    <w:uiPriority w:val="99"/>
    <w:semiHidden/>
    <w:unhideWhenUsed/>
    <w:rsid w:val="005E6D13"/>
    <w:rPr>
      <w:color w:val="0000FF"/>
      <w:u w:val="single"/>
    </w:rPr>
  </w:style>
  <w:style w:type="character" w:customStyle="1" w:styleId="normaltextrun">
    <w:name w:val="normaltextrun"/>
    <w:basedOn w:val="Policepardfaut"/>
    <w:rsid w:val="001474E1"/>
  </w:style>
  <w:style w:type="character" w:customStyle="1" w:styleId="eop">
    <w:name w:val="eop"/>
    <w:basedOn w:val="Policepardfaut"/>
    <w:rsid w:val="001474E1"/>
  </w:style>
  <w:style w:type="paragraph" w:customStyle="1" w:styleId="paragraphnumberbold">
    <w:name w:val="paragraphnumberbold"/>
    <w:basedOn w:val="Normal"/>
    <w:rsid w:val="00FF041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boldbullet">
    <w:name w:val="ifrsboldbullet"/>
    <w:basedOn w:val="Normal"/>
    <w:rsid w:val="00FF041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paragraphbold">
    <w:name w:val="ifrsparagraphbold"/>
    <w:basedOn w:val="Normal"/>
    <w:rsid w:val="00FF041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l5ifrs">
    <w:name w:val="l5ifrs"/>
    <w:basedOn w:val="Normal"/>
    <w:rsid w:val="00FF041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aragraphnumber">
    <w:name w:val="paragraphnumber"/>
    <w:basedOn w:val="Normal"/>
    <w:rsid w:val="00FF041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bullet">
    <w:name w:val="bullet"/>
    <w:basedOn w:val="Normal"/>
    <w:rsid w:val="00FF041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Rvision">
    <w:name w:val="Revision"/>
    <w:hidden/>
    <w:uiPriority w:val="99"/>
    <w:semiHidden/>
    <w:rsid w:val="00723E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44970">
      <w:bodyDiv w:val="1"/>
      <w:marLeft w:val="0"/>
      <w:marRight w:val="0"/>
      <w:marTop w:val="0"/>
      <w:marBottom w:val="0"/>
      <w:divBdr>
        <w:top w:val="none" w:sz="0" w:space="0" w:color="auto"/>
        <w:left w:val="none" w:sz="0" w:space="0" w:color="auto"/>
        <w:bottom w:val="none" w:sz="0" w:space="0" w:color="auto"/>
        <w:right w:val="none" w:sz="0" w:space="0" w:color="auto"/>
      </w:divBdr>
      <w:divsChild>
        <w:div w:id="1296835526">
          <w:marLeft w:val="0"/>
          <w:marRight w:val="0"/>
          <w:marTop w:val="0"/>
          <w:marBottom w:val="0"/>
          <w:divBdr>
            <w:top w:val="none" w:sz="0" w:space="0" w:color="auto"/>
            <w:left w:val="none" w:sz="0" w:space="0" w:color="auto"/>
            <w:bottom w:val="none" w:sz="0" w:space="0" w:color="auto"/>
            <w:right w:val="none" w:sz="0" w:space="0" w:color="auto"/>
          </w:divBdr>
        </w:div>
        <w:div w:id="2023244976">
          <w:marLeft w:val="0"/>
          <w:marRight w:val="0"/>
          <w:marTop w:val="0"/>
          <w:marBottom w:val="0"/>
          <w:divBdr>
            <w:top w:val="none" w:sz="0" w:space="0" w:color="auto"/>
            <w:left w:val="none" w:sz="0" w:space="0" w:color="auto"/>
            <w:bottom w:val="none" w:sz="0" w:space="0" w:color="auto"/>
            <w:right w:val="none" w:sz="0" w:space="0" w:color="auto"/>
          </w:divBdr>
        </w:div>
      </w:divsChild>
    </w:div>
    <w:div w:id="720641373">
      <w:bodyDiv w:val="1"/>
      <w:marLeft w:val="0"/>
      <w:marRight w:val="0"/>
      <w:marTop w:val="0"/>
      <w:marBottom w:val="0"/>
      <w:divBdr>
        <w:top w:val="none" w:sz="0" w:space="0" w:color="auto"/>
        <w:left w:val="none" w:sz="0" w:space="0" w:color="auto"/>
        <w:bottom w:val="none" w:sz="0" w:space="0" w:color="auto"/>
        <w:right w:val="none" w:sz="0" w:space="0" w:color="auto"/>
      </w:divBdr>
      <w:divsChild>
        <w:div w:id="607741708">
          <w:marLeft w:val="0"/>
          <w:marRight w:val="0"/>
          <w:marTop w:val="0"/>
          <w:marBottom w:val="0"/>
          <w:divBdr>
            <w:top w:val="none" w:sz="0" w:space="0" w:color="auto"/>
            <w:left w:val="none" w:sz="0" w:space="0" w:color="auto"/>
            <w:bottom w:val="none" w:sz="0" w:space="0" w:color="auto"/>
            <w:right w:val="none" w:sz="0" w:space="0" w:color="auto"/>
          </w:divBdr>
        </w:div>
        <w:div w:id="1553493629">
          <w:marLeft w:val="0"/>
          <w:marRight w:val="0"/>
          <w:marTop w:val="0"/>
          <w:marBottom w:val="0"/>
          <w:divBdr>
            <w:top w:val="none" w:sz="0" w:space="0" w:color="auto"/>
            <w:left w:val="none" w:sz="0" w:space="0" w:color="auto"/>
            <w:bottom w:val="none" w:sz="0" w:space="0" w:color="auto"/>
            <w:right w:val="none" w:sz="0" w:space="0" w:color="auto"/>
          </w:divBdr>
        </w:div>
        <w:div w:id="1600334038">
          <w:marLeft w:val="0"/>
          <w:marRight w:val="0"/>
          <w:marTop w:val="0"/>
          <w:marBottom w:val="0"/>
          <w:divBdr>
            <w:top w:val="none" w:sz="0" w:space="0" w:color="auto"/>
            <w:left w:val="none" w:sz="0" w:space="0" w:color="auto"/>
            <w:bottom w:val="none" w:sz="0" w:space="0" w:color="auto"/>
            <w:right w:val="none" w:sz="0" w:space="0" w:color="auto"/>
          </w:divBdr>
        </w:div>
        <w:div w:id="589314665">
          <w:marLeft w:val="0"/>
          <w:marRight w:val="0"/>
          <w:marTop w:val="0"/>
          <w:marBottom w:val="0"/>
          <w:divBdr>
            <w:top w:val="none" w:sz="0" w:space="0" w:color="auto"/>
            <w:left w:val="none" w:sz="0" w:space="0" w:color="auto"/>
            <w:bottom w:val="none" w:sz="0" w:space="0" w:color="auto"/>
            <w:right w:val="none" w:sz="0" w:space="0" w:color="auto"/>
          </w:divBdr>
        </w:div>
        <w:div w:id="1682393351">
          <w:marLeft w:val="0"/>
          <w:marRight w:val="0"/>
          <w:marTop w:val="0"/>
          <w:marBottom w:val="0"/>
          <w:divBdr>
            <w:top w:val="none" w:sz="0" w:space="0" w:color="auto"/>
            <w:left w:val="none" w:sz="0" w:space="0" w:color="auto"/>
            <w:bottom w:val="none" w:sz="0" w:space="0" w:color="auto"/>
            <w:right w:val="none" w:sz="0" w:space="0" w:color="auto"/>
          </w:divBdr>
        </w:div>
        <w:div w:id="1324967426">
          <w:marLeft w:val="0"/>
          <w:marRight w:val="0"/>
          <w:marTop w:val="0"/>
          <w:marBottom w:val="0"/>
          <w:divBdr>
            <w:top w:val="none" w:sz="0" w:space="0" w:color="auto"/>
            <w:left w:val="none" w:sz="0" w:space="0" w:color="auto"/>
            <w:bottom w:val="none" w:sz="0" w:space="0" w:color="auto"/>
            <w:right w:val="none" w:sz="0" w:space="0" w:color="auto"/>
          </w:divBdr>
          <w:divsChild>
            <w:div w:id="637607405">
              <w:marLeft w:val="0"/>
              <w:marRight w:val="0"/>
              <w:marTop w:val="0"/>
              <w:marBottom w:val="0"/>
              <w:divBdr>
                <w:top w:val="none" w:sz="0" w:space="0" w:color="auto"/>
                <w:left w:val="none" w:sz="0" w:space="0" w:color="auto"/>
                <w:bottom w:val="none" w:sz="0" w:space="0" w:color="auto"/>
                <w:right w:val="none" w:sz="0" w:space="0" w:color="auto"/>
              </w:divBdr>
            </w:div>
            <w:div w:id="1781098974">
              <w:marLeft w:val="0"/>
              <w:marRight w:val="0"/>
              <w:marTop w:val="0"/>
              <w:marBottom w:val="0"/>
              <w:divBdr>
                <w:top w:val="none" w:sz="0" w:space="0" w:color="auto"/>
                <w:left w:val="none" w:sz="0" w:space="0" w:color="auto"/>
                <w:bottom w:val="none" w:sz="0" w:space="0" w:color="auto"/>
                <w:right w:val="none" w:sz="0" w:space="0" w:color="auto"/>
              </w:divBdr>
            </w:div>
            <w:div w:id="566888667">
              <w:marLeft w:val="0"/>
              <w:marRight w:val="0"/>
              <w:marTop w:val="0"/>
              <w:marBottom w:val="0"/>
              <w:divBdr>
                <w:top w:val="none" w:sz="0" w:space="0" w:color="auto"/>
                <w:left w:val="none" w:sz="0" w:space="0" w:color="auto"/>
                <w:bottom w:val="none" w:sz="0" w:space="0" w:color="auto"/>
                <w:right w:val="none" w:sz="0" w:space="0" w:color="auto"/>
              </w:divBdr>
            </w:div>
            <w:div w:id="485324649">
              <w:marLeft w:val="0"/>
              <w:marRight w:val="0"/>
              <w:marTop w:val="0"/>
              <w:marBottom w:val="0"/>
              <w:divBdr>
                <w:top w:val="none" w:sz="0" w:space="0" w:color="auto"/>
                <w:left w:val="none" w:sz="0" w:space="0" w:color="auto"/>
                <w:bottom w:val="none" w:sz="0" w:space="0" w:color="auto"/>
                <w:right w:val="none" w:sz="0" w:space="0" w:color="auto"/>
              </w:divBdr>
            </w:div>
            <w:div w:id="679039674">
              <w:marLeft w:val="0"/>
              <w:marRight w:val="0"/>
              <w:marTop w:val="0"/>
              <w:marBottom w:val="0"/>
              <w:divBdr>
                <w:top w:val="none" w:sz="0" w:space="0" w:color="auto"/>
                <w:left w:val="none" w:sz="0" w:space="0" w:color="auto"/>
                <w:bottom w:val="none" w:sz="0" w:space="0" w:color="auto"/>
                <w:right w:val="none" w:sz="0" w:space="0" w:color="auto"/>
              </w:divBdr>
            </w:div>
          </w:divsChild>
        </w:div>
        <w:div w:id="1530797826">
          <w:marLeft w:val="0"/>
          <w:marRight w:val="0"/>
          <w:marTop w:val="0"/>
          <w:marBottom w:val="0"/>
          <w:divBdr>
            <w:top w:val="none" w:sz="0" w:space="0" w:color="auto"/>
            <w:left w:val="none" w:sz="0" w:space="0" w:color="auto"/>
            <w:bottom w:val="none" w:sz="0" w:space="0" w:color="auto"/>
            <w:right w:val="none" w:sz="0" w:space="0" w:color="auto"/>
          </w:divBdr>
          <w:divsChild>
            <w:div w:id="2060467827">
              <w:marLeft w:val="0"/>
              <w:marRight w:val="0"/>
              <w:marTop w:val="0"/>
              <w:marBottom w:val="0"/>
              <w:divBdr>
                <w:top w:val="none" w:sz="0" w:space="0" w:color="auto"/>
                <w:left w:val="none" w:sz="0" w:space="0" w:color="auto"/>
                <w:bottom w:val="none" w:sz="0" w:space="0" w:color="auto"/>
                <w:right w:val="none" w:sz="0" w:space="0" w:color="auto"/>
              </w:divBdr>
            </w:div>
            <w:div w:id="1454597764">
              <w:marLeft w:val="0"/>
              <w:marRight w:val="0"/>
              <w:marTop w:val="0"/>
              <w:marBottom w:val="0"/>
              <w:divBdr>
                <w:top w:val="none" w:sz="0" w:space="0" w:color="auto"/>
                <w:left w:val="none" w:sz="0" w:space="0" w:color="auto"/>
                <w:bottom w:val="none" w:sz="0" w:space="0" w:color="auto"/>
                <w:right w:val="none" w:sz="0" w:space="0" w:color="auto"/>
              </w:divBdr>
            </w:div>
            <w:div w:id="115417580">
              <w:marLeft w:val="0"/>
              <w:marRight w:val="0"/>
              <w:marTop w:val="0"/>
              <w:marBottom w:val="0"/>
              <w:divBdr>
                <w:top w:val="none" w:sz="0" w:space="0" w:color="auto"/>
                <w:left w:val="none" w:sz="0" w:space="0" w:color="auto"/>
                <w:bottom w:val="none" w:sz="0" w:space="0" w:color="auto"/>
                <w:right w:val="none" w:sz="0" w:space="0" w:color="auto"/>
              </w:divBdr>
            </w:div>
            <w:div w:id="18463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5210">
      <w:bodyDiv w:val="1"/>
      <w:marLeft w:val="0"/>
      <w:marRight w:val="0"/>
      <w:marTop w:val="0"/>
      <w:marBottom w:val="0"/>
      <w:divBdr>
        <w:top w:val="none" w:sz="0" w:space="0" w:color="auto"/>
        <w:left w:val="none" w:sz="0" w:space="0" w:color="auto"/>
        <w:bottom w:val="none" w:sz="0" w:space="0" w:color="auto"/>
        <w:right w:val="none" w:sz="0" w:space="0" w:color="auto"/>
      </w:divBdr>
      <w:divsChild>
        <w:div w:id="1644459679">
          <w:marLeft w:val="0"/>
          <w:marRight w:val="0"/>
          <w:marTop w:val="0"/>
          <w:marBottom w:val="0"/>
          <w:divBdr>
            <w:top w:val="none" w:sz="0" w:space="0" w:color="auto"/>
            <w:left w:val="none" w:sz="0" w:space="0" w:color="auto"/>
            <w:bottom w:val="none" w:sz="0" w:space="0" w:color="auto"/>
            <w:right w:val="none" w:sz="0" w:space="0" w:color="auto"/>
          </w:divBdr>
        </w:div>
        <w:div w:id="1304627762">
          <w:marLeft w:val="0"/>
          <w:marRight w:val="0"/>
          <w:marTop w:val="0"/>
          <w:marBottom w:val="0"/>
          <w:divBdr>
            <w:top w:val="none" w:sz="0" w:space="0" w:color="auto"/>
            <w:left w:val="none" w:sz="0" w:space="0" w:color="auto"/>
            <w:bottom w:val="none" w:sz="0" w:space="0" w:color="auto"/>
            <w:right w:val="none" w:sz="0" w:space="0" w:color="auto"/>
          </w:divBdr>
        </w:div>
      </w:divsChild>
    </w:div>
    <w:div w:id="1927348307">
      <w:bodyDiv w:val="1"/>
      <w:marLeft w:val="0"/>
      <w:marRight w:val="0"/>
      <w:marTop w:val="0"/>
      <w:marBottom w:val="0"/>
      <w:divBdr>
        <w:top w:val="none" w:sz="0" w:space="0" w:color="auto"/>
        <w:left w:val="none" w:sz="0" w:space="0" w:color="auto"/>
        <w:bottom w:val="none" w:sz="0" w:space="0" w:color="auto"/>
        <w:right w:val="none" w:sz="0" w:space="0" w:color="auto"/>
      </w:divBdr>
      <w:divsChild>
        <w:div w:id="802237031">
          <w:marLeft w:val="0"/>
          <w:marRight w:val="0"/>
          <w:marTop w:val="0"/>
          <w:marBottom w:val="0"/>
          <w:divBdr>
            <w:top w:val="none" w:sz="0" w:space="0" w:color="auto"/>
            <w:left w:val="none" w:sz="0" w:space="0" w:color="auto"/>
            <w:bottom w:val="none" w:sz="0" w:space="0" w:color="auto"/>
            <w:right w:val="none" w:sz="0" w:space="0" w:color="auto"/>
          </w:divBdr>
        </w:div>
        <w:div w:id="1435132067">
          <w:marLeft w:val="0"/>
          <w:marRight w:val="0"/>
          <w:marTop w:val="0"/>
          <w:marBottom w:val="0"/>
          <w:divBdr>
            <w:top w:val="none" w:sz="0" w:space="0" w:color="auto"/>
            <w:left w:val="none" w:sz="0" w:space="0" w:color="auto"/>
            <w:bottom w:val="none" w:sz="0" w:space="0" w:color="auto"/>
            <w:right w:val="none" w:sz="0" w:space="0" w:color="auto"/>
          </w:divBdr>
        </w:div>
      </w:divsChild>
    </w:div>
    <w:div w:id="2128696391">
      <w:bodyDiv w:val="1"/>
      <w:marLeft w:val="0"/>
      <w:marRight w:val="0"/>
      <w:marTop w:val="0"/>
      <w:marBottom w:val="0"/>
      <w:divBdr>
        <w:top w:val="none" w:sz="0" w:space="0" w:color="auto"/>
        <w:left w:val="none" w:sz="0" w:space="0" w:color="auto"/>
        <w:bottom w:val="none" w:sz="0" w:space="0" w:color="auto"/>
        <w:right w:val="none" w:sz="0" w:space="0" w:color="auto"/>
      </w:divBdr>
      <w:divsChild>
        <w:div w:id="36127571">
          <w:marLeft w:val="0"/>
          <w:marRight w:val="0"/>
          <w:marTop w:val="0"/>
          <w:marBottom w:val="0"/>
          <w:divBdr>
            <w:top w:val="none" w:sz="0" w:space="0" w:color="auto"/>
            <w:left w:val="none" w:sz="0" w:space="0" w:color="auto"/>
            <w:bottom w:val="none" w:sz="0" w:space="0" w:color="auto"/>
            <w:right w:val="none" w:sz="0" w:space="0" w:color="auto"/>
          </w:divBdr>
        </w:div>
        <w:div w:id="1724215741">
          <w:marLeft w:val="0"/>
          <w:marRight w:val="0"/>
          <w:marTop w:val="0"/>
          <w:marBottom w:val="0"/>
          <w:divBdr>
            <w:top w:val="none" w:sz="0" w:space="0" w:color="auto"/>
            <w:left w:val="none" w:sz="0" w:space="0" w:color="auto"/>
            <w:bottom w:val="none" w:sz="0" w:space="0" w:color="auto"/>
            <w:right w:val="none" w:sz="0" w:space="0" w:color="auto"/>
          </w:divBdr>
        </w:div>
        <w:div w:id="148981549">
          <w:marLeft w:val="0"/>
          <w:marRight w:val="0"/>
          <w:marTop w:val="0"/>
          <w:marBottom w:val="0"/>
          <w:divBdr>
            <w:top w:val="none" w:sz="0" w:space="0" w:color="auto"/>
            <w:left w:val="none" w:sz="0" w:space="0" w:color="auto"/>
            <w:bottom w:val="none" w:sz="0" w:space="0" w:color="auto"/>
            <w:right w:val="none" w:sz="0" w:space="0" w:color="auto"/>
          </w:divBdr>
        </w:div>
        <w:div w:id="688413237">
          <w:marLeft w:val="0"/>
          <w:marRight w:val="0"/>
          <w:marTop w:val="0"/>
          <w:marBottom w:val="0"/>
          <w:divBdr>
            <w:top w:val="none" w:sz="0" w:space="0" w:color="auto"/>
            <w:left w:val="none" w:sz="0" w:space="0" w:color="auto"/>
            <w:bottom w:val="none" w:sz="0" w:space="0" w:color="auto"/>
            <w:right w:val="none" w:sz="0" w:space="0" w:color="auto"/>
          </w:divBdr>
        </w:div>
        <w:div w:id="1168519681">
          <w:marLeft w:val="0"/>
          <w:marRight w:val="0"/>
          <w:marTop w:val="0"/>
          <w:marBottom w:val="0"/>
          <w:divBdr>
            <w:top w:val="none" w:sz="0" w:space="0" w:color="auto"/>
            <w:left w:val="none" w:sz="0" w:space="0" w:color="auto"/>
            <w:bottom w:val="none" w:sz="0" w:space="0" w:color="auto"/>
            <w:right w:val="none" w:sz="0" w:space="0" w:color="auto"/>
          </w:divBdr>
        </w:div>
        <w:div w:id="1913273146">
          <w:marLeft w:val="0"/>
          <w:marRight w:val="0"/>
          <w:marTop w:val="0"/>
          <w:marBottom w:val="0"/>
          <w:divBdr>
            <w:top w:val="none" w:sz="0" w:space="0" w:color="auto"/>
            <w:left w:val="none" w:sz="0" w:space="0" w:color="auto"/>
            <w:bottom w:val="none" w:sz="0" w:space="0" w:color="auto"/>
            <w:right w:val="none" w:sz="0" w:space="0" w:color="auto"/>
          </w:divBdr>
        </w:div>
        <w:div w:id="828328479">
          <w:marLeft w:val="0"/>
          <w:marRight w:val="0"/>
          <w:marTop w:val="0"/>
          <w:marBottom w:val="0"/>
          <w:divBdr>
            <w:top w:val="none" w:sz="0" w:space="0" w:color="auto"/>
            <w:left w:val="none" w:sz="0" w:space="0" w:color="auto"/>
            <w:bottom w:val="none" w:sz="0" w:space="0" w:color="auto"/>
            <w:right w:val="none" w:sz="0" w:space="0" w:color="auto"/>
          </w:divBdr>
        </w:div>
        <w:div w:id="902109182">
          <w:marLeft w:val="0"/>
          <w:marRight w:val="0"/>
          <w:marTop w:val="0"/>
          <w:marBottom w:val="0"/>
          <w:divBdr>
            <w:top w:val="none" w:sz="0" w:space="0" w:color="auto"/>
            <w:left w:val="none" w:sz="0" w:space="0" w:color="auto"/>
            <w:bottom w:val="none" w:sz="0" w:space="0" w:color="auto"/>
            <w:right w:val="none" w:sz="0" w:space="0" w:color="auto"/>
          </w:divBdr>
        </w:div>
        <w:div w:id="1760516229">
          <w:marLeft w:val="0"/>
          <w:marRight w:val="0"/>
          <w:marTop w:val="0"/>
          <w:marBottom w:val="0"/>
          <w:divBdr>
            <w:top w:val="none" w:sz="0" w:space="0" w:color="auto"/>
            <w:left w:val="none" w:sz="0" w:space="0" w:color="auto"/>
            <w:bottom w:val="none" w:sz="0" w:space="0" w:color="auto"/>
            <w:right w:val="none" w:sz="0" w:space="0" w:color="auto"/>
          </w:divBdr>
        </w:div>
        <w:div w:id="250050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notia.ca/Knowledge/Home.aspx?productID=8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notia.ca/Knowledge/Home.aspx?productID=8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58FE0-5E76-4A85-BDD4-4F41111B3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3618</Words>
  <Characters>19901</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Béland</dc:creator>
  <cp:keywords/>
  <dc:description/>
  <cp:lastModifiedBy>SOKRI Marzouk</cp:lastModifiedBy>
  <cp:revision>4</cp:revision>
  <cp:lastPrinted>2022-02-17T19:11:00Z</cp:lastPrinted>
  <dcterms:created xsi:type="dcterms:W3CDTF">2025-03-10T22:42:00Z</dcterms:created>
  <dcterms:modified xsi:type="dcterms:W3CDTF">2025-03-18T16:23:00Z</dcterms:modified>
</cp:coreProperties>
</file>