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D9DB6" w14:textId="098A579F" w:rsidR="00FD159E" w:rsidRDefault="00E8771B">
      <w:r>
        <w:t xml:space="preserve">Les normes de regroupement et les normes de consolidation ne sont pas </w:t>
      </w:r>
      <w:r w:rsidR="00D440D4">
        <w:t>les mêmes normes</w:t>
      </w:r>
      <w:r>
        <w:t xml:space="preserve"> </w:t>
      </w:r>
    </w:p>
    <w:p w14:paraId="06CB72BE" w14:textId="0554B8F7" w:rsidR="001B0709" w:rsidRDefault="001B0709">
      <w:r>
        <w:t xml:space="preserve">NCECF :1582,1591,1601 Pour les IFRS :03,10 </w:t>
      </w:r>
    </w:p>
    <w:p w14:paraId="2022341B" w14:textId="74DEAD07" w:rsidR="00E8771B" w:rsidRDefault="00E8771B">
      <w:r>
        <w:t xml:space="preserve">Regroupement et consolidation à ne pas mélanger </w:t>
      </w:r>
    </w:p>
    <w:p w14:paraId="41CED45C" w14:textId="7E471F99" w:rsidR="008607E6" w:rsidRDefault="008607E6">
      <w:r>
        <w:t xml:space="preserve">Attention certain immobilisation en développée en interne qui ne répondent pas aux règles de comptabilisation soit (les </w:t>
      </w:r>
      <w:r w:rsidR="00CD7C3C">
        <w:t>dépenses ne peuvent pas</w:t>
      </w:r>
      <w:r>
        <w:t xml:space="preserve"> être évaluer d’une façon fiable) dans le cadre de regroupement l’acquéreur doit les comptabiliser comme (marque de commerce, liste des clients, brevet</w:t>
      </w:r>
      <w:proofErr w:type="gramStart"/>
      <w:r>
        <w:t xml:space="preserve"> ..</w:t>
      </w:r>
      <w:proofErr w:type="gramEnd"/>
      <w:r>
        <w:t>)</w:t>
      </w:r>
    </w:p>
    <w:p w14:paraId="1CA55FB9" w14:textId="1DC8AFD2" w:rsidR="00CD7C3C" w:rsidRDefault="00CD7C3C">
      <w:r>
        <w:t xml:space="preserve">Pour l’impôt différé on utilise l’approche simple </w:t>
      </w:r>
      <w:proofErr w:type="spellStart"/>
      <w:r>
        <w:t>a</w:t>
      </w:r>
      <w:proofErr w:type="spellEnd"/>
      <w:r>
        <w:t xml:space="preserve"> l’EFC soit (JV-VC) *Taux d’impôt la JV et la VC des actifs et des passifs repris attention pense </w:t>
      </w:r>
      <w:proofErr w:type="gramStart"/>
      <w:r>
        <w:t>a</w:t>
      </w:r>
      <w:proofErr w:type="gramEnd"/>
      <w:r>
        <w:t xml:space="preserve"> ce que on a fait </w:t>
      </w:r>
      <w:proofErr w:type="gramStart"/>
      <w:r>
        <w:t>a</w:t>
      </w:r>
      <w:proofErr w:type="gramEnd"/>
      <w:r>
        <w:t xml:space="preserve"> enjeu soit base fiscale et la base comptable donc pour un actif si base fiscale est supérieur à la base fiscale on aura un impôt d’actif différé cependant si on la base fiscale d’un passif est supérieur </w:t>
      </w:r>
      <w:proofErr w:type="gramStart"/>
      <w:r>
        <w:t>a</w:t>
      </w:r>
      <w:proofErr w:type="gramEnd"/>
      <w:r>
        <w:t xml:space="preserve"> la base comptable d’un passif on aura un passif </w:t>
      </w:r>
    </w:p>
    <w:p w14:paraId="25567723" w14:textId="0943011D" w:rsidR="00CD7C3C" w:rsidRDefault="00CD7C3C">
      <w:r>
        <w:t>Placement avec contrôle :</w:t>
      </w:r>
    </w:p>
    <w:p w14:paraId="75B85A3D" w14:textId="26EC9021" w:rsidR="00CD7C3C" w:rsidRDefault="00CD7C3C">
      <w:r>
        <w:t xml:space="preserve">Initialement : les couts de transaction comme l’audit diligent va passer en charge </w:t>
      </w:r>
    </w:p>
    <w:p w14:paraId="20EB665B" w14:textId="61A40C7D" w:rsidR="00CD7C3C" w:rsidRDefault="00CD7C3C">
      <w:r>
        <w:t xml:space="preserve">Et les frais de restructuration aussi </w:t>
      </w:r>
      <w:r w:rsidR="00D66F1E">
        <w:t>ils vont</w:t>
      </w:r>
      <w:r>
        <w:t xml:space="preserve"> passer après donc pas de </w:t>
      </w:r>
      <w:r w:rsidR="00D440D4">
        <w:t>comptabilisation initiale</w:t>
      </w:r>
      <w:r>
        <w:t xml:space="preserve"> </w:t>
      </w:r>
    </w:p>
    <w:p w14:paraId="398B3E9F" w14:textId="3F6E6209" w:rsidR="00CD7C3C" w:rsidRDefault="00D66F1E">
      <w:r>
        <w:t>Une société mère qui est une société d’investissement ne doit présenter ses ÉF si elle a l’</w:t>
      </w:r>
      <w:r w:rsidR="00D440D4">
        <w:t>obligation</w:t>
      </w:r>
      <w:r>
        <w:t xml:space="preserve"> de présenter ses filiales au biais de JVBRN </w:t>
      </w:r>
    </w:p>
    <w:p w14:paraId="6821EBDB" w14:textId="16F6F9AE" w:rsidR="00D66F1E" w:rsidRDefault="00D66F1E">
      <w:r>
        <w:t xml:space="preserve">Les sociétés </w:t>
      </w:r>
      <w:r w:rsidR="00D440D4">
        <w:t>mères ne sont pas</w:t>
      </w:r>
      <w:r>
        <w:t xml:space="preserve"> obliger de présenter des ÉF </w:t>
      </w:r>
      <w:r w:rsidR="00D440D4">
        <w:t>consolidée</w:t>
      </w:r>
      <w:r>
        <w:t xml:space="preserve"> si y’a des conditions qui sont réuni</w:t>
      </w:r>
      <w:r w:rsidR="00D440D4">
        <w:t xml:space="preserve">es </w:t>
      </w:r>
    </w:p>
    <w:p w14:paraId="4B3A6EC4" w14:textId="3FA58FC6" w:rsidR="00D66F1E" w:rsidRDefault="00EA1608">
      <w:r>
        <w:t>Participation ne donnant pas le contrôle</w:t>
      </w:r>
      <w:r w:rsidR="00D440D4">
        <w:t xml:space="preserve"> : pour</w:t>
      </w:r>
      <w:r>
        <w:t xml:space="preserve"> les NCECF </w:t>
      </w:r>
      <w:r w:rsidR="00D440D4">
        <w:t>ont</w:t>
      </w:r>
      <w:r>
        <w:t xml:space="preserve"> le choix </w:t>
      </w:r>
      <w:proofErr w:type="gramStart"/>
      <w:r>
        <w:t xml:space="preserve">de </w:t>
      </w:r>
      <w:r w:rsidRPr="00EA1608">
        <w:t>écart</w:t>
      </w:r>
      <w:proofErr w:type="gramEnd"/>
      <w:r w:rsidRPr="00EA1608">
        <w:t xml:space="preserve"> d’acquisition à juste valeur ou seulement pour part avec contrôle</w:t>
      </w:r>
    </w:p>
    <w:p w14:paraId="7A95DBD3" w14:textId="77777777" w:rsidR="001D5479" w:rsidRPr="001D5479" w:rsidRDefault="001D5479" w:rsidP="001D5479">
      <w:r w:rsidRPr="001D5479">
        <w:t xml:space="preserve">57.5 Différences entre les IFRS et les NCECF </w:t>
      </w:r>
    </w:p>
    <w:p w14:paraId="621F35B8" w14:textId="77777777" w:rsidR="001D5479" w:rsidRPr="001D5479" w:rsidRDefault="001D5479" w:rsidP="001D5479">
      <w:r w:rsidRPr="001D5479">
        <w:t xml:space="preserve">La </w:t>
      </w:r>
      <w:r w:rsidRPr="001D5479">
        <w:rPr>
          <w:highlight w:val="yellow"/>
        </w:rPr>
        <w:t>méthode de l’acquisition</w:t>
      </w:r>
      <w:r w:rsidRPr="001D5479">
        <w:t xml:space="preserve"> s’applique tant selon les IFRS que selon les NCECF. Le processus est le même selon les deux référentiels. </w:t>
      </w:r>
    </w:p>
    <w:p w14:paraId="625CCEA6" w14:textId="77777777" w:rsidR="001D5479" w:rsidRPr="001D5479" w:rsidRDefault="001D5479" w:rsidP="001D5479">
      <w:r w:rsidRPr="001D5479">
        <w:t xml:space="preserve">Toutefois, selon le chapitre 1591, « Filiales », des NCECF, la société mère a le choix d’appliquer plusieurs méthodes pour </w:t>
      </w:r>
      <w:r w:rsidRPr="001D5479">
        <w:rPr>
          <w:highlight w:val="yellow"/>
        </w:rPr>
        <w:t>présenter</w:t>
      </w:r>
      <w:r w:rsidRPr="001D5479">
        <w:t xml:space="preserve"> les informations de sa filiale : </w:t>
      </w:r>
    </w:p>
    <w:p w14:paraId="1D70AB58" w14:textId="3DEB672E" w:rsidR="001D5479" w:rsidRPr="001D5479" w:rsidRDefault="001D5479" w:rsidP="001D5479">
      <w:pPr>
        <w:numPr>
          <w:ilvl w:val="0"/>
          <w:numId w:val="1"/>
        </w:numPr>
      </w:pPr>
      <w:proofErr w:type="gramStart"/>
      <w:r w:rsidRPr="001D5479">
        <w:t>la</w:t>
      </w:r>
      <w:proofErr w:type="gramEnd"/>
      <w:r w:rsidRPr="001D5479">
        <w:t xml:space="preserve"> méthode de l’acquisition (consolidation) </w:t>
      </w:r>
    </w:p>
    <w:p w14:paraId="066A1E2C" w14:textId="77777777" w:rsidR="001D5479" w:rsidRPr="001D5479" w:rsidRDefault="001D5479" w:rsidP="001D5479">
      <w:pPr>
        <w:numPr>
          <w:ilvl w:val="0"/>
          <w:numId w:val="1"/>
        </w:numPr>
      </w:pPr>
      <w:proofErr w:type="gramStart"/>
      <w:r w:rsidRPr="001D5479">
        <w:t>la</w:t>
      </w:r>
      <w:proofErr w:type="gramEnd"/>
      <w:r w:rsidRPr="001D5479">
        <w:t xml:space="preserve"> méthode de la comptabilisation à la valeur de consolidation (mise en équivalence); </w:t>
      </w:r>
    </w:p>
    <w:p w14:paraId="3014313D" w14:textId="77777777" w:rsidR="001D5479" w:rsidRPr="001D5479" w:rsidRDefault="001D5479" w:rsidP="001D5479">
      <w:pPr>
        <w:numPr>
          <w:ilvl w:val="0"/>
          <w:numId w:val="1"/>
        </w:numPr>
      </w:pPr>
      <w:proofErr w:type="gramStart"/>
      <w:r w:rsidRPr="001D5479">
        <w:t>la</w:t>
      </w:r>
      <w:proofErr w:type="gramEnd"/>
      <w:r w:rsidRPr="001D5479">
        <w:t xml:space="preserve"> méthode de la comptabilisation à la valeur d’acquisition (coût) (il convient de noter que, si les actions de la filiale ont un cours de marché sur un marché actif, c’est la juste valeur par le biais du résultat net qui doit être utilisée, et non celle du coût). </w:t>
      </w:r>
    </w:p>
    <w:p w14:paraId="16F61BD8" w14:textId="57343198" w:rsidR="00D66F1E" w:rsidRDefault="00761FE2">
      <w:r>
        <w:t xml:space="preserve">Entreprise commune </w:t>
      </w:r>
    </w:p>
    <w:p w14:paraId="53BCDCB4" w14:textId="4B74CF76" w:rsidR="00761FE2" w:rsidRDefault="00761FE2">
      <w:r>
        <w:t xml:space="preserve">Partenariat </w:t>
      </w:r>
      <w:proofErr w:type="gramStart"/>
      <w:r>
        <w:t>a</w:t>
      </w:r>
      <w:proofErr w:type="gramEnd"/>
      <w:r>
        <w:t xml:space="preserve"> approfondir les deux concepts </w:t>
      </w:r>
    </w:p>
    <w:p w14:paraId="20997633" w14:textId="58D93D83" w:rsidR="00BB6BDF" w:rsidRDefault="00BB6BDF">
      <w:r>
        <w:lastRenderedPageBreak/>
        <w:t xml:space="preserve">Selon le chapitre 1591 Filiales la société mère a le choix entre deux méthodes pour comptabiliser sa participation en filiale soit </w:t>
      </w:r>
    </w:p>
    <w:p w14:paraId="786B0159" w14:textId="3E6EEDCE" w:rsidR="00BB6BDF" w:rsidRDefault="00BB6BDF">
      <w:r w:rsidRPr="00BB6BDF">
        <w:rPr>
          <w:highlight w:val="yellow"/>
        </w:rPr>
        <w:t>Méthode a la valeur consolidation</w:t>
      </w:r>
      <w:r>
        <w:t xml:space="preserve"> (mise en équivalence)</w:t>
      </w:r>
    </w:p>
    <w:p w14:paraId="569AAEE9" w14:textId="7284040B" w:rsidR="00BB6BDF" w:rsidRDefault="00BB6BDF">
      <w:r w:rsidRPr="00BB6BDF">
        <w:rPr>
          <w:highlight w:val="yellow"/>
        </w:rPr>
        <w:t>Méthode a la valeur d’acquisition (cout)</w:t>
      </w:r>
      <w:r>
        <w:t xml:space="preserve"> </w:t>
      </w:r>
    </w:p>
    <w:p w14:paraId="3156F260" w14:textId="10A41A79" w:rsidR="00BB6BDF" w:rsidRDefault="00BB6BDF">
      <w:r>
        <w:t>Note</w:t>
      </w:r>
      <w:proofErr w:type="gramStart"/>
      <w:r>
        <w:t> :a</w:t>
      </w:r>
      <w:proofErr w:type="gramEnd"/>
      <w:r>
        <w:t xml:space="preserve"> recommander selon le besoin des parties prenantes </w:t>
      </w:r>
    </w:p>
    <w:p w14:paraId="62477652" w14:textId="77777777" w:rsidR="005A1E23" w:rsidRDefault="005A1E23"/>
    <w:p w14:paraId="528AFD1E" w14:textId="2F7E5FC2" w:rsidR="005A1E23" w:rsidRDefault="005A1E23">
      <w:pPr>
        <w:rPr>
          <w:b/>
          <w:bCs/>
          <w:color w:val="FF0000"/>
        </w:rPr>
      </w:pPr>
      <w:r>
        <w:t xml:space="preserve">Toute entité doit déterminer si une transaction ou autre événement constitue un </w:t>
      </w:r>
      <w:r w:rsidRPr="005A1E23">
        <w:rPr>
          <w:highlight w:val="yellow"/>
        </w:rPr>
        <w:t>regroupement</w:t>
      </w:r>
      <w:r>
        <w:t xml:space="preserve">   </w:t>
      </w:r>
      <w:r w:rsidRPr="005A1E23">
        <w:rPr>
          <w:b/>
          <w:bCs/>
          <w:highlight w:val="yellow"/>
        </w:rPr>
        <w:t>d’entreprise</w:t>
      </w:r>
      <w:r w:rsidRPr="005A1E23">
        <w:rPr>
          <w:b/>
          <w:bCs/>
        </w:rPr>
        <w:t xml:space="preserve"> </w:t>
      </w:r>
      <w:r>
        <w:rPr>
          <w:b/>
          <w:bCs/>
        </w:rPr>
        <w:t xml:space="preserve">  </w:t>
      </w:r>
      <w:r w:rsidRPr="005A1E23">
        <w:rPr>
          <w:b/>
          <w:bCs/>
          <w:color w:val="FF0000"/>
        </w:rPr>
        <w:t xml:space="preserve">donc avant de se référer aux normes de regroupement et de consolidation on doit déterminer déjà est qu’est un regroupement d’entreprise </w:t>
      </w:r>
    </w:p>
    <w:p w14:paraId="72531919" w14:textId="6CAF8B78" w:rsidR="005A1E23" w:rsidRDefault="005A1E23">
      <w:pPr>
        <w:rPr>
          <w:b/>
          <w:bCs/>
          <w:color w:val="FF0000"/>
        </w:rPr>
      </w:pPr>
      <w:r w:rsidRPr="005A1E23">
        <w:rPr>
          <w:b/>
          <w:bCs/>
          <w:color w:val="000000" w:themeColor="text1"/>
        </w:rPr>
        <w:t xml:space="preserve">La méthode de l’acquisition et la méthode </w:t>
      </w:r>
      <w:r w:rsidRPr="005A1E23">
        <w:rPr>
          <w:b/>
          <w:bCs/>
          <w:color w:val="FF0000"/>
        </w:rPr>
        <w:t xml:space="preserve">a la valeur </w:t>
      </w:r>
      <w:r w:rsidRPr="005A1E23">
        <w:rPr>
          <w:b/>
          <w:bCs/>
          <w:color w:val="FF0000"/>
          <w:highlight w:val="yellow"/>
        </w:rPr>
        <w:t>d’acquisition sont deux méthodes différentes</w:t>
      </w:r>
      <w:r>
        <w:rPr>
          <w:b/>
          <w:bCs/>
          <w:color w:val="FF0000"/>
        </w:rPr>
        <w:t xml:space="preserve"> </w:t>
      </w:r>
    </w:p>
    <w:p w14:paraId="5DA19FE5" w14:textId="0C89E0A1" w:rsidR="005A1E23" w:rsidRDefault="00AB56C0">
      <w:pPr>
        <w:rPr>
          <w:b/>
          <w:bCs/>
          <w:color w:val="FF0000"/>
          <w:sz w:val="32"/>
          <w:szCs w:val="32"/>
        </w:rPr>
      </w:pPr>
      <w:r w:rsidRPr="00AB56C0">
        <w:rPr>
          <w:b/>
          <w:bCs/>
          <w:color w:val="FF0000"/>
          <w:sz w:val="32"/>
          <w:szCs w:val="32"/>
        </w:rPr>
        <w:t>Note</w:t>
      </w:r>
      <w:r>
        <w:rPr>
          <w:b/>
          <w:bCs/>
          <w:color w:val="FF0000"/>
          <w:sz w:val="32"/>
          <w:szCs w:val="32"/>
        </w:rPr>
        <w:t xml:space="preserve"> : attention</w:t>
      </w:r>
      <w:r w:rsidRPr="00AB56C0">
        <w:rPr>
          <w:b/>
          <w:bCs/>
          <w:color w:val="FF0000"/>
          <w:sz w:val="32"/>
          <w:szCs w:val="32"/>
        </w:rPr>
        <w:t xml:space="preserve"> au calcul de l’impôt différé il faut calculer toujours le solde de début si ce n’est pas donner </w:t>
      </w:r>
    </w:p>
    <w:p w14:paraId="3EC2AC6F" w14:textId="0B4A818B" w:rsidR="00BB239A" w:rsidRDefault="00BB239A">
      <w:pPr>
        <w:rPr>
          <w:b/>
          <w:bCs/>
          <w:color w:val="FF0000"/>
          <w:sz w:val="32"/>
          <w:szCs w:val="32"/>
        </w:rPr>
      </w:pPr>
      <w:r>
        <w:rPr>
          <w:b/>
          <w:bCs/>
          <w:color w:val="FF0000"/>
          <w:sz w:val="32"/>
          <w:szCs w:val="32"/>
        </w:rPr>
        <w:t>NCECF l’entité a le choix de présenter ses EF consolidé</w:t>
      </w:r>
    </w:p>
    <w:p w14:paraId="2333C3AE" w14:textId="46BDD646" w:rsidR="00BB239A" w:rsidRDefault="00BB239A">
      <w:pPr>
        <w:rPr>
          <w:b/>
          <w:bCs/>
          <w:color w:val="FF0000"/>
          <w:sz w:val="32"/>
          <w:szCs w:val="32"/>
        </w:rPr>
      </w:pPr>
      <w:r>
        <w:rPr>
          <w:b/>
          <w:bCs/>
          <w:color w:val="FF0000"/>
          <w:sz w:val="32"/>
          <w:szCs w:val="32"/>
        </w:rPr>
        <w:t>IFRS</w:t>
      </w:r>
      <w:proofErr w:type="gramStart"/>
      <w:r>
        <w:rPr>
          <w:b/>
          <w:bCs/>
          <w:color w:val="FF0000"/>
          <w:sz w:val="32"/>
          <w:szCs w:val="32"/>
        </w:rPr>
        <w:t> :l’entité</w:t>
      </w:r>
      <w:proofErr w:type="gramEnd"/>
      <w:r>
        <w:rPr>
          <w:b/>
          <w:bCs/>
          <w:color w:val="FF0000"/>
          <w:sz w:val="32"/>
          <w:szCs w:val="32"/>
        </w:rPr>
        <w:t xml:space="preserve"> a l’obligation de présenter des EF consolidé </w:t>
      </w:r>
    </w:p>
    <w:p w14:paraId="46F9990E" w14:textId="74E8BF95" w:rsidR="00BB239A" w:rsidRDefault="00201E3F">
      <w:pPr>
        <w:rPr>
          <w:b/>
          <w:bCs/>
          <w:color w:val="FF0000"/>
          <w:sz w:val="32"/>
          <w:szCs w:val="32"/>
        </w:rPr>
      </w:pPr>
      <w:r>
        <w:rPr>
          <w:b/>
          <w:bCs/>
          <w:color w:val="FF0000"/>
          <w:sz w:val="32"/>
          <w:szCs w:val="32"/>
        </w:rPr>
        <w:t>La méthode de comptabilisation a la valeur d’acquisition</w:t>
      </w:r>
      <w:proofErr w:type="gramStart"/>
      <w:r>
        <w:rPr>
          <w:b/>
          <w:bCs/>
          <w:color w:val="FF0000"/>
          <w:sz w:val="32"/>
          <w:szCs w:val="32"/>
        </w:rPr>
        <w:t> :présente</w:t>
      </w:r>
      <w:proofErr w:type="gramEnd"/>
      <w:r>
        <w:rPr>
          <w:b/>
          <w:bCs/>
          <w:color w:val="FF0000"/>
          <w:sz w:val="32"/>
          <w:szCs w:val="32"/>
        </w:rPr>
        <w:t xml:space="preserve"> le placement au cout et les dividendes au RN comme revenu de dividende </w:t>
      </w:r>
      <w:r w:rsidR="008B339C">
        <w:rPr>
          <w:b/>
          <w:bCs/>
          <w:color w:val="FF0000"/>
          <w:sz w:val="32"/>
          <w:szCs w:val="32"/>
        </w:rPr>
        <w:t xml:space="preserve">(Réévaluation de montant de participation dans le cas de dépréciation) </w:t>
      </w:r>
    </w:p>
    <w:p w14:paraId="4755F55C" w14:textId="1AB40E6E" w:rsidR="00201E3F" w:rsidRDefault="00201E3F">
      <w:pPr>
        <w:rPr>
          <w:b/>
          <w:bCs/>
          <w:color w:val="FF0000"/>
          <w:sz w:val="32"/>
          <w:szCs w:val="32"/>
        </w:rPr>
      </w:pPr>
      <w:r>
        <w:rPr>
          <w:b/>
          <w:bCs/>
          <w:color w:val="FF0000"/>
          <w:sz w:val="32"/>
          <w:szCs w:val="32"/>
        </w:rPr>
        <w:t xml:space="preserve">La méthode de comptabilisation a la valeur de </w:t>
      </w:r>
      <w:proofErr w:type="spellStart"/>
      <w:r>
        <w:rPr>
          <w:b/>
          <w:bCs/>
          <w:color w:val="FF0000"/>
          <w:sz w:val="32"/>
          <w:szCs w:val="32"/>
        </w:rPr>
        <w:t>consilidation</w:t>
      </w:r>
      <w:proofErr w:type="spellEnd"/>
      <w:proofErr w:type="gramStart"/>
      <w:r>
        <w:rPr>
          <w:b/>
          <w:bCs/>
          <w:color w:val="FF0000"/>
          <w:sz w:val="32"/>
          <w:szCs w:val="32"/>
        </w:rPr>
        <w:t> :présente</w:t>
      </w:r>
      <w:proofErr w:type="gramEnd"/>
      <w:r>
        <w:rPr>
          <w:b/>
          <w:bCs/>
          <w:color w:val="FF0000"/>
          <w:sz w:val="32"/>
          <w:szCs w:val="32"/>
        </w:rPr>
        <w:t xml:space="preserve"> le placement au Cout puis les dividendes réduit la valeur de placement a chaque déclaration </w:t>
      </w:r>
      <w:r w:rsidR="00700BED">
        <w:rPr>
          <w:b/>
          <w:bCs/>
          <w:color w:val="FF0000"/>
          <w:sz w:val="32"/>
          <w:szCs w:val="32"/>
        </w:rPr>
        <w:t xml:space="preserve">de dividende et on augmente </w:t>
      </w:r>
      <w:proofErr w:type="gramStart"/>
      <w:r w:rsidR="00700BED">
        <w:rPr>
          <w:b/>
          <w:bCs/>
          <w:color w:val="FF0000"/>
          <w:sz w:val="32"/>
          <w:szCs w:val="32"/>
        </w:rPr>
        <w:t>le valeur</w:t>
      </w:r>
      <w:proofErr w:type="gramEnd"/>
      <w:r w:rsidR="00700BED">
        <w:rPr>
          <w:b/>
          <w:bCs/>
          <w:color w:val="FF0000"/>
          <w:sz w:val="32"/>
          <w:szCs w:val="32"/>
        </w:rPr>
        <w:t xml:space="preserve"> de placement avec la </w:t>
      </w:r>
      <w:proofErr w:type="spellStart"/>
      <w:r w:rsidR="00700BED">
        <w:rPr>
          <w:b/>
          <w:bCs/>
          <w:color w:val="FF0000"/>
          <w:sz w:val="32"/>
          <w:szCs w:val="32"/>
        </w:rPr>
        <w:t>quote</w:t>
      </w:r>
      <w:proofErr w:type="spellEnd"/>
      <w:r w:rsidR="00700BED">
        <w:rPr>
          <w:b/>
          <w:bCs/>
          <w:color w:val="FF0000"/>
          <w:sz w:val="32"/>
          <w:szCs w:val="32"/>
        </w:rPr>
        <w:t xml:space="preserve"> part de RN de filiale en </w:t>
      </w:r>
      <w:proofErr w:type="spellStart"/>
      <w:r w:rsidR="00700BED">
        <w:rPr>
          <w:b/>
          <w:bCs/>
          <w:color w:val="FF0000"/>
          <w:sz w:val="32"/>
          <w:szCs w:val="32"/>
        </w:rPr>
        <w:t>contre partie</w:t>
      </w:r>
      <w:proofErr w:type="spellEnd"/>
      <w:r w:rsidR="00700BED">
        <w:rPr>
          <w:b/>
          <w:bCs/>
          <w:color w:val="FF0000"/>
          <w:sz w:val="32"/>
          <w:szCs w:val="32"/>
        </w:rPr>
        <w:t xml:space="preserve"> de revenu de participation (attention </w:t>
      </w:r>
      <w:proofErr w:type="spellStart"/>
      <w:r w:rsidR="00700BED">
        <w:rPr>
          <w:b/>
          <w:bCs/>
          <w:color w:val="FF0000"/>
          <w:sz w:val="32"/>
          <w:szCs w:val="32"/>
        </w:rPr>
        <w:t>a</w:t>
      </w:r>
      <w:proofErr w:type="spellEnd"/>
      <w:r w:rsidR="00700BED">
        <w:rPr>
          <w:b/>
          <w:bCs/>
          <w:color w:val="FF0000"/>
          <w:sz w:val="32"/>
          <w:szCs w:val="32"/>
        </w:rPr>
        <w:t xml:space="preserve"> tes mots </w:t>
      </w:r>
      <w:proofErr w:type="gramStart"/>
      <w:r w:rsidR="00700BED">
        <w:rPr>
          <w:b/>
          <w:bCs/>
          <w:color w:val="FF0000"/>
          <w:sz w:val="32"/>
          <w:szCs w:val="32"/>
        </w:rPr>
        <w:t>c’est pas</w:t>
      </w:r>
      <w:proofErr w:type="gramEnd"/>
      <w:r w:rsidR="00700BED">
        <w:rPr>
          <w:b/>
          <w:bCs/>
          <w:color w:val="FF0000"/>
          <w:sz w:val="32"/>
          <w:szCs w:val="32"/>
        </w:rPr>
        <w:t xml:space="preserve"> de placement mais de participation) </w:t>
      </w:r>
    </w:p>
    <w:p w14:paraId="7F0EC77F" w14:textId="6ED75987" w:rsidR="001B0709" w:rsidRDefault="001B0709">
      <w:pPr>
        <w:rPr>
          <w:b/>
          <w:bCs/>
          <w:color w:val="FF0000"/>
          <w:sz w:val="32"/>
          <w:szCs w:val="32"/>
        </w:rPr>
      </w:pPr>
      <w:r>
        <w:rPr>
          <w:b/>
          <w:bCs/>
          <w:color w:val="FF0000"/>
          <w:sz w:val="32"/>
          <w:szCs w:val="32"/>
        </w:rPr>
        <w:t xml:space="preserve">On peut définir le contrôle comme </w:t>
      </w:r>
      <w:proofErr w:type="spellStart"/>
      <w:r>
        <w:rPr>
          <w:b/>
          <w:bCs/>
          <w:color w:val="FF0000"/>
          <w:sz w:val="32"/>
          <w:szCs w:val="32"/>
        </w:rPr>
        <w:t>aquisition</w:t>
      </w:r>
      <w:proofErr w:type="spellEnd"/>
      <w:r>
        <w:rPr>
          <w:b/>
          <w:bCs/>
          <w:color w:val="FF0000"/>
          <w:sz w:val="32"/>
          <w:szCs w:val="32"/>
        </w:rPr>
        <w:t xml:space="preserve"> de la totalité des actions ordinaire (parle de définition de politique stratégique </w:t>
      </w:r>
      <w:r>
        <w:rPr>
          <w:b/>
          <w:bCs/>
          <w:color w:val="FF0000"/>
          <w:sz w:val="32"/>
          <w:szCs w:val="32"/>
        </w:rPr>
        <w:lastRenderedPageBreak/>
        <w:t xml:space="preserve">sans l’intervention d’un </w:t>
      </w:r>
      <w:proofErr w:type="gramStart"/>
      <w:r>
        <w:rPr>
          <w:b/>
          <w:bCs/>
          <w:color w:val="FF0000"/>
          <w:sz w:val="32"/>
          <w:szCs w:val="32"/>
        </w:rPr>
        <w:t>tiers)mieux</w:t>
      </w:r>
      <w:proofErr w:type="gramEnd"/>
      <w:r>
        <w:rPr>
          <w:b/>
          <w:bCs/>
          <w:color w:val="FF0000"/>
          <w:sz w:val="32"/>
          <w:szCs w:val="32"/>
        </w:rPr>
        <w:t xml:space="preserve"> que d’analyser les critères de chapitre 1591 Filiale </w:t>
      </w:r>
    </w:p>
    <w:p w14:paraId="2575BFE6" w14:textId="77777777" w:rsidR="00EA7511" w:rsidRDefault="00EA7511">
      <w:pPr>
        <w:rPr>
          <w:b/>
          <w:bCs/>
          <w:color w:val="FF0000"/>
          <w:sz w:val="32"/>
          <w:szCs w:val="32"/>
        </w:rPr>
      </w:pPr>
    </w:p>
    <w:p w14:paraId="589D65D0" w14:textId="606BA434" w:rsidR="00EA7511" w:rsidRDefault="00EA7511">
      <w:pPr>
        <w:rPr>
          <w:b/>
          <w:bCs/>
          <w:color w:val="FF0000"/>
          <w:sz w:val="32"/>
          <w:szCs w:val="32"/>
        </w:rPr>
      </w:pPr>
      <w:r>
        <w:rPr>
          <w:b/>
          <w:bCs/>
          <w:color w:val="FF0000"/>
          <w:sz w:val="32"/>
          <w:szCs w:val="32"/>
        </w:rPr>
        <w:t xml:space="preserve">Pour la comptabilisation initiale on utilise le chapitre regroupement et le norme regroupement </w:t>
      </w:r>
    </w:p>
    <w:p w14:paraId="0EF65D4D" w14:textId="548C4C7B" w:rsidR="00EA7511" w:rsidRDefault="00EA7511">
      <w:pPr>
        <w:rPr>
          <w:b/>
          <w:bCs/>
          <w:color w:val="FF0000"/>
          <w:sz w:val="32"/>
          <w:szCs w:val="32"/>
        </w:rPr>
      </w:pPr>
      <w:r>
        <w:rPr>
          <w:b/>
          <w:bCs/>
          <w:color w:val="FF0000"/>
          <w:sz w:val="32"/>
          <w:szCs w:val="32"/>
        </w:rPr>
        <w:t xml:space="preserve">Lorsque on parle de comptabilisation de contre partie a la JV si y’a </w:t>
      </w:r>
      <w:proofErr w:type="gramStart"/>
      <w:r>
        <w:rPr>
          <w:b/>
          <w:bCs/>
          <w:color w:val="FF0000"/>
          <w:sz w:val="32"/>
          <w:szCs w:val="32"/>
        </w:rPr>
        <w:t>des paiement ultérieur</w:t>
      </w:r>
      <w:proofErr w:type="gramEnd"/>
      <w:r>
        <w:rPr>
          <w:b/>
          <w:bCs/>
          <w:color w:val="FF0000"/>
          <w:sz w:val="32"/>
          <w:szCs w:val="32"/>
        </w:rPr>
        <w:t xml:space="preserve"> on doit actualiser </w:t>
      </w:r>
    </w:p>
    <w:p w14:paraId="4E27E47B" w14:textId="77777777" w:rsidR="001B0709" w:rsidRDefault="001B0709">
      <w:pPr>
        <w:rPr>
          <w:b/>
          <w:bCs/>
          <w:color w:val="FF0000"/>
          <w:sz w:val="32"/>
          <w:szCs w:val="32"/>
        </w:rPr>
      </w:pPr>
    </w:p>
    <w:p w14:paraId="60669C0B" w14:textId="77777777" w:rsidR="001B0709" w:rsidRDefault="001B0709">
      <w:pPr>
        <w:rPr>
          <w:b/>
          <w:bCs/>
          <w:color w:val="FF0000"/>
          <w:sz w:val="32"/>
          <w:szCs w:val="32"/>
        </w:rPr>
      </w:pPr>
    </w:p>
    <w:p w14:paraId="5CAD8500" w14:textId="77777777" w:rsidR="00700BED" w:rsidRDefault="00700BED">
      <w:pPr>
        <w:rPr>
          <w:b/>
          <w:bCs/>
          <w:color w:val="FF0000"/>
          <w:sz w:val="32"/>
          <w:szCs w:val="32"/>
        </w:rPr>
      </w:pPr>
    </w:p>
    <w:p w14:paraId="49D588F7" w14:textId="77777777" w:rsidR="00AB56C0" w:rsidRPr="00AB56C0" w:rsidRDefault="00AB56C0">
      <w:pPr>
        <w:rPr>
          <w:b/>
          <w:bCs/>
          <w:color w:val="FF0000"/>
          <w:sz w:val="32"/>
          <w:szCs w:val="32"/>
        </w:rPr>
      </w:pPr>
    </w:p>
    <w:sectPr w:rsidR="00AB56C0" w:rsidRPr="00AB56C0">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8BC967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635721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75C"/>
    <w:rsid w:val="001B0709"/>
    <w:rsid w:val="001D5479"/>
    <w:rsid w:val="00201E3F"/>
    <w:rsid w:val="00211625"/>
    <w:rsid w:val="005A1E23"/>
    <w:rsid w:val="005D71B5"/>
    <w:rsid w:val="00700BED"/>
    <w:rsid w:val="00761FE2"/>
    <w:rsid w:val="008607E6"/>
    <w:rsid w:val="008B339C"/>
    <w:rsid w:val="00AB56C0"/>
    <w:rsid w:val="00BB239A"/>
    <w:rsid w:val="00BB6BDF"/>
    <w:rsid w:val="00C913F1"/>
    <w:rsid w:val="00CD7C3C"/>
    <w:rsid w:val="00D440D4"/>
    <w:rsid w:val="00D66F1E"/>
    <w:rsid w:val="00D7375C"/>
    <w:rsid w:val="00E8771B"/>
    <w:rsid w:val="00EA1608"/>
    <w:rsid w:val="00EA7511"/>
    <w:rsid w:val="00FD159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58CD1"/>
  <w15:chartTrackingRefBased/>
  <w15:docId w15:val="{F2BA4E85-2B77-4126-B295-CA021F5DC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737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737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7375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7375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7375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7375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7375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7375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7375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7375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7375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7375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7375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7375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7375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7375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7375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7375C"/>
    <w:rPr>
      <w:rFonts w:eastAsiaTheme="majorEastAsia" w:cstheme="majorBidi"/>
      <w:color w:val="272727" w:themeColor="text1" w:themeTint="D8"/>
    </w:rPr>
  </w:style>
  <w:style w:type="paragraph" w:styleId="Titre">
    <w:name w:val="Title"/>
    <w:basedOn w:val="Normal"/>
    <w:next w:val="Normal"/>
    <w:link w:val="TitreCar"/>
    <w:uiPriority w:val="10"/>
    <w:qFormat/>
    <w:rsid w:val="00D737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7375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7375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7375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7375C"/>
    <w:pPr>
      <w:spacing w:before="160"/>
      <w:jc w:val="center"/>
    </w:pPr>
    <w:rPr>
      <w:i/>
      <w:iCs/>
      <w:color w:val="404040" w:themeColor="text1" w:themeTint="BF"/>
    </w:rPr>
  </w:style>
  <w:style w:type="character" w:customStyle="1" w:styleId="CitationCar">
    <w:name w:val="Citation Car"/>
    <w:basedOn w:val="Policepardfaut"/>
    <w:link w:val="Citation"/>
    <w:uiPriority w:val="29"/>
    <w:rsid w:val="00D7375C"/>
    <w:rPr>
      <w:i/>
      <w:iCs/>
      <w:color w:val="404040" w:themeColor="text1" w:themeTint="BF"/>
    </w:rPr>
  </w:style>
  <w:style w:type="paragraph" w:styleId="Paragraphedeliste">
    <w:name w:val="List Paragraph"/>
    <w:basedOn w:val="Normal"/>
    <w:uiPriority w:val="34"/>
    <w:qFormat/>
    <w:rsid w:val="00D7375C"/>
    <w:pPr>
      <w:ind w:left="720"/>
      <w:contextualSpacing/>
    </w:pPr>
  </w:style>
  <w:style w:type="character" w:styleId="Accentuationintense">
    <w:name w:val="Intense Emphasis"/>
    <w:basedOn w:val="Policepardfaut"/>
    <w:uiPriority w:val="21"/>
    <w:qFormat/>
    <w:rsid w:val="00D7375C"/>
    <w:rPr>
      <w:i/>
      <w:iCs/>
      <w:color w:val="0F4761" w:themeColor="accent1" w:themeShade="BF"/>
    </w:rPr>
  </w:style>
  <w:style w:type="paragraph" w:styleId="Citationintense">
    <w:name w:val="Intense Quote"/>
    <w:basedOn w:val="Normal"/>
    <w:next w:val="Normal"/>
    <w:link w:val="CitationintenseCar"/>
    <w:uiPriority w:val="30"/>
    <w:qFormat/>
    <w:rsid w:val="00D737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7375C"/>
    <w:rPr>
      <w:i/>
      <w:iCs/>
      <w:color w:val="0F4761" w:themeColor="accent1" w:themeShade="BF"/>
    </w:rPr>
  </w:style>
  <w:style w:type="character" w:styleId="Rfrenceintense">
    <w:name w:val="Intense Reference"/>
    <w:basedOn w:val="Policepardfaut"/>
    <w:uiPriority w:val="32"/>
    <w:qFormat/>
    <w:rsid w:val="00D737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1243</TotalTime>
  <Pages>1</Pages>
  <Words>646</Words>
  <Characters>3553</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SOKRI Marzouk</dc:creator>
  <cp:keywords/>
  <dc:description/>
  <cp:lastModifiedBy>SOKRI Marzouk</cp:lastModifiedBy>
  <cp:revision>3</cp:revision>
  <dcterms:created xsi:type="dcterms:W3CDTF">2025-04-17T20:26:00Z</dcterms:created>
  <dcterms:modified xsi:type="dcterms:W3CDTF">2025-04-18T23:04:00Z</dcterms:modified>
</cp:coreProperties>
</file>