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C7BB" w14:textId="77777777" w:rsidR="007E317C" w:rsidRDefault="007E317C" w:rsidP="007E317C">
      <w:pPr>
        <w:pStyle w:val="Title"/>
      </w:pPr>
      <w:r>
        <w:t>iHSL to RGB VHDL Module Technical Overview</w:t>
      </w:r>
    </w:p>
    <w:p w14:paraId="624F9505" w14:textId="77777777" w:rsidR="007E317C" w:rsidRDefault="007E317C" w:rsidP="007E317C">
      <w:pPr>
        <w:pStyle w:val="Heading1"/>
      </w:pPr>
      <w:r>
        <w:t>Introduction</w:t>
      </w:r>
    </w:p>
    <w:p w14:paraId="6EB34114" w14:textId="77777777" w:rsidR="007E317C" w:rsidRDefault="007E317C" w:rsidP="007E317C">
      <w:r w:rsidRPr="007E317C">
        <w:t>This document presents a detailed technical overview of the iHSL to RGB VHDL module. The module is specifically engineered to convert 24-bit HSV (Hue, Saturation, Value) or HSL (Hue, Saturation, Lightness) pixel streams into 24-bit RGB (Red, Green, Blue) pixel streams. Its design ensures compatibility with systems that use either HSV or HSL color representations.</w:t>
      </w:r>
    </w:p>
    <w:p w14:paraId="15CEDCAC" w14:textId="77777777" w:rsidR="007E317C" w:rsidRDefault="007E317C" w:rsidP="007E317C">
      <w:pPr>
        <w:pStyle w:val="Heading2"/>
      </w:pPr>
      <w:r>
        <w:t>Real-Time Video Processing</w:t>
      </w:r>
    </w:p>
    <w:p w14:paraId="07FAD429" w14:textId="77777777" w:rsidR="007E317C" w:rsidRDefault="007E317C" w:rsidP="007E317C">
      <w:r w:rsidRPr="007E317C">
        <w:t>The iHSL to RGB module is optimized for real-time video applications. It maintains video synchronization sidebands throughout the conversion process, ensuring accurate timing and data integrity in video streams.</w:t>
      </w:r>
    </w:p>
    <w:p w14:paraId="793D37EE" w14:textId="77777777" w:rsidR="007E317C" w:rsidRDefault="007E317C" w:rsidP="007E317C">
      <w:pPr>
        <w:pStyle w:val="Heading2"/>
      </w:pPr>
      <w:r>
        <w:t>Performance</w:t>
      </w:r>
    </w:p>
    <w:p w14:paraId="4088EC07" w14:textId="33986A92" w:rsidR="007E317C" w:rsidRPr="007E317C" w:rsidRDefault="007E317C" w:rsidP="007E317C">
      <w:r w:rsidRPr="007E317C">
        <w:t>Engineered for efficiency, the module achieves a throughput of one pixel per clock cycle. The conversion process introduces a latency ranging from 4 to 7 cycles, making it suitable for high-performance video processing environments where minimal delay is essential.</w:t>
      </w:r>
    </w:p>
    <w:p w14:paraId="43595559" w14:textId="77777777" w:rsidR="007E317C" w:rsidRDefault="007E317C" w:rsidP="007E317C">
      <w:pPr>
        <w:pStyle w:val="Heading2"/>
      </w:pPr>
      <w:r>
        <w:t>Module Overview and Interface</w:t>
      </w:r>
    </w:p>
    <w:p w14:paraId="66867C89" w14:textId="77777777" w:rsidR="007E317C" w:rsidRDefault="007E317C" w:rsidP="007E317C">
      <w:r w:rsidRPr="007E317C">
        <w:t>The module is designed to accept inputs in either HSV (Hue, Saturation, Value) or HSL (Hue, Saturation, Lightness) formats. It features automatic detection of the input format by examining the lowest byte, which indicates whether the data represents Value or Lightness. The module's inputs consist of clock and reset signals, in addition to the iHSL data channel. This data channel also includes various sidebands, such as valid, start of frame (sof), end of frame (eof), and end of line (eol). The output is provided through the oRGB data channel, which transmits the RGB data synchronized with the corresponding sideband signals and contains 8-bit channels for each of the red, green, and blue components.</w:t>
      </w:r>
    </w:p>
    <w:p w14:paraId="4763D7D6" w14:textId="77777777" w:rsidR="007E317C" w:rsidRDefault="007E317C" w:rsidP="007E317C">
      <w:pPr>
        <w:pStyle w:val="Heading2"/>
      </w:pPr>
      <w:r>
        <w:t>Processing Pipeline</w:t>
      </w:r>
    </w:p>
    <w:p w14:paraId="06206376" w14:textId="77777777" w:rsidR="007E317C" w:rsidRDefault="007E317C" w:rsidP="007E317C">
      <w:r w:rsidRPr="007E317C">
        <w:t>The conversion operation is carried out using a fully pipelined architecture, which is organized into four distinct stages for efficient processing.</w:t>
      </w:r>
    </w:p>
    <w:p w14:paraId="7C45D7DD" w14:textId="77777777" w:rsidR="007E317C" w:rsidRDefault="007E317C" w:rsidP="007E317C">
      <w:pPr>
        <w:pStyle w:val="Heading3"/>
      </w:pPr>
      <w:r>
        <w:lastRenderedPageBreak/>
        <w:t>Stage 0 — Unpack &amp; Normalize</w:t>
      </w:r>
    </w:p>
    <w:p w14:paraId="099AAFB2" w14:textId="77777777" w:rsidR="007E317C" w:rsidRDefault="007E317C" w:rsidP="007E317C">
      <w:pPr>
        <w:pStyle w:val="ListParagraph"/>
        <w:numPr>
          <w:ilvl w:val="0"/>
          <w:numId w:val="6"/>
        </w:numPr>
      </w:pPr>
      <w:r w:rsidRPr="007E317C">
        <w:t>Extracts the H, S, and V/L components from the input data.</w:t>
      </w:r>
    </w:p>
    <w:p w14:paraId="6215A51C" w14:textId="77777777" w:rsidR="007E317C" w:rsidRDefault="007E317C" w:rsidP="007E317C">
      <w:pPr>
        <w:pStyle w:val="ListParagraph"/>
        <w:numPr>
          <w:ilvl w:val="0"/>
          <w:numId w:val="6"/>
        </w:numPr>
      </w:pPr>
      <w:r w:rsidRPr="007E317C">
        <w:t>Determines the hue sector by performing an integer division of the hue (H) value by 43.</w:t>
      </w:r>
    </w:p>
    <w:p w14:paraId="2A04DB5D" w14:textId="4D0F6154" w:rsidR="007E317C" w:rsidRPr="007E317C" w:rsidRDefault="007E317C" w:rsidP="007E317C">
      <w:pPr>
        <w:pStyle w:val="ListParagraph"/>
        <w:numPr>
          <w:ilvl w:val="0"/>
          <w:numId w:val="6"/>
        </w:numPr>
      </w:pPr>
      <w:r w:rsidRPr="007E317C">
        <w:t>Calculates the phase within the hue sector as the remainder of H divided by 43 (i.e., H modulo 43).</w:t>
      </w:r>
    </w:p>
    <w:p w14:paraId="31B4FD92" w14:textId="54430432" w:rsidR="007E317C" w:rsidRDefault="007E317C" w:rsidP="007E317C">
      <w:pPr>
        <w:pStyle w:val="NormalWeb"/>
        <w:rPr>
          <w:kern w:val="0"/>
          <w14:ligatures w14:val="none"/>
        </w:rPr>
      </w:pPr>
      <w:r>
        <w:t>ng a throughput of one pixel per clock cycle with a latency between 4 and 7 cycles .</w:t>
      </w:r>
    </w:p>
    <w:p w14:paraId="0770A382" w14:textId="77777777" w:rsidR="007E317C" w:rsidRDefault="007E317C" w:rsidP="007E317C">
      <w:pPr>
        <w:pStyle w:val="Heading2"/>
        <w:rPr>
          <w:rFonts w:eastAsia="Times New Roman"/>
        </w:rPr>
      </w:pPr>
      <w:r>
        <w:rPr>
          <w:rFonts w:eastAsia="Times New Roman"/>
        </w:rPr>
        <w:t>Module Overview and Interface</w:t>
      </w:r>
    </w:p>
    <w:p w14:paraId="073D610F" w14:textId="77777777" w:rsidR="007E317C" w:rsidRDefault="007E317C" w:rsidP="007E317C">
      <w:pPr>
        <w:pStyle w:val="NormalWeb"/>
      </w:pPr>
      <w:r>
        <w:t>The module accepts input in either HSV (Hue, Saturation, Value) or HSL (Hue, Saturation, Lightness) format. It automatically detects the input format based on the lowest byte, which represents either Value or Lightness. The inputs include clock and reset signals along with the iHSL data channel that carries sidebands such as valid, start of frame (sof), end of frame (eof), and end of line (eol). The output is an oRGB data channel with synchronized sidebands and 8-bit R, G, and B channels .</w:t>
      </w:r>
    </w:p>
    <w:p w14:paraId="58C14414" w14:textId="77777777" w:rsidR="007E317C" w:rsidRDefault="007E317C" w:rsidP="007E317C">
      <w:pPr>
        <w:pStyle w:val="Heading2"/>
        <w:rPr>
          <w:rFonts w:eastAsia="Times New Roman"/>
        </w:rPr>
      </w:pPr>
      <w:r>
        <w:rPr>
          <w:rFonts w:eastAsia="Times New Roman"/>
        </w:rPr>
        <w:t>Processing Pipeline</w:t>
      </w:r>
    </w:p>
    <w:p w14:paraId="095DA5FC" w14:textId="77777777" w:rsidR="007E317C" w:rsidRDefault="007E317C" w:rsidP="007E317C">
      <w:pPr>
        <w:pStyle w:val="NormalWeb"/>
      </w:pPr>
      <w:r>
        <w:t>The conversion process is implemented through a fully pipelined architecture divided into four main stages:</w:t>
      </w:r>
    </w:p>
    <w:p w14:paraId="68B56B8B" w14:textId="77777777" w:rsidR="007E317C" w:rsidRDefault="007E317C" w:rsidP="007E317C">
      <w:pPr>
        <w:pStyle w:val="Heading3"/>
        <w:rPr>
          <w:rFonts w:eastAsia="Times New Roman"/>
        </w:rPr>
      </w:pPr>
      <w:r>
        <w:rPr>
          <w:rFonts w:eastAsia="Times New Roman"/>
        </w:rPr>
        <w:t>Stage 0 — Unpack &amp; Normalize</w:t>
      </w:r>
    </w:p>
    <w:p w14:paraId="12EB99C7" w14:textId="77777777" w:rsidR="007E317C" w:rsidRDefault="007E317C" w:rsidP="007E317C">
      <w:pPr>
        <w:numPr>
          <w:ilvl w:val="0"/>
          <w:numId w:val="1"/>
        </w:numPr>
        <w:spacing w:before="100" w:beforeAutospacing="1" w:after="100" w:afterAutospacing="1"/>
        <w:rPr>
          <w:rFonts w:eastAsia="Times New Roman"/>
        </w:rPr>
      </w:pPr>
      <w:r>
        <w:rPr>
          <w:rFonts w:eastAsia="Times New Roman"/>
        </w:rPr>
        <w:t>Extracts the H, S, and V/L components.</w:t>
      </w:r>
    </w:p>
    <w:p w14:paraId="73771871" w14:textId="77777777" w:rsidR="007E317C" w:rsidRDefault="007E317C" w:rsidP="007E317C">
      <w:pPr>
        <w:numPr>
          <w:ilvl w:val="0"/>
          <w:numId w:val="1"/>
        </w:numPr>
        <w:spacing w:before="100" w:beforeAutospacing="1" w:after="100" w:afterAutospacing="1"/>
        <w:rPr>
          <w:rFonts w:eastAsia="Times New Roman"/>
        </w:rPr>
      </w:pPr>
      <w:r>
        <w:rPr>
          <w:rFonts w:eastAsia="Times New Roman"/>
        </w:rPr>
        <w:t>Computes the hue sector as the integer division of H by 43.</w:t>
      </w:r>
    </w:p>
    <w:p w14:paraId="3AF1AD3F" w14:textId="77777777" w:rsidR="007E317C" w:rsidRDefault="007E317C" w:rsidP="007E317C">
      <w:pPr>
        <w:numPr>
          <w:ilvl w:val="0"/>
          <w:numId w:val="1"/>
        </w:numPr>
        <w:spacing w:before="100" w:beforeAutospacing="1" w:after="100" w:afterAutospacing="1"/>
        <w:rPr>
          <w:rFonts w:eastAsia="Times New Roman"/>
        </w:rPr>
      </w:pPr>
      <w:r>
        <w:rPr>
          <w:rFonts w:eastAsia="Times New Roman"/>
        </w:rPr>
        <w:t>Computes the phase within the hue sector as H modulo 43 .</w:t>
      </w:r>
    </w:p>
    <w:p w14:paraId="64903003" w14:textId="77777777" w:rsidR="007E317C" w:rsidRDefault="007E317C" w:rsidP="007E317C">
      <w:pPr>
        <w:pStyle w:val="Heading3"/>
        <w:rPr>
          <w:rFonts w:eastAsia="Times New Roman"/>
        </w:rPr>
      </w:pPr>
      <w:r>
        <w:rPr>
          <w:rFonts w:eastAsia="Times New Roman"/>
        </w:rPr>
        <w:t>Stage 1 — Core Term Calculations</w:t>
      </w:r>
    </w:p>
    <w:p w14:paraId="0A8ED309"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For HSV input:</w:t>
      </w:r>
    </w:p>
    <w:p w14:paraId="2442C1FC"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Calculates m as (V × (255 − S)) shifted right by 8 bits.</w:t>
      </w:r>
    </w:p>
    <w:p w14:paraId="30189F7D"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Computes C as V minus m.</w:t>
      </w:r>
    </w:p>
    <w:p w14:paraId="3BAB4811"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Determines Xint as (C × H_phase) divided by 43.</w:t>
      </w:r>
    </w:p>
    <w:p w14:paraId="34F87CDB"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For HSL input:</w:t>
      </w:r>
    </w:p>
    <w:p w14:paraId="3BDABEBE"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Assigns L from the input.</w:t>
      </w:r>
    </w:p>
    <w:p w14:paraId="51D4490D"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Calculates C as ((255 − |2L − 255|) × S) shifted right by 8 bits.</w:t>
      </w:r>
    </w:p>
    <w:p w14:paraId="5803633E"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Computes Xint as (C × H_phase) divided by 43.</w:t>
      </w:r>
    </w:p>
    <w:p w14:paraId="15033477" w14:textId="77777777" w:rsidR="007E317C" w:rsidRDefault="007E317C" w:rsidP="007E317C">
      <w:pPr>
        <w:numPr>
          <w:ilvl w:val="0"/>
          <w:numId w:val="2"/>
        </w:numPr>
        <w:spacing w:before="100" w:beforeAutospacing="1" w:after="100" w:afterAutospacing="1"/>
        <w:rPr>
          <w:rFonts w:eastAsia="Times New Roman"/>
        </w:rPr>
      </w:pPr>
      <w:r>
        <w:rPr>
          <w:rFonts w:eastAsia="Times New Roman"/>
        </w:rPr>
        <w:t>Calculates m as L minus half of C .</w:t>
      </w:r>
    </w:p>
    <w:p w14:paraId="37008522" w14:textId="77777777" w:rsidR="007E317C" w:rsidRDefault="007E317C" w:rsidP="007E317C">
      <w:pPr>
        <w:pStyle w:val="Heading3"/>
        <w:rPr>
          <w:rFonts w:eastAsia="Times New Roman"/>
        </w:rPr>
      </w:pPr>
      <w:r>
        <w:rPr>
          <w:rFonts w:eastAsia="Times New Roman"/>
        </w:rPr>
        <w:t>Stage 2 — Sector Multiplexer</w:t>
      </w:r>
    </w:p>
    <w:p w14:paraId="2A004344" w14:textId="77777777" w:rsidR="007E317C" w:rsidRDefault="007E317C" w:rsidP="007E317C">
      <w:pPr>
        <w:pStyle w:val="NormalWeb"/>
      </w:pPr>
      <w:r>
        <w:t>Assigns temporary color values (r′, g′, b′) based on the hue sector according to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460"/>
        <w:gridCol w:w="460"/>
        <w:gridCol w:w="475"/>
      </w:tblGrid>
      <w:tr w:rsidR="007E317C" w14:paraId="55A66846" w14:textId="77777777" w:rsidTr="00BA2714">
        <w:trPr>
          <w:tblHeader/>
          <w:tblCellSpacing w:w="15" w:type="dxa"/>
        </w:trPr>
        <w:tc>
          <w:tcPr>
            <w:tcW w:w="0" w:type="auto"/>
            <w:vAlign w:val="center"/>
            <w:hideMark/>
          </w:tcPr>
          <w:p w14:paraId="67216057" w14:textId="77777777" w:rsidR="007E317C" w:rsidRDefault="007E317C" w:rsidP="00BA2714">
            <w:pPr>
              <w:jc w:val="center"/>
              <w:rPr>
                <w:rFonts w:eastAsia="Times New Roman"/>
                <w:b/>
                <w:bCs/>
              </w:rPr>
            </w:pPr>
            <w:r>
              <w:rPr>
                <w:rFonts w:eastAsia="Times New Roman"/>
                <w:b/>
                <w:bCs/>
              </w:rPr>
              <w:t>Sector</w:t>
            </w:r>
          </w:p>
        </w:tc>
        <w:tc>
          <w:tcPr>
            <w:tcW w:w="0" w:type="auto"/>
            <w:vAlign w:val="center"/>
            <w:hideMark/>
          </w:tcPr>
          <w:p w14:paraId="0679E53E" w14:textId="77777777" w:rsidR="007E317C" w:rsidRDefault="007E317C" w:rsidP="00BA2714">
            <w:pPr>
              <w:jc w:val="center"/>
              <w:rPr>
                <w:rFonts w:eastAsia="Times New Roman"/>
                <w:b/>
                <w:bCs/>
              </w:rPr>
            </w:pPr>
            <w:r>
              <w:rPr>
                <w:rFonts w:eastAsia="Times New Roman"/>
                <w:b/>
                <w:bCs/>
              </w:rPr>
              <w:t>r′</w:t>
            </w:r>
          </w:p>
        </w:tc>
        <w:tc>
          <w:tcPr>
            <w:tcW w:w="0" w:type="auto"/>
            <w:vAlign w:val="center"/>
            <w:hideMark/>
          </w:tcPr>
          <w:p w14:paraId="0D5C23C3" w14:textId="77777777" w:rsidR="007E317C" w:rsidRDefault="007E317C" w:rsidP="00BA2714">
            <w:pPr>
              <w:jc w:val="center"/>
              <w:rPr>
                <w:rFonts w:eastAsia="Times New Roman"/>
                <w:b/>
                <w:bCs/>
              </w:rPr>
            </w:pPr>
            <w:r>
              <w:rPr>
                <w:rFonts w:eastAsia="Times New Roman"/>
                <w:b/>
                <w:bCs/>
              </w:rPr>
              <w:t>g′</w:t>
            </w:r>
          </w:p>
        </w:tc>
        <w:tc>
          <w:tcPr>
            <w:tcW w:w="0" w:type="auto"/>
            <w:vAlign w:val="center"/>
            <w:hideMark/>
          </w:tcPr>
          <w:p w14:paraId="22D4B813" w14:textId="77777777" w:rsidR="007E317C" w:rsidRDefault="007E317C" w:rsidP="00BA2714">
            <w:pPr>
              <w:jc w:val="center"/>
              <w:rPr>
                <w:rFonts w:eastAsia="Times New Roman"/>
                <w:b/>
                <w:bCs/>
              </w:rPr>
            </w:pPr>
            <w:r>
              <w:rPr>
                <w:rFonts w:eastAsia="Times New Roman"/>
                <w:b/>
                <w:bCs/>
              </w:rPr>
              <w:t>b′</w:t>
            </w:r>
          </w:p>
        </w:tc>
      </w:tr>
      <w:tr w:rsidR="007E317C" w14:paraId="58181FD4" w14:textId="77777777" w:rsidTr="00BA2714">
        <w:trPr>
          <w:tblCellSpacing w:w="15" w:type="dxa"/>
        </w:trPr>
        <w:tc>
          <w:tcPr>
            <w:tcW w:w="0" w:type="auto"/>
            <w:vAlign w:val="center"/>
            <w:hideMark/>
          </w:tcPr>
          <w:p w14:paraId="6BFB282F" w14:textId="77777777" w:rsidR="007E317C" w:rsidRDefault="007E317C" w:rsidP="00BA2714">
            <w:pPr>
              <w:rPr>
                <w:rFonts w:eastAsia="Times New Roman"/>
              </w:rPr>
            </w:pPr>
            <w:r>
              <w:rPr>
                <w:rFonts w:eastAsia="Times New Roman"/>
              </w:rPr>
              <w:t>0</w:t>
            </w:r>
          </w:p>
        </w:tc>
        <w:tc>
          <w:tcPr>
            <w:tcW w:w="0" w:type="auto"/>
            <w:vAlign w:val="center"/>
            <w:hideMark/>
          </w:tcPr>
          <w:p w14:paraId="1D417C5A" w14:textId="77777777" w:rsidR="007E317C" w:rsidRDefault="007E317C" w:rsidP="00BA2714">
            <w:pPr>
              <w:rPr>
                <w:rFonts w:eastAsia="Times New Roman"/>
              </w:rPr>
            </w:pPr>
            <w:r>
              <w:rPr>
                <w:rFonts w:eastAsia="Times New Roman"/>
              </w:rPr>
              <w:t>C</w:t>
            </w:r>
          </w:p>
        </w:tc>
        <w:tc>
          <w:tcPr>
            <w:tcW w:w="0" w:type="auto"/>
            <w:vAlign w:val="center"/>
            <w:hideMark/>
          </w:tcPr>
          <w:p w14:paraId="744C441C" w14:textId="77777777" w:rsidR="007E317C" w:rsidRDefault="007E317C" w:rsidP="00BA2714">
            <w:pPr>
              <w:rPr>
                <w:rFonts w:eastAsia="Times New Roman"/>
              </w:rPr>
            </w:pPr>
            <w:r>
              <w:rPr>
                <w:rFonts w:eastAsia="Times New Roman"/>
              </w:rPr>
              <w:t>Xint</w:t>
            </w:r>
          </w:p>
        </w:tc>
        <w:tc>
          <w:tcPr>
            <w:tcW w:w="0" w:type="auto"/>
            <w:vAlign w:val="center"/>
            <w:hideMark/>
          </w:tcPr>
          <w:p w14:paraId="2CDDE7F3" w14:textId="77777777" w:rsidR="007E317C" w:rsidRDefault="007E317C" w:rsidP="00BA2714">
            <w:pPr>
              <w:rPr>
                <w:rFonts w:eastAsia="Times New Roman"/>
              </w:rPr>
            </w:pPr>
            <w:r>
              <w:rPr>
                <w:rFonts w:eastAsia="Times New Roman"/>
              </w:rPr>
              <w:t>0</w:t>
            </w:r>
          </w:p>
        </w:tc>
      </w:tr>
      <w:tr w:rsidR="007E317C" w14:paraId="21404ADE" w14:textId="77777777" w:rsidTr="00BA2714">
        <w:trPr>
          <w:tblCellSpacing w:w="15" w:type="dxa"/>
        </w:trPr>
        <w:tc>
          <w:tcPr>
            <w:tcW w:w="0" w:type="auto"/>
            <w:vAlign w:val="center"/>
            <w:hideMark/>
          </w:tcPr>
          <w:p w14:paraId="3089FDF4" w14:textId="77777777" w:rsidR="007E317C" w:rsidRDefault="007E317C" w:rsidP="00BA2714">
            <w:pPr>
              <w:rPr>
                <w:rFonts w:eastAsia="Times New Roman"/>
              </w:rPr>
            </w:pPr>
            <w:r>
              <w:rPr>
                <w:rFonts w:eastAsia="Times New Roman"/>
              </w:rPr>
              <w:t>1</w:t>
            </w:r>
          </w:p>
        </w:tc>
        <w:tc>
          <w:tcPr>
            <w:tcW w:w="0" w:type="auto"/>
            <w:vAlign w:val="center"/>
            <w:hideMark/>
          </w:tcPr>
          <w:p w14:paraId="38E04FBC" w14:textId="77777777" w:rsidR="007E317C" w:rsidRDefault="007E317C" w:rsidP="00BA2714">
            <w:pPr>
              <w:rPr>
                <w:rFonts w:eastAsia="Times New Roman"/>
              </w:rPr>
            </w:pPr>
            <w:r>
              <w:rPr>
                <w:rFonts w:eastAsia="Times New Roman"/>
              </w:rPr>
              <w:t>Xint</w:t>
            </w:r>
          </w:p>
        </w:tc>
        <w:tc>
          <w:tcPr>
            <w:tcW w:w="0" w:type="auto"/>
            <w:vAlign w:val="center"/>
            <w:hideMark/>
          </w:tcPr>
          <w:p w14:paraId="105FADD3" w14:textId="77777777" w:rsidR="007E317C" w:rsidRDefault="007E317C" w:rsidP="00BA2714">
            <w:pPr>
              <w:rPr>
                <w:rFonts w:eastAsia="Times New Roman"/>
              </w:rPr>
            </w:pPr>
            <w:r>
              <w:rPr>
                <w:rFonts w:eastAsia="Times New Roman"/>
              </w:rPr>
              <w:t>C</w:t>
            </w:r>
          </w:p>
        </w:tc>
        <w:tc>
          <w:tcPr>
            <w:tcW w:w="0" w:type="auto"/>
            <w:vAlign w:val="center"/>
            <w:hideMark/>
          </w:tcPr>
          <w:p w14:paraId="419C38EA" w14:textId="77777777" w:rsidR="007E317C" w:rsidRDefault="007E317C" w:rsidP="00BA2714">
            <w:pPr>
              <w:rPr>
                <w:rFonts w:eastAsia="Times New Roman"/>
              </w:rPr>
            </w:pPr>
            <w:r>
              <w:rPr>
                <w:rFonts w:eastAsia="Times New Roman"/>
              </w:rPr>
              <w:t>0</w:t>
            </w:r>
          </w:p>
        </w:tc>
      </w:tr>
      <w:tr w:rsidR="007E317C" w14:paraId="222D2AE4" w14:textId="77777777" w:rsidTr="00BA2714">
        <w:trPr>
          <w:tblCellSpacing w:w="15" w:type="dxa"/>
        </w:trPr>
        <w:tc>
          <w:tcPr>
            <w:tcW w:w="0" w:type="auto"/>
            <w:vAlign w:val="center"/>
            <w:hideMark/>
          </w:tcPr>
          <w:p w14:paraId="3A84E2AB" w14:textId="77777777" w:rsidR="007E317C" w:rsidRDefault="007E317C" w:rsidP="00BA2714">
            <w:pPr>
              <w:rPr>
                <w:rFonts w:eastAsia="Times New Roman"/>
              </w:rPr>
            </w:pPr>
            <w:r>
              <w:rPr>
                <w:rFonts w:eastAsia="Times New Roman"/>
              </w:rPr>
              <w:t>2</w:t>
            </w:r>
          </w:p>
        </w:tc>
        <w:tc>
          <w:tcPr>
            <w:tcW w:w="0" w:type="auto"/>
            <w:vAlign w:val="center"/>
            <w:hideMark/>
          </w:tcPr>
          <w:p w14:paraId="16F8808E" w14:textId="77777777" w:rsidR="007E317C" w:rsidRDefault="007E317C" w:rsidP="00BA2714">
            <w:pPr>
              <w:rPr>
                <w:rFonts w:eastAsia="Times New Roman"/>
              </w:rPr>
            </w:pPr>
            <w:r>
              <w:rPr>
                <w:rFonts w:eastAsia="Times New Roman"/>
              </w:rPr>
              <w:t>0</w:t>
            </w:r>
          </w:p>
        </w:tc>
        <w:tc>
          <w:tcPr>
            <w:tcW w:w="0" w:type="auto"/>
            <w:vAlign w:val="center"/>
            <w:hideMark/>
          </w:tcPr>
          <w:p w14:paraId="56689789" w14:textId="77777777" w:rsidR="007E317C" w:rsidRDefault="007E317C" w:rsidP="00BA2714">
            <w:pPr>
              <w:rPr>
                <w:rFonts w:eastAsia="Times New Roman"/>
              </w:rPr>
            </w:pPr>
            <w:r>
              <w:rPr>
                <w:rFonts w:eastAsia="Times New Roman"/>
              </w:rPr>
              <w:t>C</w:t>
            </w:r>
          </w:p>
        </w:tc>
        <w:tc>
          <w:tcPr>
            <w:tcW w:w="0" w:type="auto"/>
            <w:vAlign w:val="center"/>
            <w:hideMark/>
          </w:tcPr>
          <w:p w14:paraId="058A3558" w14:textId="77777777" w:rsidR="007E317C" w:rsidRDefault="007E317C" w:rsidP="00BA2714">
            <w:pPr>
              <w:rPr>
                <w:rFonts w:eastAsia="Times New Roman"/>
              </w:rPr>
            </w:pPr>
            <w:r>
              <w:rPr>
                <w:rFonts w:eastAsia="Times New Roman"/>
              </w:rPr>
              <w:t>Xint</w:t>
            </w:r>
          </w:p>
        </w:tc>
      </w:tr>
      <w:tr w:rsidR="007E317C" w14:paraId="31C6A43D" w14:textId="77777777" w:rsidTr="00BA2714">
        <w:trPr>
          <w:tblCellSpacing w:w="15" w:type="dxa"/>
        </w:trPr>
        <w:tc>
          <w:tcPr>
            <w:tcW w:w="0" w:type="auto"/>
            <w:vAlign w:val="center"/>
            <w:hideMark/>
          </w:tcPr>
          <w:p w14:paraId="39D32FF7" w14:textId="77777777" w:rsidR="007E317C" w:rsidRDefault="007E317C" w:rsidP="00BA2714">
            <w:pPr>
              <w:rPr>
                <w:rFonts w:eastAsia="Times New Roman"/>
              </w:rPr>
            </w:pPr>
            <w:r>
              <w:rPr>
                <w:rFonts w:eastAsia="Times New Roman"/>
              </w:rPr>
              <w:t>3</w:t>
            </w:r>
          </w:p>
        </w:tc>
        <w:tc>
          <w:tcPr>
            <w:tcW w:w="0" w:type="auto"/>
            <w:vAlign w:val="center"/>
            <w:hideMark/>
          </w:tcPr>
          <w:p w14:paraId="75E3E6FA" w14:textId="77777777" w:rsidR="007E317C" w:rsidRDefault="007E317C" w:rsidP="00BA2714">
            <w:pPr>
              <w:rPr>
                <w:rFonts w:eastAsia="Times New Roman"/>
              </w:rPr>
            </w:pPr>
            <w:r>
              <w:rPr>
                <w:rFonts w:eastAsia="Times New Roman"/>
              </w:rPr>
              <w:t>0</w:t>
            </w:r>
          </w:p>
        </w:tc>
        <w:tc>
          <w:tcPr>
            <w:tcW w:w="0" w:type="auto"/>
            <w:vAlign w:val="center"/>
            <w:hideMark/>
          </w:tcPr>
          <w:p w14:paraId="4320F344" w14:textId="77777777" w:rsidR="007E317C" w:rsidRDefault="007E317C" w:rsidP="00BA2714">
            <w:pPr>
              <w:rPr>
                <w:rFonts w:eastAsia="Times New Roman"/>
              </w:rPr>
            </w:pPr>
            <w:r>
              <w:rPr>
                <w:rFonts w:eastAsia="Times New Roman"/>
              </w:rPr>
              <w:t>Xint</w:t>
            </w:r>
          </w:p>
        </w:tc>
        <w:tc>
          <w:tcPr>
            <w:tcW w:w="0" w:type="auto"/>
            <w:vAlign w:val="center"/>
            <w:hideMark/>
          </w:tcPr>
          <w:p w14:paraId="622147A6" w14:textId="77777777" w:rsidR="007E317C" w:rsidRDefault="007E317C" w:rsidP="00BA2714">
            <w:pPr>
              <w:rPr>
                <w:rFonts w:eastAsia="Times New Roman"/>
              </w:rPr>
            </w:pPr>
            <w:r>
              <w:rPr>
                <w:rFonts w:eastAsia="Times New Roman"/>
              </w:rPr>
              <w:t>C</w:t>
            </w:r>
          </w:p>
        </w:tc>
      </w:tr>
      <w:tr w:rsidR="007E317C" w14:paraId="7DD8DA6E" w14:textId="77777777" w:rsidTr="00BA2714">
        <w:trPr>
          <w:tblCellSpacing w:w="15" w:type="dxa"/>
        </w:trPr>
        <w:tc>
          <w:tcPr>
            <w:tcW w:w="0" w:type="auto"/>
            <w:vAlign w:val="center"/>
            <w:hideMark/>
          </w:tcPr>
          <w:p w14:paraId="2C979872" w14:textId="77777777" w:rsidR="007E317C" w:rsidRDefault="007E317C" w:rsidP="00BA2714">
            <w:pPr>
              <w:rPr>
                <w:rFonts w:eastAsia="Times New Roman"/>
              </w:rPr>
            </w:pPr>
            <w:r>
              <w:rPr>
                <w:rFonts w:eastAsia="Times New Roman"/>
              </w:rPr>
              <w:t>4</w:t>
            </w:r>
          </w:p>
        </w:tc>
        <w:tc>
          <w:tcPr>
            <w:tcW w:w="0" w:type="auto"/>
            <w:vAlign w:val="center"/>
            <w:hideMark/>
          </w:tcPr>
          <w:p w14:paraId="4EC0108D" w14:textId="77777777" w:rsidR="007E317C" w:rsidRDefault="007E317C" w:rsidP="00BA2714">
            <w:pPr>
              <w:rPr>
                <w:rFonts w:eastAsia="Times New Roman"/>
              </w:rPr>
            </w:pPr>
            <w:r>
              <w:rPr>
                <w:rFonts w:eastAsia="Times New Roman"/>
              </w:rPr>
              <w:t>Xint</w:t>
            </w:r>
          </w:p>
        </w:tc>
        <w:tc>
          <w:tcPr>
            <w:tcW w:w="0" w:type="auto"/>
            <w:vAlign w:val="center"/>
            <w:hideMark/>
          </w:tcPr>
          <w:p w14:paraId="3947C179" w14:textId="77777777" w:rsidR="007E317C" w:rsidRDefault="007E317C" w:rsidP="00BA2714">
            <w:pPr>
              <w:rPr>
                <w:rFonts w:eastAsia="Times New Roman"/>
              </w:rPr>
            </w:pPr>
            <w:r>
              <w:rPr>
                <w:rFonts w:eastAsia="Times New Roman"/>
              </w:rPr>
              <w:t>0</w:t>
            </w:r>
          </w:p>
        </w:tc>
        <w:tc>
          <w:tcPr>
            <w:tcW w:w="0" w:type="auto"/>
            <w:vAlign w:val="center"/>
            <w:hideMark/>
          </w:tcPr>
          <w:p w14:paraId="10D6070B" w14:textId="77777777" w:rsidR="007E317C" w:rsidRDefault="007E317C" w:rsidP="00BA2714">
            <w:pPr>
              <w:rPr>
                <w:rFonts w:eastAsia="Times New Roman"/>
              </w:rPr>
            </w:pPr>
            <w:r>
              <w:rPr>
                <w:rFonts w:eastAsia="Times New Roman"/>
              </w:rPr>
              <w:t>C</w:t>
            </w:r>
          </w:p>
        </w:tc>
      </w:tr>
      <w:tr w:rsidR="007E317C" w14:paraId="4819C7DC" w14:textId="77777777" w:rsidTr="00BA2714">
        <w:trPr>
          <w:tblCellSpacing w:w="15" w:type="dxa"/>
        </w:trPr>
        <w:tc>
          <w:tcPr>
            <w:tcW w:w="0" w:type="auto"/>
            <w:vAlign w:val="center"/>
            <w:hideMark/>
          </w:tcPr>
          <w:p w14:paraId="034098F6" w14:textId="77777777" w:rsidR="007E317C" w:rsidRDefault="007E317C" w:rsidP="00BA2714">
            <w:pPr>
              <w:rPr>
                <w:rFonts w:eastAsia="Times New Roman"/>
              </w:rPr>
            </w:pPr>
            <w:r>
              <w:rPr>
                <w:rFonts w:eastAsia="Times New Roman"/>
              </w:rPr>
              <w:t>5</w:t>
            </w:r>
          </w:p>
        </w:tc>
        <w:tc>
          <w:tcPr>
            <w:tcW w:w="0" w:type="auto"/>
            <w:vAlign w:val="center"/>
            <w:hideMark/>
          </w:tcPr>
          <w:p w14:paraId="6038D787" w14:textId="77777777" w:rsidR="007E317C" w:rsidRDefault="007E317C" w:rsidP="00BA2714">
            <w:pPr>
              <w:rPr>
                <w:rFonts w:eastAsia="Times New Roman"/>
              </w:rPr>
            </w:pPr>
            <w:r>
              <w:rPr>
                <w:rFonts w:eastAsia="Times New Roman"/>
              </w:rPr>
              <w:t>C</w:t>
            </w:r>
          </w:p>
        </w:tc>
        <w:tc>
          <w:tcPr>
            <w:tcW w:w="0" w:type="auto"/>
            <w:vAlign w:val="center"/>
            <w:hideMark/>
          </w:tcPr>
          <w:p w14:paraId="7FB13ECB" w14:textId="77777777" w:rsidR="007E317C" w:rsidRDefault="007E317C" w:rsidP="00BA2714">
            <w:pPr>
              <w:rPr>
                <w:rFonts w:eastAsia="Times New Roman"/>
              </w:rPr>
            </w:pPr>
            <w:r>
              <w:rPr>
                <w:rFonts w:eastAsia="Times New Roman"/>
              </w:rPr>
              <w:t>0</w:t>
            </w:r>
          </w:p>
        </w:tc>
        <w:tc>
          <w:tcPr>
            <w:tcW w:w="0" w:type="auto"/>
            <w:vAlign w:val="center"/>
            <w:hideMark/>
          </w:tcPr>
          <w:p w14:paraId="4DC2E00A" w14:textId="77777777" w:rsidR="007E317C" w:rsidRDefault="007E317C" w:rsidP="00BA2714">
            <w:pPr>
              <w:rPr>
                <w:rFonts w:eastAsia="Times New Roman"/>
              </w:rPr>
            </w:pPr>
            <w:r>
              <w:rPr>
                <w:rFonts w:eastAsia="Times New Roman"/>
              </w:rPr>
              <w:t>Xint</w:t>
            </w:r>
          </w:p>
        </w:tc>
      </w:tr>
    </w:tbl>
    <w:p w14:paraId="20150FCD" w14:textId="77777777" w:rsidR="007E317C" w:rsidRDefault="007E317C" w:rsidP="007E317C">
      <w:pPr>
        <w:pStyle w:val="Heading3"/>
        <w:rPr>
          <w:rFonts w:eastAsia="Times New Roman"/>
        </w:rPr>
      </w:pPr>
      <w:r>
        <w:rPr>
          <w:rFonts w:eastAsia="Times New Roman"/>
        </w:rPr>
        <w:t>Stage 3 — Offset, Clip &amp; Pack</w:t>
      </w:r>
    </w:p>
    <w:p w14:paraId="630BECE2" w14:textId="77777777" w:rsidR="007E317C" w:rsidRDefault="007E317C" w:rsidP="007E317C">
      <w:pPr>
        <w:numPr>
          <w:ilvl w:val="0"/>
          <w:numId w:val="3"/>
        </w:numPr>
        <w:spacing w:before="100" w:beforeAutospacing="1" w:after="100" w:afterAutospacing="1"/>
        <w:rPr>
          <w:rFonts w:eastAsia="Times New Roman"/>
        </w:rPr>
      </w:pPr>
      <w:r>
        <w:rPr>
          <w:rFonts w:eastAsia="Times New Roman"/>
        </w:rPr>
        <w:t>Final RGB outputs are computed as R = saturate(r′ + m), G = saturate(g′ + m), and B = saturate(b′ + m).</w:t>
      </w:r>
    </w:p>
    <w:p w14:paraId="5B8B89E5" w14:textId="77777777" w:rsidR="007E317C" w:rsidRDefault="007E317C" w:rsidP="007E317C">
      <w:pPr>
        <w:numPr>
          <w:ilvl w:val="0"/>
          <w:numId w:val="3"/>
        </w:numPr>
        <w:spacing w:before="100" w:beforeAutospacing="1" w:after="100" w:afterAutospacing="1"/>
        <w:rPr>
          <w:rFonts w:eastAsia="Times New Roman"/>
        </w:rPr>
      </w:pPr>
      <w:r>
        <w:rPr>
          <w:rFonts w:eastAsia="Times New Roman"/>
        </w:rPr>
        <w:t>Values are clipped to the 0–255 range before packing into the output stream .</w:t>
      </w:r>
    </w:p>
    <w:p w14:paraId="1335F055" w14:textId="77777777" w:rsidR="007E317C" w:rsidRDefault="007E317C" w:rsidP="007E317C">
      <w:pPr>
        <w:pStyle w:val="Heading2"/>
        <w:rPr>
          <w:rFonts w:eastAsia="Times New Roman"/>
        </w:rPr>
      </w:pPr>
      <w:r>
        <w:rPr>
          <w:rFonts w:eastAsia="Times New Roman"/>
        </w:rPr>
        <w:t>Control, Timing &amp; Edge Cases</w:t>
      </w:r>
    </w:p>
    <w:p w14:paraId="1751B410" w14:textId="77777777" w:rsidR="007E317C" w:rsidRDefault="007E317C" w:rsidP="007E317C">
      <w:pPr>
        <w:numPr>
          <w:ilvl w:val="0"/>
          <w:numId w:val="4"/>
        </w:numPr>
        <w:spacing w:before="100" w:beforeAutospacing="1" w:after="100" w:afterAutospacing="1"/>
        <w:rPr>
          <w:rFonts w:eastAsia="Times New Roman"/>
        </w:rPr>
      </w:pPr>
      <w:r>
        <w:rPr>
          <w:rFonts w:eastAsia="Times New Roman"/>
        </w:rPr>
        <w:t>The module sustains a throughput of one pixel per clock cycle with a latency of 4 to 7 pipeline stages.</w:t>
      </w:r>
    </w:p>
    <w:p w14:paraId="347592B8" w14:textId="77777777" w:rsidR="007E317C" w:rsidRDefault="007E317C" w:rsidP="007E317C">
      <w:pPr>
        <w:numPr>
          <w:ilvl w:val="0"/>
          <w:numId w:val="4"/>
        </w:numPr>
        <w:spacing w:before="100" w:beforeAutospacing="1" w:after="100" w:afterAutospacing="1"/>
        <w:rPr>
          <w:rFonts w:eastAsia="Times New Roman"/>
        </w:rPr>
      </w:pPr>
      <w:r>
        <w:rPr>
          <w:rFonts w:eastAsia="Times New Roman"/>
        </w:rPr>
        <w:t>The reset signal clears the pipeline and deasserts outputs until the pipeline is refilled.</w:t>
      </w:r>
    </w:p>
    <w:p w14:paraId="1D8A6C92" w14:textId="77777777" w:rsidR="007E317C" w:rsidRDefault="007E317C" w:rsidP="007E317C">
      <w:pPr>
        <w:numPr>
          <w:ilvl w:val="0"/>
          <w:numId w:val="4"/>
        </w:numPr>
        <w:spacing w:before="100" w:beforeAutospacing="1" w:after="100" w:afterAutospacing="1"/>
        <w:rPr>
          <w:rFonts w:eastAsia="Times New Roman"/>
        </w:rPr>
      </w:pPr>
      <w:r>
        <w:rPr>
          <w:rFonts w:eastAsia="Times New Roman"/>
        </w:rPr>
        <w:t>Special cases handled include:</w:t>
      </w:r>
    </w:p>
    <w:p w14:paraId="6273DAB4" w14:textId="77777777" w:rsidR="007E317C" w:rsidRDefault="007E317C" w:rsidP="007E317C">
      <w:pPr>
        <w:numPr>
          <w:ilvl w:val="0"/>
          <w:numId w:val="4"/>
        </w:numPr>
        <w:spacing w:before="100" w:beforeAutospacing="1" w:after="100" w:afterAutospacing="1"/>
        <w:rPr>
          <w:rFonts w:eastAsia="Times New Roman"/>
        </w:rPr>
      </w:pPr>
      <w:r>
        <w:rPr>
          <w:rFonts w:eastAsia="Times New Roman"/>
        </w:rPr>
        <w:t>Grayscale output when saturation S is zero, resulting in R = G = B = V for HSV or R = G = B = L for HSL.</w:t>
      </w:r>
    </w:p>
    <w:p w14:paraId="119A180A" w14:textId="77777777" w:rsidR="007E317C" w:rsidRDefault="007E317C" w:rsidP="007E317C">
      <w:pPr>
        <w:numPr>
          <w:ilvl w:val="0"/>
          <w:numId w:val="4"/>
        </w:numPr>
        <w:spacing w:before="100" w:beforeAutospacing="1" w:after="100" w:afterAutospacing="1"/>
        <w:rPr>
          <w:rFonts w:eastAsia="Times New Roman"/>
        </w:rPr>
      </w:pPr>
      <w:r>
        <w:rPr>
          <w:rFonts w:eastAsia="Times New Roman"/>
        </w:rPr>
        <w:t>Hue wraparound at 0 and 255 to ensure smooth color transitions.</w:t>
      </w:r>
    </w:p>
    <w:p w14:paraId="5F98F9A5" w14:textId="77777777" w:rsidR="007E317C" w:rsidRDefault="007E317C" w:rsidP="007E317C">
      <w:pPr>
        <w:numPr>
          <w:ilvl w:val="0"/>
          <w:numId w:val="4"/>
        </w:numPr>
        <w:spacing w:before="100" w:beforeAutospacing="1" w:after="100" w:afterAutospacing="1"/>
        <w:rPr>
          <w:rFonts w:eastAsia="Times New Roman"/>
        </w:rPr>
      </w:pPr>
      <w:r>
        <w:rPr>
          <w:rFonts w:eastAsia="Times New Roman"/>
        </w:rPr>
        <w:t>All output values are clipped to the 0–255 range to maintain valid color values .</w:t>
      </w:r>
    </w:p>
    <w:p w14:paraId="0AAE09C2" w14:textId="77777777" w:rsidR="007E317C" w:rsidRDefault="007E317C" w:rsidP="007E317C">
      <w:pPr>
        <w:pStyle w:val="Heading2"/>
        <w:rPr>
          <w:rFonts w:eastAsia="Times New Roman"/>
        </w:rPr>
      </w:pPr>
      <w:r>
        <w:rPr>
          <w:rFonts w:eastAsia="Times New Roman"/>
        </w:rPr>
        <w:t>Implementation Details</w:t>
      </w:r>
    </w:p>
    <w:p w14:paraId="51B910A5" w14:textId="77777777" w:rsidR="007E317C" w:rsidRDefault="007E317C" w:rsidP="007E317C">
      <w:pPr>
        <w:numPr>
          <w:ilvl w:val="0"/>
          <w:numId w:val="5"/>
        </w:numPr>
        <w:spacing w:before="100" w:beforeAutospacing="1" w:after="100" w:afterAutospacing="1"/>
        <w:rPr>
          <w:rFonts w:eastAsia="Times New Roman"/>
        </w:rPr>
      </w:pPr>
      <w:r>
        <w:rPr>
          <w:rFonts w:eastAsia="Times New Roman"/>
        </w:rPr>
        <w:t>The design requires approximately 3 to 5 DSP multipliers along with adders and subtractors, and does not use BRAM.</w:t>
      </w:r>
    </w:p>
    <w:p w14:paraId="43C07A7C" w14:textId="77777777" w:rsidR="007E317C" w:rsidRDefault="007E317C" w:rsidP="007E317C">
      <w:pPr>
        <w:numPr>
          <w:ilvl w:val="0"/>
          <w:numId w:val="5"/>
        </w:numPr>
        <w:spacing w:before="100" w:beforeAutospacing="1" w:after="100" w:afterAutospacing="1"/>
        <w:rPr>
          <w:rFonts w:eastAsia="Times New Roman"/>
        </w:rPr>
      </w:pPr>
      <w:r>
        <w:rPr>
          <w:rFonts w:eastAsia="Times New Roman"/>
        </w:rPr>
        <w:t>Divisions are replaced by reciprocal multiplication and bit-shifts to achieve a high maximum frequency (Fmax).</w:t>
      </w:r>
    </w:p>
    <w:p w14:paraId="4A27BA24" w14:textId="77777777" w:rsidR="007E317C" w:rsidRDefault="007E317C" w:rsidP="007E317C">
      <w:pPr>
        <w:numPr>
          <w:ilvl w:val="0"/>
          <w:numId w:val="5"/>
        </w:numPr>
        <w:spacing w:before="100" w:beforeAutospacing="1" w:after="100" w:afterAutospacing="1"/>
        <w:rPr>
          <w:rFonts w:eastAsia="Times New Roman"/>
        </w:rPr>
      </w:pPr>
      <w:r>
        <w:rPr>
          <w:rFonts w:eastAsia="Times New Roman"/>
        </w:rPr>
        <w:t>The pipeline stages are fully registered with retiming enabled to maximize performance .</w:t>
      </w:r>
    </w:p>
    <w:p w14:paraId="711CE1C6" w14:textId="77777777" w:rsidR="007E317C" w:rsidRDefault="007E317C" w:rsidP="007E317C">
      <w:pPr>
        <w:pStyle w:val="Heading2"/>
        <w:rPr>
          <w:rFonts w:eastAsia="Times New Roman"/>
        </w:rPr>
      </w:pPr>
      <w:r>
        <w:rPr>
          <w:rFonts w:eastAsia="Times New Roman"/>
        </w:rPr>
        <w:t>Summary of Conversion Approach</w:t>
      </w:r>
    </w:p>
    <w:p w14:paraId="7C0E5BF1" w14:textId="77777777" w:rsidR="007E317C" w:rsidRDefault="007E317C" w:rsidP="007E317C">
      <w:pPr>
        <w:pStyle w:val="NormalWeb"/>
      </w:pPr>
      <w:r>
        <w:t>The iHSL to RGB VHDL module provides a robust and hardware-efficient solution for color space conversion. Through pipelined processing, fixed-point arithmetic, and optimized datapath design, it delivers real-time performance suitable for video applications while preserving sideband synchronization and data integrity .</w:t>
      </w:r>
    </w:p>
    <w:p w14:paraId="2C9CD719" w14:textId="77777777" w:rsidR="00850F76" w:rsidRDefault="00850F76"/>
    <w:sectPr w:rsidR="00850F76" w:rsidSect="007E3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7251"/>
    <w:multiLevelType w:val="multilevel"/>
    <w:tmpl w:val="A28A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F2B6C"/>
    <w:multiLevelType w:val="multilevel"/>
    <w:tmpl w:val="3106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E13B7"/>
    <w:multiLevelType w:val="multilevel"/>
    <w:tmpl w:val="209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D041FB"/>
    <w:multiLevelType w:val="hybridMultilevel"/>
    <w:tmpl w:val="D7E4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D175C3"/>
    <w:multiLevelType w:val="multilevel"/>
    <w:tmpl w:val="FF26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A5815"/>
    <w:multiLevelType w:val="multilevel"/>
    <w:tmpl w:val="AFE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836715">
    <w:abstractNumId w:val="2"/>
  </w:num>
  <w:num w:numId="2" w16cid:durableId="1684938264">
    <w:abstractNumId w:val="1"/>
  </w:num>
  <w:num w:numId="3" w16cid:durableId="1442921435">
    <w:abstractNumId w:val="0"/>
  </w:num>
  <w:num w:numId="4" w16cid:durableId="121727499">
    <w:abstractNumId w:val="5"/>
  </w:num>
  <w:num w:numId="5" w16cid:durableId="312301350">
    <w:abstractNumId w:val="4"/>
  </w:num>
  <w:num w:numId="6" w16cid:durableId="1990092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7C"/>
    <w:rsid w:val="000155CD"/>
    <w:rsid w:val="00084D8F"/>
    <w:rsid w:val="00531353"/>
    <w:rsid w:val="007E317C"/>
    <w:rsid w:val="00850F76"/>
    <w:rsid w:val="008724C7"/>
    <w:rsid w:val="008C611B"/>
    <w:rsid w:val="009E72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8FDF0"/>
  <w15:chartTrackingRefBased/>
  <w15:docId w15:val="{2C092092-8109-4B84-A7D3-268CFCB6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C"/>
    <w:rPr>
      <w:rFonts w:eastAsiaTheme="minorEastAsia"/>
    </w:rPr>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E3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7E3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17C"/>
    <w:rPr>
      <w:rFonts w:eastAsiaTheme="majorEastAsia" w:cstheme="majorBidi"/>
      <w:color w:val="272727" w:themeColor="text1" w:themeTint="D8"/>
    </w:rPr>
  </w:style>
  <w:style w:type="paragraph" w:styleId="Title">
    <w:name w:val="Title"/>
    <w:basedOn w:val="Normal"/>
    <w:next w:val="Normal"/>
    <w:link w:val="TitleChar"/>
    <w:uiPriority w:val="10"/>
    <w:qFormat/>
    <w:rsid w:val="007E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17C"/>
    <w:pPr>
      <w:spacing w:before="160"/>
      <w:jc w:val="center"/>
    </w:pPr>
    <w:rPr>
      <w:i/>
      <w:iCs/>
      <w:color w:val="404040" w:themeColor="text1" w:themeTint="BF"/>
    </w:rPr>
  </w:style>
  <w:style w:type="character" w:customStyle="1" w:styleId="QuoteChar">
    <w:name w:val="Quote Char"/>
    <w:basedOn w:val="DefaultParagraphFont"/>
    <w:link w:val="Quote"/>
    <w:uiPriority w:val="29"/>
    <w:rsid w:val="007E317C"/>
    <w:rPr>
      <w:i/>
      <w:iCs/>
      <w:color w:val="404040" w:themeColor="text1" w:themeTint="BF"/>
    </w:rPr>
  </w:style>
  <w:style w:type="paragraph" w:styleId="ListParagraph">
    <w:name w:val="List Paragraph"/>
    <w:basedOn w:val="Normal"/>
    <w:uiPriority w:val="34"/>
    <w:qFormat/>
    <w:rsid w:val="007E317C"/>
    <w:pPr>
      <w:ind w:left="720"/>
      <w:contextualSpacing/>
    </w:pPr>
  </w:style>
  <w:style w:type="character" w:styleId="IntenseEmphasis">
    <w:name w:val="Intense Emphasis"/>
    <w:basedOn w:val="DefaultParagraphFont"/>
    <w:uiPriority w:val="21"/>
    <w:qFormat/>
    <w:rsid w:val="007E317C"/>
    <w:rPr>
      <w:i/>
      <w:iCs/>
      <w:color w:val="0F4761" w:themeColor="accent1" w:themeShade="BF"/>
    </w:rPr>
  </w:style>
  <w:style w:type="paragraph" w:styleId="IntenseQuote">
    <w:name w:val="Intense Quote"/>
    <w:basedOn w:val="Normal"/>
    <w:next w:val="Normal"/>
    <w:link w:val="IntenseQuoteChar"/>
    <w:uiPriority w:val="30"/>
    <w:qFormat/>
    <w:rsid w:val="007E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17C"/>
    <w:rPr>
      <w:i/>
      <w:iCs/>
      <w:color w:val="0F4761" w:themeColor="accent1" w:themeShade="BF"/>
    </w:rPr>
  </w:style>
  <w:style w:type="character" w:styleId="IntenseReference">
    <w:name w:val="Intense Reference"/>
    <w:basedOn w:val="DefaultParagraphFont"/>
    <w:uiPriority w:val="32"/>
    <w:qFormat/>
    <w:rsid w:val="007E317C"/>
    <w:rPr>
      <w:b/>
      <w:bCs/>
      <w:smallCaps/>
      <w:color w:val="0F4761" w:themeColor="accent1" w:themeShade="BF"/>
      <w:spacing w:val="5"/>
    </w:rPr>
  </w:style>
  <w:style w:type="paragraph" w:styleId="NormalWeb">
    <w:name w:val="Normal (Web)"/>
    <w:basedOn w:val="Normal"/>
    <w:uiPriority w:val="99"/>
    <w:semiHidden/>
    <w:unhideWhenUsed/>
    <w:rsid w:val="007E31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842</Words>
  <Characters>4199</Characters>
  <Application>Microsoft Office Word</Application>
  <DocSecurity>0</DocSecurity>
  <Lines>116</Lines>
  <Paragraphs>95</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2025-10-10T03:23:00Z</dcterms:created>
  <dcterms:modified xsi:type="dcterms:W3CDTF">2025-10-10T03:33:00Z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07d383df-194d-438b-b96d-0859d0930866</vt:lpwstr>
  </property>
</Properties>
</file>