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4B10" w14:textId="77777777" w:rsidR="00D950DF" w:rsidRDefault="00D950DF" w:rsidP="00D950DF">
      <w:pPr>
        <w:pStyle w:val="Title"/>
      </w:pPr>
      <w:r>
        <w:t>Top-Level Block Diagram: Entity Interface</w:t>
      </w:r>
    </w:p>
    <w:p w14:paraId="232C9698" w14:textId="77777777" w:rsidR="00D950DF" w:rsidRDefault="00D950DF" w:rsidP="00D950DF">
      <w:pPr>
        <w:pStyle w:val="Heading1"/>
      </w:pPr>
      <w:r>
        <w:t>Purpose</w:t>
      </w:r>
    </w:p>
    <w:p w14:paraId="08D7E133" w14:textId="4F9FA88B" w:rsidR="00276597" w:rsidRPr="00D950DF" w:rsidRDefault="00D950DF" w:rsidP="00D950DF">
      <w:r w:rsidRPr="00D950DF">
        <w:t>The purpose of this section is to illustrate how the color</w:t>
      </w:r>
      <w:r w:rsidR="00861B91">
        <w:t xml:space="preserve"> </w:t>
      </w:r>
      <w:r w:rsidR="00861B91" w:rsidRPr="00D950DF">
        <w:t>Kn</w:t>
      </w:r>
      <w:r w:rsidR="00861B91">
        <w:t xml:space="preserve"> </w:t>
      </w:r>
      <w:r w:rsidRPr="00D950DF">
        <w:t>clustering module interfaces with external systems. This includes a clear presentation of all input and output ports, with each port grouped according to its specific function.</w:t>
      </w:r>
    </w:p>
    <w:p w14:paraId="5CE70D82" w14:textId="30D5AF31" w:rsidR="00276597" w:rsidRPr="00276597" w:rsidRDefault="00276597" w:rsidP="00276597">
      <w:r w:rsidRPr="00276597">
        <w:t>Diagram Structure</w:t>
      </w:r>
    </w:p>
    <w:p w14:paraId="26FE25F8" w14:textId="77777777" w:rsidR="00276597" w:rsidRPr="00276597" w:rsidRDefault="00276597" w:rsidP="00276597">
      <w:pPr>
        <w:numPr>
          <w:ilvl w:val="0"/>
          <w:numId w:val="1"/>
        </w:numPr>
      </w:pPr>
      <w:r w:rsidRPr="00276597">
        <w:rPr>
          <w:b/>
          <w:bCs/>
        </w:rPr>
        <w:t>Main Block</w:t>
      </w:r>
      <w:r w:rsidRPr="00276597">
        <w:t>: A large rectangle labeled color_kN_clustering</w:t>
      </w:r>
    </w:p>
    <w:p w14:paraId="7F036A97" w14:textId="77777777" w:rsidR="00276597" w:rsidRPr="00276597" w:rsidRDefault="00276597" w:rsidP="00276597">
      <w:pPr>
        <w:numPr>
          <w:ilvl w:val="0"/>
          <w:numId w:val="1"/>
        </w:numPr>
      </w:pPr>
      <w:r w:rsidRPr="00276597">
        <w:rPr>
          <w:b/>
          <w:bCs/>
        </w:rPr>
        <w:t>Grouped Port Arrows</w:t>
      </w:r>
      <w:r w:rsidRPr="00276597">
        <w:t>:</w:t>
      </w:r>
    </w:p>
    <w:p w14:paraId="411D1858" w14:textId="77777777" w:rsidR="00276597" w:rsidRPr="00276597" w:rsidRDefault="00276597" w:rsidP="00276597">
      <w:pPr>
        <w:numPr>
          <w:ilvl w:val="0"/>
          <w:numId w:val="2"/>
        </w:numPr>
      </w:pPr>
      <w:r w:rsidRPr="00276597">
        <w:rPr>
          <w:b/>
          <w:bCs/>
        </w:rPr>
        <w:t>Clock/Reset Group</w:t>
      </w:r>
      <w:r w:rsidRPr="00276597">
        <w:t xml:space="preserve"> (left side, top):</w:t>
      </w:r>
    </w:p>
    <w:p w14:paraId="143BBA9E" w14:textId="77777777" w:rsidR="00276597" w:rsidRPr="00276597" w:rsidRDefault="00276597" w:rsidP="00276597">
      <w:pPr>
        <w:numPr>
          <w:ilvl w:val="1"/>
          <w:numId w:val="2"/>
        </w:numPr>
      </w:pPr>
      <w:r w:rsidRPr="00276597">
        <w:t>clk → input arrow</w:t>
      </w:r>
    </w:p>
    <w:p w14:paraId="52730049" w14:textId="77777777" w:rsidR="00276597" w:rsidRPr="00276597" w:rsidRDefault="00276597" w:rsidP="00276597">
      <w:pPr>
        <w:numPr>
          <w:ilvl w:val="1"/>
          <w:numId w:val="2"/>
        </w:numPr>
      </w:pPr>
      <w:r w:rsidRPr="00276597">
        <w:t>rst_l → input arrow</w:t>
      </w:r>
    </w:p>
    <w:p w14:paraId="20DED5E6" w14:textId="77777777" w:rsidR="00276597" w:rsidRPr="00276597" w:rsidRDefault="00276597" w:rsidP="00276597">
      <w:pPr>
        <w:numPr>
          <w:ilvl w:val="0"/>
          <w:numId w:val="2"/>
        </w:numPr>
      </w:pPr>
      <w:r w:rsidRPr="00276597">
        <w:rPr>
          <w:b/>
          <w:bCs/>
        </w:rPr>
        <w:t>Data Input Group</w:t>
      </w:r>
      <w:r w:rsidRPr="00276597">
        <w:t xml:space="preserve"> (left side, middle):</w:t>
      </w:r>
    </w:p>
    <w:p w14:paraId="1FC0A92E" w14:textId="77777777" w:rsidR="00276597" w:rsidRPr="00276597" w:rsidRDefault="00276597" w:rsidP="00276597">
      <w:pPr>
        <w:numPr>
          <w:ilvl w:val="1"/>
          <w:numId w:val="2"/>
        </w:numPr>
      </w:pPr>
      <w:r w:rsidRPr="00276597">
        <w:t>iRgb → input arrow (RGB pixel stream)</w:t>
      </w:r>
    </w:p>
    <w:p w14:paraId="3D270E45" w14:textId="77777777" w:rsidR="00276597" w:rsidRPr="00276597" w:rsidRDefault="00276597" w:rsidP="00276597">
      <w:pPr>
        <w:numPr>
          <w:ilvl w:val="0"/>
          <w:numId w:val="2"/>
        </w:numPr>
      </w:pPr>
      <w:r w:rsidRPr="00276597">
        <w:rPr>
          <w:b/>
          <w:bCs/>
        </w:rPr>
        <w:t>K-LUT Control Group</w:t>
      </w:r>
      <w:r w:rsidRPr="00276597">
        <w:t xml:space="preserve"> (left side, bottom):</w:t>
      </w:r>
    </w:p>
    <w:p w14:paraId="1E5B4EA0" w14:textId="77777777" w:rsidR="00276597" w:rsidRPr="00276597" w:rsidRDefault="00276597" w:rsidP="00276597">
      <w:pPr>
        <w:numPr>
          <w:ilvl w:val="1"/>
          <w:numId w:val="2"/>
        </w:numPr>
      </w:pPr>
      <w:r w:rsidRPr="00276597">
        <w:t>k_lut_selected → input arrow</w:t>
      </w:r>
    </w:p>
    <w:p w14:paraId="2FE416A2" w14:textId="77777777" w:rsidR="00276597" w:rsidRPr="00276597" w:rsidRDefault="00276597" w:rsidP="00276597">
      <w:pPr>
        <w:numPr>
          <w:ilvl w:val="1"/>
          <w:numId w:val="2"/>
        </w:numPr>
      </w:pPr>
      <w:r w:rsidRPr="00276597">
        <w:t>k_lut_in → input arrow</w:t>
      </w:r>
    </w:p>
    <w:p w14:paraId="5C451BC4" w14:textId="77777777" w:rsidR="00276597" w:rsidRPr="00276597" w:rsidRDefault="00276597" w:rsidP="00276597">
      <w:pPr>
        <w:numPr>
          <w:ilvl w:val="1"/>
          <w:numId w:val="2"/>
        </w:numPr>
      </w:pPr>
      <w:r w:rsidRPr="00276597">
        <w:t>k_ind_w → input arrow</w:t>
      </w:r>
    </w:p>
    <w:p w14:paraId="62472304" w14:textId="77777777" w:rsidR="00276597" w:rsidRPr="00276597" w:rsidRDefault="00276597" w:rsidP="00276597">
      <w:pPr>
        <w:numPr>
          <w:ilvl w:val="1"/>
          <w:numId w:val="2"/>
        </w:numPr>
      </w:pPr>
      <w:r w:rsidRPr="00276597">
        <w:t>k_ind_r → input arrow</w:t>
      </w:r>
    </w:p>
    <w:p w14:paraId="5E17311C" w14:textId="77777777" w:rsidR="00276597" w:rsidRPr="00276597" w:rsidRDefault="00276597" w:rsidP="00276597">
      <w:pPr>
        <w:numPr>
          <w:ilvl w:val="0"/>
          <w:numId w:val="2"/>
        </w:numPr>
      </w:pPr>
      <w:r w:rsidRPr="00276597">
        <w:rPr>
          <w:b/>
          <w:bCs/>
        </w:rPr>
        <w:t>K-LUT Output Group</w:t>
      </w:r>
      <w:r w:rsidRPr="00276597">
        <w:t xml:space="preserve"> (right side, top):</w:t>
      </w:r>
    </w:p>
    <w:p w14:paraId="3AC3E526" w14:textId="77777777" w:rsidR="00276597" w:rsidRPr="00276597" w:rsidRDefault="00276597" w:rsidP="00276597">
      <w:pPr>
        <w:numPr>
          <w:ilvl w:val="1"/>
          <w:numId w:val="2"/>
        </w:numPr>
      </w:pPr>
      <w:r w:rsidRPr="00276597">
        <w:t>k_lut_out → output arrow</w:t>
      </w:r>
    </w:p>
    <w:p w14:paraId="083AC4D1" w14:textId="77777777" w:rsidR="00276597" w:rsidRPr="00276597" w:rsidRDefault="00276597" w:rsidP="00276597">
      <w:pPr>
        <w:numPr>
          <w:ilvl w:val="0"/>
          <w:numId w:val="2"/>
        </w:numPr>
      </w:pPr>
      <w:r w:rsidRPr="00276597">
        <w:rPr>
          <w:b/>
          <w:bCs/>
        </w:rPr>
        <w:t>Processed Output Group</w:t>
      </w:r>
      <w:r w:rsidRPr="00276597">
        <w:t xml:space="preserve"> (right side, bottom):</w:t>
      </w:r>
    </w:p>
    <w:p w14:paraId="519D2984" w14:textId="77777777" w:rsidR="00276597" w:rsidRPr="00276597" w:rsidRDefault="00276597" w:rsidP="00276597">
      <w:pPr>
        <w:numPr>
          <w:ilvl w:val="0"/>
          <w:numId w:val="3"/>
        </w:numPr>
      </w:pPr>
      <w:r w:rsidRPr="00276597">
        <w:t>oRgb → output arrow (quantized RGB stream)</w:t>
      </w:r>
    </w:p>
    <w:p w14:paraId="154E9183" w14:textId="38E60680" w:rsidR="00276597" w:rsidRPr="00276597" w:rsidRDefault="00276597" w:rsidP="00276597">
      <w:r w:rsidRPr="00276597">
        <w:t xml:space="preserve"> Notes</w:t>
      </w:r>
    </w:p>
    <w:p w14:paraId="0230F8EE" w14:textId="77777777" w:rsidR="00276597" w:rsidRPr="00276597" w:rsidRDefault="00276597" w:rsidP="00276597">
      <w:pPr>
        <w:numPr>
          <w:ilvl w:val="0"/>
          <w:numId w:val="4"/>
        </w:numPr>
      </w:pPr>
      <w:r w:rsidRPr="00276597">
        <w:t>Use color-coded arrows or grouped labels to visually distinguish control, data, and output functions.</w:t>
      </w:r>
    </w:p>
    <w:p w14:paraId="2BCA67A0" w14:textId="77777777" w:rsidR="00276597" w:rsidRPr="00276597" w:rsidRDefault="00276597" w:rsidP="00276597">
      <w:pPr>
        <w:numPr>
          <w:ilvl w:val="0"/>
          <w:numId w:val="4"/>
        </w:numPr>
      </w:pPr>
      <w:r w:rsidRPr="00276597">
        <w:lastRenderedPageBreak/>
        <w:t xml:space="preserve">Include a caption: </w:t>
      </w:r>
      <w:r w:rsidRPr="00276597">
        <w:rPr>
          <w:i/>
          <w:iCs/>
        </w:rPr>
        <w:t>“Top-Level Interface of color_kN_clustering Module”</w:t>
      </w:r>
    </w:p>
    <w:p w14:paraId="1CE0F5AD" w14:textId="77777777" w:rsidR="00276597" w:rsidRDefault="00276597" w:rsidP="00276597">
      <w:pPr>
        <w:pStyle w:val="Heading2"/>
      </w:pPr>
      <w:r>
        <w:t>Internal Architecture Diagram</w:t>
      </w:r>
    </w:p>
    <w:p w14:paraId="6EA67861" w14:textId="77777777" w:rsidR="00276597" w:rsidRDefault="00276597" w:rsidP="00276597">
      <w:pPr>
        <w:pStyle w:val="Heading3"/>
      </w:pPr>
      <w:r>
        <w:t>Purpose</w:t>
      </w:r>
    </w:p>
    <w:p w14:paraId="73251A0F" w14:textId="77777777" w:rsidR="00276597" w:rsidRDefault="00276597" w:rsidP="00276597">
      <w:r w:rsidRPr="00276597">
        <w:t>The internal architecture diagram is designed to reveal the signal flow and major functional blocks that drive the clustering logic within the module.</w:t>
      </w:r>
    </w:p>
    <w:p w14:paraId="7EB3D103" w14:textId="77777777" w:rsidR="00276597" w:rsidRDefault="00276597" w:rsidP="00276597">
      <w:pPr>
        <w:pStyle w:val="Heading3"/>
      </w:pPr>
      <w:r>
        <w:t>Diagram Structure</w:t>
      </w:r>
    </w:p>
    <w:p w14:paraId="4CBEFF05" w14:textId="77777777" w:rsidR="00276597" w:rsidRDefault="00276597" w:rsidP="00276597">
      <w:r w:rsidRPr="00276597">
        <w:t>The diagram follows a main hierarchical layout, with a left-to-right or top-down flow. It highlights several sub-blocks that comprise the system:</w:t>
      </w:r>
    </w:p>
    <w:p w14:paraId="6F3D676E" w14:textId="77777777" w:rsidR="00276597" w:rsidRDefault="00276597" w:rsidP="00276597">
      <w:pPr>
        <w:pStyle w:val="ListParagraph"/>
        <w:numPr>
          <w:ilvl w:val="0"/>
          <w:numId w:val="13"/>
        </w:numPr>
      </w:pPr>
      <w:r w:rsidRPr="00276597">
        <w:t>RGB Synchronization Unit</w:t>
      </w:r>
    </w:p>
    <w:p w14:paraId="2B979749" w14:textId="77777777" w:rsidR="00276597" w:rsidRDefault="00276597" w:rsidP="00276597">
      <w:pPr>
        <w:pStyle w:val="ListParagraph"/>
        <w:numPr>
          <w:ilvl w:val="0"/>
          <w:numId w:val="13"/>
        </w:numPr>
      </w:pPr>
      <w:r w:rsidRPr="00276597">
        <w:t>Inputs: rgbSyncSof, rgbSyncEol, rgbSyncEof, rgbSyncValid</w:t>
      </w:r>
    </w:p>
    <w:p w14:paraId="7AAAA6B3" w14:textId="77777777" w:rsidR="00276597" w:rsidRDefault="00276597" w:rsidP="00276597">
      <w:pPr>
        <w:pStyle w:val="ListParagraph"/>
        <w:numPr>
          <w:ilvl w:val="0"/>
          <w:numId w:val="13"/>
        </w:numPr>
      </w:pPr>
      <w:r w:rsidRPr="00276597">
        <w:t>Function: Aligns pixel timing and frame boundaries.</w:t>
      </w:r>
    </w:p>
    <w:p w14:paraId="1E26A231" w14:textId="77777777" w:rsidR="00276597" w:rsidRDefault="00276597" w:rsidP="00276597">
      <w:r w:rsidRPr="00276597">
        <w:t>K-LUT Memory Banks</w:t>
      </w:r>
    </w:p>
    <w:p w14:paraId="44F53933" w14:textId="77777777" w:rsidR="00276597" w:rsidRDefault="00276597" w:rsidP="00276597">
      <w:r w:rsidRPr="00276597">
        <w:t>Components: k_rgb, k1_rgb to k27rgb</w:t>
      </w:r>
    </w:p>
    <w:p w14:paraId="4CC9EBEE" w14:textId="77777777" w:rsidR="00276597" w:rsidRDefault="00276597" w:rsidP="00276597">
      <w:r w:rsidRPr="00276597">
        <w:t>Function: Stores centroid values for clustering.</w:t>
      </w:r>
    </w:p>
    <w:p w14:paraId="76440628" w14:textId="77777777" w:rsidR="00276597" w:rsidRDefault="00276597" w:rsidP="00276597">
      <w:r w:rsidRPr="00276597">
        <w:t>Thresholding Logic</w:t>
      </w:r>
    </w:p>
    <w:p w14:paraId="1D7C7643" w14:textId="77777777" w:rsidR="00276597" w:rsidRDefault="00276597" w:rsidP="00276597">
      <w:r w:rsidRPr="00276597">
        <w:t>Components: threshold_lms_1 to threshold_lms_21; threshold_red1, threshold_gre1, threshold_blu1, etc.</w:t>
      </w:r>
    </w:p>
    <w:p w14:paraId="19FB50DC" w14:textId="77777777" w:rsidR="00276597" w:rsidRDefault="00276597" w:rsidP="00276597">
      <w:r w:rsidRPr="00276597">
        <w:t>Function: Determines pixel-to-centroid proximity.</w:t>
      </w:r>
    </w:p>
    <w:p w14:paraId="38E0FD1C" w14:textId="77777777" w:rsidR="00276597" w:rsidRDefault="00276597" w:rsidP="00276597">
      <w:r w:rsidRPr="00276597">
        <w:t>RGB Range Calculators</w:t>
      </w:r>
    </w:p>
    <w:p w14:paraId="4F8C724A" w14:textId="77777777" w:rsidR="00276597" w:rsidRDefault="00276597" w:rsidP="00276597">
      <w:r w:rsidRPr="00276597">
        <w:t>Components: rgb_max, rgb_mid, rgb_min</w:t>
      </w:r>
    </w:p>
    <w:p w14:paraId="65A32F2E" w14:textId="77777777" w:rsidR="00276597" w:rsidRDefault="00276597" w:rsidP="00276597">
      <w:r w:rsidRPr="00276597">
        <w:t>Function: Computes pixel intensity ranges for clustering.</w:t>
      </w:r>
    </w:p>
    <w:p w14:paraId="3165BF1F" w14:textId="77777777" w:rsidR="00276597" w:rsidRDefault="00276597" w:rsidP="00276597">
      <w:r w:rsidRPr="00276597">
        <w:t>Output Formatter</w:t>
      </w:r>
    </w:p>
    <w:p w14:paraId="2C222AA4" w14:textId="77777777" w:rsidR="00276597" w:rsidRDefault="00276597" w:rsidP="00276597">
      <w:r w:rsidRPr="00276597">
        <w:t>Function: Generates the final output by replacing pixel values with centroid colors and formatting the result.</w:t>
      </w:r>
    </w:p>
    <w:p w14:paraId="4C80BD10" w14:textId="77777777" w:rsidR="00276597" w:rsidRDefault="00276597" w:rsidP="00276597">
      <w:pPr>
        <w:pStyle w:val="Heading3"/>
      </w:pPr>
      <w:r>
        <w:t>Signal Flow</w:t>
      </w:r>
    </w:p>
    <w:p w14:paraId="1B31709D" w14:textId="77777777" w:rsidR="00276597" w:rsidRDefault="00276597" w:rsidP="00276597">
      <w:r w:rsidRPr="00276597">
        <w:t>Data movement within the architecture is represented by arrows between blocks. The flow begins with iRgb, passes through the synchronization unit, proceeds through the clustering logic, and is then formatted in the output block as oRgb. There is also a feedback loop from the clustering logic to the centroid update mechanism, which then updates the K-LUT memory.</w:t>
      </w:r>
    </w:p>
    <w:p w14:paraId="4ACD429F" w14:textId="77777777" w:rsidR="00276597" w:rsidRDefault="00276597" w:rsidP="00276597">
      <w:pPr>
        <w:pStyle w:val="Heading3"/>
      </w:pPr>
      <w:r>
        <w:t>Notes</w:t>
      </w:r>
    </w:p>
    <w:p w14:paraId="31A953B3" w14:textId="77777777" w:rsidR="00276597" w:rsidRDefault="00276597" w:rsidP="00276597">
      <w:pPr>
        <w:pStyle w:val="ListParagraph"/>
        <w:numPr>
          <w:ilvl w:val="0"/>
          <w:numId w:val="14"/>
        </w:numPr>
      </w:pPr>
      <w:r w:rsidRPr="00276597">
        <w:t>Nested rectangles or labeled arrows are used to represent hierarchy and signal flow within the diagram.</w:t>
      </w:r>
    </w:p>
    <w:p w14:paraId="069E808D" w14:textId="77777777" w:rsidR="00276597" w:rsidRDefault="00276597" w:rsidP="00276597">
      <w:pPr>
        <w:pStyle w:val="ListParagraph"/>
        <w:numPr>
          <w:ilvl w:val="0"/>
          <w:numId w:val="14"/>
        </w:numPr>
      </w:pPr>
      <w:r w:rsidRPr="00276597">
        <w:t>The caption for the diagram should read: “Internal Architecture of color_kN_clustering Module.”</w:t>
      </w:r>
    </w:p>
    <w:p w14:paraId="5A2B3C83" w14:textId="77777777" w:rsidR="00276597" w:rsidRDefault="00276597" w:rsidP="00276597">
      <w:pPr>
        <w:pStyle w:val="Heading2"/>
      </w:pPr>
      <w:r>
        <w:t>K-LUT Bank Visualization</w:t>
      </w:r>
    </w:p>
    <w:p w14:paraId="22B3E3BD" w14:textId="77777777" w:rsidR="00276597" w:rsidRDefault="00276597" w:rsidP="00276597">
      <w:pPr>
        <w:pStyle w:val="Heading3"/>
      </w:pPr>
      <w:r>
        <w:t>Purpose</w:t>
      </w:r>
    </w:p>
    <w:p w14:paraId="6171C238" w14:textId="5F42DA0C" w:rsidR="00276597" w:rsidRPr="00276597" w:rsidRDefault="00276597" w:rsidP="00276597">
      <w:r w:rsidRPr="00276597">
        <w:t>This visualization illustrates the structure and content of the color lookup tables (LUTs) utilized for centroid-based clustering. Each LUT contains 31 entries, with every entry representing a centroid as an RGB triplet.</w:t>
      </w:r>
    </w:p>
    <w:p w14:paraId="74685A3A" w14:textId="77777777" w:rsidR="00276597" w:rsidRDefault="00276597" w:rsidP="00276597">
      <w:pPr>
        <w:pStyle w:val="Heading2"/>
      </w:pPr>
      <w:r>
        <w:t>K-LUT Bank Structure Overview</w:t>
      </w:r>
    </w:p>
    <w:p w14:paraId="40AFEF96" w14:textId="77777777" w:rsidR="00276597" w:rsidRDefault="00276597" w:rsidP="00276597">
      <w:r w:rsidRPr="00276597">
        <w:t>The following section provides a structured representation of the K-LUT Bank, focusing on the organization and contents of the color lookup tables used in centroid-based clustering. Each LUT contains a series of RGB entries that serve as centroids for clustering operations.</w:t>
      </w:r>
    </w:p>
    <w:p w14:paraId="4CD61B33" w14:textId="77777777" w:rsidR="00276597" w:rsidRDefault="00276597" w:rsidP="00276597">
      <w:pPr>
        <w:pStyle w:val="Heading3"/>
      </w:pPr>
      <w:r>
        <w:t>ASCII-Style Diagram</w:t>
      </w:r>
    </w:p>
    <w:p w14:paraId="195D603D" w14:textId="77777777" w:rsidR="00276597" w:rsidRDefault="00276597" w:rsidP="00276597">
      <w:r w:rsidRPr="00276597">
        <w:t>The diagram below presents an ASCII-style visualization of the K-LUT Bank for clarity:</w:t>
      </w:r>
    </w:p>
    <w:p w14:paraId="164C4BBD" w14:textId="77777777" w:rsidR="00276597" w:rsidRDefault="00276597" w:rsidP="00276597">
      <w:pPr>
        <w:pStyle w:val="Heading2"/>
      </w:pPr>
      <w:r>
        <w:t>K-LUT Bank Overview</w:t>
      </w:r>
    </w:p>
    <w:p w14:paraId="1748E501" w14:textId="77777777" w:rsidR="00276597" w:rsidRDefault="00276597" w:rsidP="00276597">
      <w:r w:rsidRPr="00276597">
        <w:t>The table below provides a structured overview of the K-LUT Bank, which is central to the color_kN_clustering module's internal architecture. Each lookup table (LUT) listed contains 31 RGB entries, representing centroids for clustering operations. The organization of the K-LUT Bank is illustrated using an ASCII-style diagram for clarity.</w:t>
      </w:r>
    </w:p>
    <w:tbl>
      <w:tblPr>
        <w:tblStyle w:val="PlainTable1"/>
        <w:tblW w:w="0" w:type="auto"/>
        <w:tblLook w:val="0420" w:firstRow="1" w:lastRow="0" w:firstColumn="0" w:lastColumn="0" w:noHBand="0" w:noVBand="1"/>
      </w:tblPr>
      <w:tblGrid>
        <w:gridCol w:w="4675"/>
        <w:gridCol w:w="4675"/>
      </w:tblGrid>
      <w:tr w:rsidR="00276597" w:rsidRPr="00276597" w14:paraId="09A7CB1E" w14:textId="77777777" w:rsidTr="00276597">
        <w:trPr>
          <w:cnfStyle w:val="100000000000" w:firstRow="1" w:lastRow="0" w:firstColumn="0" w:lastColumn="0" w:oddVBand="0" w:evenVBand="0" w:oddHBand="0" w:evenHBand="0" w:firstRowFirstColumn="0" w:firstRowLastColumn="0" w:lastRowFirstColumn="0" w:lastRowLastColumn="0"/>
        </w:trPr>
        <w:tc>
          <w:tcPr>
            <w:tcW w:w="4675" w:type="dxa"/>
          </w:tcPr>
          <w:p w14:paraId="114E6433" w14:textId="0527E11E" w:rsidR="00276597" w:rsidRPr="00276597" w:rsidRDefault="00276597" w:rsidP="00276597">
            <w:r>
              <w:t>LUT Name</w:t>
            </w:r>
          </w:p>
        </w:tc>
        <w:tc>
          <w:tcPr>
            <w:tcW w:w="4675" w:type="dxa"/>
          </w:tcPr>
          <w:p w14:paraId="0766B12D" w14:textId="65F3FD9C" w:rsidR="00276597" w:rsidRPr="00276597" w:rsidRDefault="00276597" w:rsidP="00276597">
            <w:r>
              <w:t>RGB Entries</w:t>
            </w:r>
          </w:p>
        </w:tc>
      </w:tr>
      <w:tr w:rsidR="00276597" w:rsidRPr="00276597" w14:paraId="2213A26F" w14:textId="77777777" w:rsidTr="00276597">
        <w:trPr>
          <w:cnfStyle w:val="000000100000" w:firstRow="0" w:lastRow="0" w:firstColumn="0" w:lastColumn="0" w:oddVBand="0" w:evenVBand="0" w:oddHBand="1" w:evenHBand="0" w:firstRowFirstColumn="0" w:firstRowLastColumn="0" w:lastRowFirstColumn="0" w:lastRowLastColumn="0"/>
        </w:trPr>
        <w:tc>
          <w:tcPr>
            <w:tcW w:w="4675" w:type="dxa"/>
          </w:tcPr>
          <w:p w14:paraId="660C92F3" w14:textId="664B44ED" w:rsidR="00276597" w:rsidRDefault="00276597" w:rsidP="00276597">
            <w:r>
              <w:t>k_rgb_lut_1_l</w:t>
            </w:r>
          </w:p>
        </w:tc>
        <w:tc>
          <w:tcPr>
            <w:tcW w:w="4675" w:type="dxa"/>
          </w:tcPr>
          <w:p w14:paraId="0B6E5085" w14:textId="70A038AC" w:rsidR="00276597" w:rsidRDefault="00276597" w:rsidP="00276597">
            <w:r>
              <w:t>(R,G,B)_1 → (R,G,B)_31</w:t>
            </w:r>
          </w:p>
        </w:tc>
      </w:tr>
      <w:tr w:rsidR="00276597" w:rsidRPr="00276597" w14:paraId="7C5A9284" w14:textId="77777777" w:rsidTr="00276597">
        <w:tc>
          <w:tcPr>
            <w:tcW w:w="4675" w:type="dxa"/>
          </w:tcPr>
          <w:p w14:paraId="6D1618A8" w14:textId="39B3C14C" w:rsidR="00276597" w:rsidRDefault="00276597" w:rsidP="00276597">
            <w:r>
              <w:t>k_rgb_lut_2_l</w:t>
            </w:r>
          </w:p>
        </w:tc>
        <w:tc>
          <w:tcPr>
            <w:tcW w:w="4675" w:type="dxa"/>
          </w:tcPr>
          <w:p w14:paraId="03BCC83E" w14:textId="400B5774" w:rsidR="00276597" w:rsidRDefault="00276597" w:rsidP="00276597">
            <w:r>
              <w:t>(R,G,B)_1 → (R,G,B)_31</w:t>
            </w:r>
          </w:p>
        </w:tc>
      </w:tr>
      <w:tr w:rsidR="00276597" w:rsidRPr="00276597" w14:paraId="5D9C291C" w14:textId="77777777" w:rsidTr="00276597">
        <w:trPr>
          <w:cnfStyle w:val="000000100000" w:firstRow="0" w:lastRow="0" w:firstColumn="0" w:lastColumn="0" w:oddVBand="0" w:evenVBand="0" w:oddHBand="1" w:evenHBand="0" w:firstRowFirstColumn="0" w:firstRowLastColumn="0" w:lastRowFirstColumn="0" w:lastRowLastColumn="0"/>
        </w:trPr>
        <w:tc>
          <w:tcPr>
            <w:tcW w:w="4675" w:type="dxa"/>
          </w:tcPr>
          <w:p w14:paraId="030642D6" w14:textId="4AE1FF66" w:rsidR="00276597" w:rsidRDefault="00276597" w:rsidP="00276597">
            <w:r>
              <w:t>k_rgb_lut_2ll</w:t>
            </w:r>
          </w:p>
        </w:tc>
        <w:tc>
          <w:tcPr>
            <w:tcW w:w="4675" w:type="dxa"/>
          </w:tcPr>
          <w:p w14:paraId="223EC870" w14:textId="5B0FB8EE" w:rsidR="00276597" w:rsidRDefault="00276597" w:rsidP="00276597">
            <w:r>
              <w:t>(R,G,B)_1 → (R,G,B)_31</w:t>
            </w:r>
          </w:p>
        </w:tc>
      </w:tr>
    </w:tbl>
    <w:p w14:paraId="02916A50" w14:textId="77777777" w:rsidR="00276597" w:rsidRPr="00276597" w:rsidRDefault="00276597" w:rsidP="00276597">
      <w:r w:rsidRPr="00276597">
        <w:t>Each row in the diagram corresponds to a specific lookup table, with its associated RGB entries indexed from 1 to 31. These entries serve as centroids within the clustering process, with every centroid defined by an RGB triplet.</w:t>
      </w:r>
    </w:p>
    <w:p w14:paraId="553478A0" w14:textId="0CD28051" w:rsidR="00276597" w:rsidRPr="00276597" w:rsidRDefault="00276597" w:rsidP="00276597">
      <w:r w:rsidRPr="00276597">
        <w:t>Each row in the diagram corresponds to a specific lookup table, with the associated RGB entries listed from index 1 to 31. These entries represent the centroids used within the clustering process, with each centroid defined by an RGB triplet.</w:t>
      </w:r>
    </w:p>
    <w:p w14:paraId="5904740E" w14:textId="77777777" w:rsidR="00276597" w:rsidRPr="00276597" w:rsidRDefault="00276597" w:rsidP="00276597">
      <w:r w:rsidRPr="00276597">
        <w:t>Each LUT entry:</w:t>
      </w:r>
    </w:p>
    <w:p w14:paraId="1AE52670" w14:textId="77777777" w:rsidR="00276597" w:rsidRPr="00276597" w:rsidRDefault="00276597" w:rsidP="00276597">
      <w:r w:rsidRPr="00276597">
        <w:t xml:space="preserve">Entry_i = { red_i, gre_i, blu_i } </w:t>
      </w:r>
    </w:p>
    <w:p w14:paraId="640058FF" w14:textId="77777777" w:rsidR="00276597" w:rsidRPr="00276597" w:rsidRDefault="00276597" w:rsidP="00276597">
      <w:r w:rsidRPr="00276597">
        <w:t xml:space="preserve">You can visualize this as a </w:t>
      </w:r>
      <w:r w:rsidRPr="00276597">
        <w:rPr>
          <w:b/>
          <w:bCs/>
        </w:rPr>
        <w:t>color swatch matrix</w:t>
      </w:r>
      <w:r w:rsidRPr="00276597">
        <w:t>:</w:t>
      </w:r>
    </w:p>
    <w:p w14:paraId="7C632552" w14:textId="77777777" w:rsidR="00276597" w:rsidRPr="00276597" w:rsidRDefault="00276597" w:rsidP="00276597">
      <w:pPr>
        <w:numPr>
          <w:ilvl w:val="0"/>
          <w:numId w:val="11"/>
        </w:numPr>
      </w:pPr>
      <w:r w:rsidRPr="00276597">
        <w:t>31 horizontal blocks per LUT</w:t>
      </w:r>
    </w:p>
    <w:p w14:paraId="029BB035" w14:textId="77777777" w:rsidR="00276597" w:rsidRPr="00276597" w:rsidRDefault="00276597" w:rsidP="00276597">
      <w:pPr>
        <w:numPr>
          <w:ilvl w:val="0"/>
          <w:numId w:val="11"/>
        </w:numPr>
      </w:pPr>
      <w:r w:rsidRPr="00276597">
        <w:t>Each block filled with its RGB color</w:t>
      </w:r>
    </w:p>
    <w:p w14:paraId="29C386A5" w14:textId="77777777" w:rsidR="00276597" w:rsidRPr="00276597" w:rsidRDefault="00276597" w:rsidP="00276597">
      <w:pPr>
        <w:numPr>
          <w:ilvl w:val="0"/>
          <w:numId w:val="11"/>
        </w:numPr>
      </w:pPr>
      <w:r w:rsidRPr="00276597">
        <w:t>Optional annotation: centroid index (e.g., C₁, C₂, … C₃₁)</w:t>
      </w:r>
    </w:p>
    <w:p w14:paraId="4D1133EC" w14:textId="1C6981F9" w:rsidR="00276597" w:rsidRPr="00276597" w:rsidRDefault="00276597" w:rsidP="00276597">
      <w:r w:rsidRPr="00276597">
        <w:t>Symbolic Expansion (for manuscript use)</w:t>
      </w:r>
    </w:p>
    <w:p w14:paraId="2801B642" w14:textId="77777777" w:rsidR="00276597" w:rsidRPr="00276597" w:rsidRDefault="00276597" w:rsidP="00276597">
      <w:r w:rsidRPr="00276597">
        <w:t xml:space="preserve">You could represent each LUT as a </w:t>
      </w:r>
      <w:r w:rsidRPr="00276597">
        <w:rPr>
          <w:b/>
          <w:bCs/>
        </w:rPr>
        <w:t>Color Tribunal Panel</w:t>
      </w:r>
      <w:r w:rsidRPr="00276597">
        <w:t>:</w:t>
      </w:r>
    </w:p>
    <w:p w14:paraId="64B9CD6D" w14:textId="77777777" w:rsidR="00276597" w:rsidRPr="00276597" w:rsidRDefault="00276597" w:rsidP="00276597">
      <w:pPr>
        <w:numPr>
          <w:ilvl w:val="0"/>
          <w:numId w:val="12"/>
        </w:numPr>
      </w:pPr>
      <w:r w:rsidRPr="00276597">
        <w:t>Each centroid is a “Judge” with a color robe (RGB swatch)</w:t>
      </w:r>
    </w:p>
    <w:p w14:paraId="470ACB6E" w14:textId="77777777" w:rsidR="00276597" w:rsidRPr="00276597" w:rsidRDefault="00276597" w:rsidP="00276597">
      <w:pPr>
        <w:numPr>
          <w:ilvl w:val="0"/>
          <w:numId w:val="12"/>
        </w:numPr>
      </w:pPr>
      <w:r w:rsidRPr="00276597">
        <w:t>The LUT is the “Bench” where clustering decisions are made</w:t>
      </w:r>
    </w:p>
    <w:p w14:paraId="042B05F8" w14:textId="77777777" w:rsidR="00276597" w:rsidRPr="00276597" w:rsidRDefault="00276597" w:rsidP="00276597">
      <w:pPr>
        <w:numPr>
          <w:ilvl w:val="0"/>
          <w:numId w:val="12"/>
        </w:numPr>
      </w:pPr>
      <w:r w:rsidRPr="00276597">
        <w:t>Chapter opener could show 3 benches (LUTs) with 31 color judges each</w:t>
      </w:r>
    </w:p>
    <w:p w14:paraId="37E900A1" w14:textId="77777777" w:rsidR="00276597" w:rsidRDefault="00276597" w:rsidP="00276597">
      <w:pPr>
        <w:pStyle w:val="Heading2"/>
      </w:pPr>
      <w:r>
        <w:t>K-LUT Bank Overview</w:t>
      </w:r>
    </w:p>
    <w:tbl>
      <w:tblPr>
        <w:tblStyle w:val="PlainTable1"/>
        <w:tblW w:w="0" w:type="auto"/>
        <w:tblLook w:val="0420" w:firstRow="1" w:lastRow="0" w:firstColumn="0" w:lastColumn="0" w:noHBand="0" w:noVBand="1"/>
      </w:tblPr>
      <w:tblGrid>
        <w:gridCol w:w="4675"/>
        <w:gridCol w:w="4675"/>
      </w:tblGrid>
      <w:tr w:rsidR="00276597" w:rsidRPr="00276597" w14:paraId="45D45533" w14:textId="77777777" w:rsidTr="00276597">
        <w:trPr>
          <w:cnfStyle w:val="100000000000" w:firstRow="1" w:lastRow="0" w:firstColumn="0" w:lastColumn="0" w:oddVBand="0" w:evenVBand="0" w:oddHBand="0" w:evenHBand="0" w:firstRowFirstColumn="0" w:firstRowLastColumn="0" w:lastRowFirstColumn="0" w:lastRowLastColumn="0"/>
        </w:trPr>
        <w:tc>
          <w:tcPr>
            <w:tcW w:w="4675" w:type="dxa"/>
          </w:tcPr>
          <w:p w14:paraId="1AAA9E07" w14:textId="7DD55A0B" w:rsidR="00276597" w:rsidRPr="00276597" w:rsidRDefault="00276597" w:rsidP="00276597">
            <w:r>
              <w:t>LUT Name</w:t>
            </w:r>
          </w:p>
        </w:tc>
        <w:tc>
          <w:tcPr>
            <w:tcW w:w="4675" w:type="dxa"/>
          </w:tcPr>
          <w:p w14:paraId="1E7D3E86" w14:textId="7CEC5400" w:rsidR="00276597" w:rsidRPr="00276597" w:rsidRDefault="00276597" w:rsidP="00276597">
            <w:r>
              <w:t>RGB Entries</w:t>
            </w:r>
          </w:p>
        </w:tc>
      </w:tr>
      <w:tr w:rsidR="00276597" w:rsidRPr="00276597" w14:paraId="2A4E5C4B" w14:textId="77777777" w:rsidTr="00276597">
        <w:trPr>
          <w:cnfStyle w:val="000000100000" w:firstRow="0" w:lastRow="0" w:firstColumn="0" w:lastColumn="0" w:oddVBand="0" w:evenVBand="0" w:oddHBand="1" w:evenHBand="0" w:firstRowFirstColumn="0" w:firstRowLastColumn="0" w:lastRowFirstColumn="0" w:lastRowLastColumn="0"/>
        </w:trPr>
        <w:tc>
          <w:tcPr>
            <w:tcW w:w="4675" w:type="dxa"/>
          </w:tcPr>
          <w:p w14:paraId="2EFC757B" w14:textId="1B378569" w:rsidR="00276597" w:rsidRDefault="00276597" w:rsidP="00276597">
            <w:r>
              <w:t>k_rgb_lut_1_l</w:t>
            </w:r>
          </w:p>
        </w:tc>
        <w:tc>
          <w:tcPr>
            <w:tcW w:w="4675" w:type="dxa"/>
          </w:tcPr>
          <w:p w14:paraId="2633BFB5" w14:textId="3C05D0A8" w:rsidR="00276597" w:rsidRDefault="00276597" w:rsidP="00276597">
            <w:r>
              <w:t>(R,G,B)&lt;sub&gt;1&lt;/sub&gt; → (R,G,B)&lt;sub&gt;31&lt;/sub&gt;</w:t>
            </w:r>
          </w:p>
        </w:tc>
      </w:tr>
      <w:tr w:rsidR="00276597" w:rsidRPr="00276597" w14:paraId="7684F147" w14:textId="77777777" w:rsidTr="00276597">
        <w:tc>
          <w:tcPr>
            <w:tcW w:w="4675" w:type="dxa"/>
          </w:tcPr>
          <w:p w14:paraId="03F06D63" w14:textId="6529369D" w:rsidR="00276597" w:rsidRDefault="00276597" w:rsidP="00276597">
            <w:r>
              <w:t>k_rgb_lut_2_l</w:t>
            </w:r>
          </w:p>
        </w:tc>
        <w:tc>
          <w:tcPr>
            <w:tcW w:w="4675" w:type="dxa"/>
          </w:tcPr>
          <w:p w14:paraId="39A127E9" w14:textId="79210EC1" w:rsidR="00276597" w:rsidRDefault="00276597" w:rsidP="00276597">
            <w:r>
              <w:t>(R,G,B)&lt;sub&gt;1&lt;/sub&gt; → (R,G,B)&lt;sub&gt;31&lt;/sub&gt;</w:t>
            </w:r>
          </w:p>
        </w:tc>
      </w:tr>
      <w:tr w:rsidR="00276597" w:rsidRPr="00276597" w14:paraId="5D4728C2" w14:textId="77777777" w:rsidTr="00276597">
        <w:trPr>
          <w:cnfStyle w:val="000000100000" w:firstRow="0" w:lastRow="0" w:firstColumn="0" w:lastColumn="0" w:oddVBand="0" w:evenVBand="0" w:oddHBand="1" w:evenHBand="0" w:firstRowFirstColumn="0" w:firstRowLastColumn="0" w:lastRowFirstColumn="0" w:lastRowLastColumn="0"/>
        </w:trPr>
        <w:tc>
          <w:tcPr>
            <w:tcW w:w="4675" w:type="dxa"/>
          </w:tcPr>
          <w:p w14:paraId="21A7D087" w14:textId="0DF38F98" w:rsidR="00276597" w:rsidRDefault="00276597" w:rsidP="00276597">
            <w:r>
              <w:t>k_rgb_lut_2ll</w:t>
            </w:r>
          </w:p>
        </w:tc>
        <w:tc>
          <w:tcPr>
            <w:tcW w:w="4675" w:type="dxa"/>
          </w:tcPr>
          <w:p w14:paraId="3DF78F74" w14:textId="53D86A06" w:rsidR="00276597" w:rsidRDefault="00276597" w:rsidP="00276597">
            <w:r>
              <w:t>(R,G,B)&lt;sub&gt;1&lt;/sub&gt; → (R,G,B)&lt;sub&gt;31&lt;/sub&gt;</w:t>
            </w:r>
          </w:p>
        </w:tc>
      </w:tr>
    </w:tbl>
    <w:p w14:paraId="080FEEFB" w14:textId="77777777" w:rsidR="00276597" w:rsidRPr="00276597" w:rsidRDefault="00276597" w:rsidP="00276597">
      <w:r w:rsidRPr="00276597">
        <w:t>Each K-LUT (Key Look-Up Table) listed above contains 31 RGB entries. For each LUT, the entries are indexed from 1 to 31 and represent individual RGB color values. These LUTs form the basis of the color clustering system, with each entry serving as a centroid in the color space.</w:t>
      </w:r>
    </w:p>
    <w:p w14:paraId="3C9F4BF2" w14:textId="77B223AF" w:rsidR="00850F76" w:rsidRDefault="00850F76" w:rsidP="00276597">
      <w:pPr>
        <w:pStyle w:val="Heading2"/>
      </w:pPr>
    </w:p>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38C2"/>
    <w:multiLevelType w:val="multilevel"/>
    <w:tmpl w:val="552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73B3C"/>
    <w:multiLevelType w:val="multilevel"/>
    <w:tmpl w:val="6004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018FC"/>
    <w:multiLevelType w:val="multilevel"/>
    <w:tmpl w:val="6C6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2391D"/>
    <w:multiLevelType w:val="multilevel"/>
    <w:tmpl w:val="A85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430C"/>
    <w:multiLevelType w:val="multilevel"/>
    <w:tmpl w:val="C162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77813"/>
    <w:multiLevelType w:val="hybridMultilevel"/>
    <w:tmpl w:val="A38E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B72EE"/>
    <w:multiLevelType w:val="multilevel"/>
    <w:tmpl w:val="C41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2509E"/>
    <w:multiLevelType w:val="multilevel"/>
    <w:tmpl w:val="2C1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44B7B"/>
    <w:multiLevelType w:val="multilevel"/>
    <w:tmpl w:val="D47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035B"/>
    <w:multiLevelType w:val="multilevel"/>
    <w:tmpl w:val="CE0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55E7F"/>
    <w:multiLevelType w:val="hybridMultilevel"/>
    <w:tmpl w:val="E8A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903096"/>
    <w:multiLevelType w:val="multilevel"/>
    <w:tmpl w:val="5A7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E4980"/>
    <w:multiLevelType w:val="multilevel"/>
    <w:tmpl w:val="DDC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F47A7"/>
    <w:multiLevelType w:val="multilevel"/>
    <w:tmpl w:val="056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14143">
    <w:abstractNumId w:val="2"/>
  </w:num>
  <w:num w:numId="2" w16cid:durableId="162404502">
    <w:abstractNumId w:val="4"/>
  </w:num>
  <w:num w:numId="3" w16cid:durableId="1751461322">
    <w:abstractNumId w:val="9"/>
  </w:num>
  <w:num w:numId="4" w16cid:durableId="1948152878">
    <w:abstractNumId w:val="7"/>
  </w:num>
  <w:num w:numId="5" w16cid:durableId="2147385283">
    <w:abstractNumId w:val="6"/>
  </w:num>
  <w:num w:numId="6" w16cid:durableId="921178088">
    <w:abstractNumId w:val="1"/>
  </w:num>
  <w:num w:numId="7" w16cid:durableId="1928683726">
    <w:abstractNumId w:val="8"/>
  </w:num>
  <w:num w:numId="8" w16cid:durableId="213203821">
    <w:abstractNumId w:val="13"/>
  </w:num>
  <w:num w:numId="9" w16cid:durableId="296227057">
    <w:abstractNumId w:val="11"/>
  </w:num>
  <w:num w:numId="10" w16cid:durableId="1807552050">
    <w:abstractNumId w:val="0"/>
  </w:num>
  <w:num w:numId="11" w16cid:durableId="10764069">
    <w:abstractNumId w:val="12"/>
  </w:num>
  <w:num w:numId="12" w16cid:durableId="1201357621">
    <w:abstractNumId w:val="3"/>
  </w:num>
  <w:num w:numId="13" w16cid:durableId="1778677959">
    <w:abstractNumId w:val="5"/>
  </w:num>
  <w:num w:numId="14" w16cid:durableId="361133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97"/>
    <w:rsid w:val="000155CD"/>
    <w:rsid w:val="00276597"/>
    <w:rsid w:val="003071B4"/>
    <w:rsid w:val="003115CE"/>
    <w:rsid w:val="003C0D74"/>
    <w:rsid w:val="00531353"/>
    <w:rsid w:val="00542C4F"/>
    <w:rsid w:val="006C54F8"/>
    <w:rsid w:val="00850F76"/>
    <w:rsid w:val="00861B91"/>
    <w:rsid w:val="008724C7"/>
    <w:rsid w:val="008C611B"/>
    <w:rsid w:val="009E72C0"/>
    <w:rsid w:val="00A9161E"/>
    <w:rsid w:val="00AB503F"/>
    <w:rsid w:val="00C833DE"/>
    <w:rsid w:val="00D950DF"/>
    <w:rsid w:val="00F45C18"/>
    <w:rsid w:val="00F82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15E0B"/>
  <w15:chartTrackingRefBased/>
  <w15:docId w15:val="{2F284897-03BF-4596-AFB7-4980BC5C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27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27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97"/>
    <w:rPr>
      <w:rFonts w:eastAsiaTheme="majorEastAsia" w:cstheme="majorBidi"/>
      <w:color w:val="272727" w:themeColor="text1" w:themeTint="D8"/>
    </w:rPr>
  </w:style>
  <w:style w:type="paragraph" w:styleId="Title">
    <w:name w:val="Title"/>
    <w:basedOn w:val="Normal"/>
    <w:next w:val="Normal"/>
    <w:link w:val="TitleChar"/>
    <w:uiPriority w:val="10"/>
    <w:qFormat/>
    <w:rsid w:val="0027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97"/>
    <w:pPr>
      <w:spacing w:before="160"/>
      <w:jc w:val="center"/>
    </w:pPr>
    <w:rPr>
      <w:i/>
      <w:iCs/>
      <w:color w:val="404040" w:themeColor="text1" w:themeTint="BF"/>
    </w:rPr>
  </w:style>
  <w:style w:type="character" w:customStyle="1" w:styleId="QuoteChar">
    <w:name w:val="Quote Char"/>
    <w:basedOn w:val="DefaultParagraphFont"/>
    <w:link w:val="Quote"/>
    <w:uiPriority w:val="29"/>
    <w:rsid w:val="00276597"/>
    <w:rPr>
      <w:i/>
      <w:iCs/>
      <w:color w:val="404040" w:themeColor="text1" w:themeTint="BF"/>
    </w:rPr>
  </w:style>
  <w:style w:type="paragraph" w:styleId="ListParagraph">
    <w:name w:val="List Paragraph"/>
    <w:basedOn w:val="Normal"/>
    <w:uiPriority w:val="34"/>
    <w:qFormat/>
    <w:rsid w:val="00276597"/>
    <w:pPr>
      <w:ind w:left="720"/>
      <w:contextualSpacing/>
    </w:pPr>
  </w:style>
  <w:style w:type="character" w:styleId="IntenseEmphasis">
    <w:name w:val="Intense Emphasis"/>
    <w:basedOn w:val="DefaultParagraphFont"/>
    <w:uiPriority w:val="21"/>
    <w:qFormat/>
    <w:rsid w:val="00276597"/>
    <w:rPr>
      <w:i/>
      <w:iCs/>
      <w:color w:val="0F4761" w:themeColor="accent1" w:themeShade="BF"/>
    </w:rPr>
  </w:style>
  <w:style w:type="paragraph" w:styleId="IntenseQuote">
    <w:name w:val="Intense Quote"/>
    <w:basedOn w:val="Normal"/>
    <w:next w:val="Normal"/>
    <w:link w:val="IntenseQuoteChar"/>
    <w:uiPriority w:val="30"/>
    <w:qFormat/>
    <w:rsid w:val="0027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97"/>
    <w:rPr>
      <w:i/>
      <w:iCs/>
      <w:color w:val="0F4761" w:themeColor="accent1" w:themeShade="BF"/>
    </w:rPr>
  </w:style>
  <w:style w:type="character" w:styleId="IntenseReference">
    <w:name w:val="Intense Reference"/>
    <w:basedOn w:val="DefaultParagraphFont"/>
    <w:uiPriority w:val="32"/>
    <w:qFormat/>
    <w:rsid w:val="00276597"/>
    <w:rPr>
      <w:b/>
      <w:bCs/>
      <w:smallCaps/>
      <w:color w:val="0F4761" w:themeColor="accent1" w:themeShade="BF"/>
      <w:spacing w:val="5"/>
    </w:rPr>
  </w:style>
  <w:style w:type="table" w:styleId="TableGrid">
    <w:name w:val="Table Grid"/>
    <w:basedOn w:val="TableNormal"/>
    <w:uiPriority w:val="39"/>
    <w:rsid w:val="00276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765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764</Words>
  <Characters>4466</Characters>
  <Application>Microsoft Office Word</Application>
  <DocSecurity>0</DocSecurity>
  <Lines>117</Lines>
  <Paragraphs>100</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Purpose</vt:lpstr>
      <vt:lpstr>    Internal Architecture Diagram</vt:lpstr>
      <vt:lpstr>        Purpose</vt:lpstr>
      <vt:lpstr>        Diagram Structure</vt:lpstr>
      <vt:lpstr>        Signal Flow</vt:lpstr>
      <vt:lpstr>        Notes</vt:lpstr>
      <vt:lpstr>    K-LUT Bank Visualization</vt:lpstr>
      <vt:lpstr>        Purpose</vt:lpstr>
      <vt:lpstr>    K-LUT Bank Structure Overview</vt:lpstr>
      <vt:lpstr>        ASCII-Style Diagram</vt:lpstr>
      <vt:lpstr>    K-LUT Bank Overview</vt:lpstr>
      <vt:lpstr>    K-LUT Bank Overview</vt:lpstr>
      <vt: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2</cp:revision>
  <dcterms:created xsi:type="dcterms:W3CDTF">2025-10-14T06:22:00Z</dcterms:created>
  <dcterms:modified xsi:type="dcterms:W3CDTF">2025-10-14T06:22:00Z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8ff96bb7-0ca9-4ec2-a9ac-95902da09bcc</vt:lpwstr>
  </property>
</Properties>
</file>