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Cavite State University</w:t>
        <w:br/>
        <w:t>College of Engineering and Information Technology</w:t>
      </w:r>
    </w:p>
    <w:p>
      <w:pPr>
        <w:pStyle w:val="Title"/>
      </w:pPr>
      <w:r>
        <w:t>Project Plan</w:t>
      </w:r>
    </w:p>
    <w:p>
      <w:pPr>
        <w:pStyle w:val="Subtitle"/>
      </w:pPr>
      <w:r>
        <w:t>VenueVue</w:t>
      </w:r>
    </w:p>
    <w:p>
      <w:r>
        <w:t>An Internet-Independent, Locally Networked, Offline-First Point-of-Sale and Recipe-Driven Inventory System for Nearby Café</w:t>
      </w:r>
    </w:p>
    <w:p>
      <w:r>
        <w:t>COSC 75: Software Engineering II</w:t>
        <w:br/>
        <w:t>CTRL + STAY</w:t>
      </w:r>
    </w:p>
    <w:p>
      <w:r>
        <w:drawing>
          <wp:inline xmlns:a="http://schemas.openxmlformats.org/drawingml/2006/main" xmlns:pic="http://schemas.openxmlformats.org/drawingml/2006/picture">
            <wp:extent cx="1463040" cy="1463040"/>
            <wp:docPr id="1" name="Picture 1"/>
            <wp:cNvGraphicFramePr>
              <a:graphicFrameLocks noChangeAspect="1"/>
            </wp:cNvGraphicFramePr>
            <a:graphic>
              <a:graphicData uri="http://schemas.openxmlformats.org/drawingml/2006/picture">
                <pic:pic>
                  <pic:nvPicPr>
                    <pic:cNvPr id="0" name="nearby-cafe-logo.png"/>
                    <pic:cNvPicPr/>
                  </pic:nvPicPr>
                  <pic:blipFill>
                    <a:blip r:embed="rId11"/>
                    <a:stretch>
                      <a:fillRect/>
                    </a:stretch>
                  </pic:blipFill>
                  <pic:spPr>
                    <a:xfrm>
                      <a:off x="0" y="0"/>
                      <a:ext cx="1463040" cy="1463040"/>
                    </a:xfrm>
                    <a:prstGeom prst="rect"/>
                  </pic:spPr>
                </pic:pic>
              </a:graphicData>
            </a:graphic>
          </wp:inline>
        </w:drawing>
      </w:r>
    </w:p>
    <w:p>
      <w:r>
        <w:t>Prepared by</w:t>
        <w:br/>
        <w:t>Zaki Zapico — Project Manager / Lead Developer</w:t>
        <w:br/>
        <w:t>Jenny Lyn Roquid — System Analyst</w:t>
        <w:br/>
        <w:t>Rhea Mae Gregorio — QA &amp; Testing Specialist</w:t>
      </w:r>
    </w:p>
    <w:p>
      <w:r>
        <w:t>Revised October 27, 2026</w:t>
        <w:br/>
        <w:t>Target completion date: November 20, 2026</w:t>
      </w:r>
    </w:p>
    <w:p>
      <w:pPr>
        <w:pStyle w:val="Heading1"/>
        <w:pageBreakBefore/>
        <w:outlineLvl w:val="9"/>
      </w:pPr>
      <w:r>
        <w:t>Abstract</w:t>
      </w:r>
    </w:p>
    <w:p>
      <w:r>
        <w:t>This Project Plan establishes the scope, responsibilities, development approach, resources, schedule, and budget for VenueVue: An Internet-Independent, Locally Networked, Offline-First Point-of-Sale and Recipe-Driven Inventory System for Nearby Café (formerly referenced as TravelBean MNL in the initial planning baseline). The project addresses manual sales recording, repeated tallying, and the difficulty of relating drink sales to raw ingredient consumption.</w:t>
      </w:r>
    </w:p>
    <w:p>
      <w:r>
        <w:t>The delivery scope covers cash checkout, product variants with explicit recipes, batch inventory, expiry and opened-stock controls, sales reporting, and persistent pending orders. A single Owner/Admin role manages the system, while Baristas use the Register. The plan also covers guarded account setup, password recovery, audit history, and manual encrypted backup and restore. Successful client operation and acceptance testing remain core delivery commitments prior to handover.</w:t>
      </w:r>
    </w:p>
    <w:p>
      <w:r>
        <w:t>Primary local deployment operates without WAN internet while the Windows host computer and local wireless network remain active. Optional online deployment uses a cloud-hosted PHP API and MariaDB/MySQL database over HTTPS when internet-connected cloud operation is preferred. The two deployment modes operate against independent authoritative databases and do not automatically merge live inventories. The project retains November 20, 2026 as its development and handover target.</w:t>
      </w:r>
    </w:p>
    <w:p>
      <w:pPr>
        <w:pStyle w:val="Heading1"/>
        <w:outlineLvl w:val="9"/>
      </w:pPr>
      <w:r>
        <w:t>Disclaimer</w:t>
      </w:r>
    </w:p>
    <w:p>
      <w:r>
        <w:t>This document is prepared for COSC 75: Software Engineering II at Cavite State University. Statements about the operational context reflect the validated VenueVue baseline for Nearby Café. Third-party product descriptions are attributed to their official vendor documentation. Software verification evidence reflects the automated and local host test suites and guides final client acceptance testing prior to handover.</w:t>
      </w:r>
    </w:p>
    <w:p>
      <w:r>
        <w:t>This plan establishes the architecture-reconciled baseline across primary local LAN operation and optional online hosting, defining the concrete verification gates leading to final client sign-off.</w:t>
      </w:r>
    </w:p>
    <w:p>
      <w:pPr>
        <w:pStyle w:val="Heading1"/>
        <w:pageBreakBefore/>
        <w:outlineLvl w:val="9"/>
      </w:pPr>
      <w:r>
        <w:t>Table of Contents</w:t>
      </w:r>
    </w:p>
    <w:p>
      <w:r>
        <w:fldChar w:fldCharType="begin"/>
      </w:r>
      <w:r>
        <w:instrText xml:space="preserve"> TOC \o "1-2" \h \z \u </w:instrText>
      </w:r>
      <w:r>
        <w:fldChar w:fldCharType="separate"/>
      </w:r>
    </w:p>
    <w:p>
      <w:pPr>
        <w:tabs>
          <w:tab w:pos="9504" w:val="right" w:leader="dot"/>
        </w:tabs>
        <w:spacing w:after="40"/>
        <w:ind w:left="0"/>
      </w:pPr>
      <w:r>
        <w:t>1. The Problem Domain</w:t>
      </w:r>
      <w:r>
        <w:tab/>
        <w:t>4</w:t>
      </w:r>
    </w:p>
    <w:p>
      <w:pPr>
        <w:tabs>
          <w:tab w:pos="9504" w:val="right" w:leader="dot"/>
        </w:tabs>
        <w:spacing w:after="40"/>
        <w:ind w:left="259"/>
      </w:pPr>
      <w:r>
        <w:t>1.1 Statement of the Problem</w:t>
      </w:r>
      <w:r>
        <w:tab/>
        <w:t>4</w:t>
      </w:r>
    </w:p>
    <w:p>
      <w:pPr>
        <w:tabs>
          <w:tab w:pos="9504" w:val="right" w:leader="dot"/>
        </w:tabs>
        <w:spacing w:after="40"/>
        <w:ind w:left="259"/>
      </w:pPr>
      <w:r>
        <w:t>1.2 Background and Rationale</w:t>
      </w:r>
      <w:r>
        <w:tab/>
        <w:t>4</w:t>
      </w:r>
    </w:p>
    <w:p>
      <w:pPr>
        <w:tabs>
          <w:tab w:pos="9504" w:val="right" w:leader="dot"/>
        </w:tabs>
        <w:spacing w:after="40"/>
        <w:ind w:left="259"/>
      </w:pPr>
      <w:r>
        <w:t>1.3 Objectives</w:t>
      </w:r>
      <w:r>
        <w:tab/>
        <w:t>5</w:t>
      </w:r>
    </w:p>
    <w:p>
      <w:pPr>
        <w:tabs>
          <w:tab w:pos="9504" w:val="right" w:leader="dot"/>
        </w:tabs>
        <w:spacing w:after="40"/>
        <w:ind w:left="259"/>
      </w:pPr>
      <w:r>
        <w:t>1.4 Significance and Scope of the Project</w:t>
      </w:r>
      <w:r>
        <w:tab/>
        <w:t>5</w:t>
      </w:r>
    </w:p>
    <w:p>
      <w:pPr>
        <w:tabs>
          <w:tab w:pos="9504" w:val="right" w:leader="dot"/>
        </w:tabs>
        <w:spacing w:after="40"/>
        <w:ind w:left="0"/>
      </w:pPr>
      <w:r>
        <w:t>2. Project Organization</w:t>
      </w:r>
      <w:r>
        <w:tab/>
        <w:t>6</w:t>
      </w:r>
    </w:p>
    <w:p>
      <w:pPr>
        <w:tabs>
          <w:tab w:pos="9504" w:val="right" w:leader="dot"/>
        </w:tabs>
        <w:spacing w:after="40"/>
        <w:ind w:left="259"/>
      </w:pPr>
      <w:r>
        <w:t>2.1 External Interfaces</w:t>
      </w:r>
      <w:r>
        <w:tab/>
        <w:t>6</w:t>
      </w:r>
    </w:p>
    <w:p>
      <w:pPr>
        <w:tabs>
          <w:tab w:pos="9504" w:val="right" w:leader="dot"/>
        </w:tabs>
        <w:spacing w:after="40"/>
        <w:ind w:left="259"/>
      </w:pPr>
      <w:r>
        <w:t>2.2 Internal Structure</w:t>
      </w:r>
      <w:r>
        <w:tab/>
        <w:t>6</w:t>
      </w:r>
    </w:p>
    <w:p>
      <w:pPr>
        <w:tabs>
          <w:tab w:pos="9504" w:val="right" w:leader="dot"/>
        </w:tabs>
        <w:spacing w:after="40"/>
        <w:ind w:left="259"/>
      </w:pPr>
      <w:r>
        <w:t>2.3 Roles and Responsibilities</w:t>
      </w:r>
      <w:r>
        <w:tab/>
        <w:t>6</w:t>
      </w:r>
    </w:p>
    <w:p>
      <w:pPr>
        <w:tabs>
          <w:tab w:pos="9504" w:val="right" w:leader="dot"/>
        </w:tabs>
        <w:spacing w:after="40"/>
        <w:ind w:left="259"/>
      </w:pPr>
      <w:r>
        <w:t>2.4 Deliverables</w:t>
      </w:r>
      <w:r>
        <w:tab/>
        <w:t>6</w:t>
      </w:r>
    </w:p>
    <w:p>
      <w:pPr>
        <w:tabs>
          <w:tab w:pos="9504" w:val="right" w:leader="dot"/>
        </w:tabs>
        <w:spacing w:after="40"/>
        <w:ind w:left="0"/>
      </w:pPr>
      <w:r>
        <w:t>3. Review of Existing Alternatives</w:t>
      </w:r>
      <w:r>
        <w:tab/>
        <w:t>7</w:t>
      </w:r>
    </w:p>
    <w:p>
      <w:pPr>
        <w:tabs>
          <w:tab w:pos="9504" w:val="right" w:leader="dot"/>
        </w:tabs>
        <w:spacing w:after="40"/>
        <w:ind w:left="0"/>
      </w:pPr>
      <w:r>
        <w:t>4. Approach to be taken in this subject</w:t>
      </w:r>
      <w:r>
        <w:tab/>
        <w:t>8</w:t>
      </w:r>
    </w:p>
    <w:p>
      <w:pPr>
        <w:tabs>
          <w:tab w:pos="9504" w:val="right" w:leader="dot"/>
        </w:tabs>
        <w:spacing w:after="40"/>
        <w:ind w:left="259"/>
      </w:pPr>
      <w:r>
        <w:t>4.1 Theoretical Framework / Methods to be Used</w:t>
      </w:r>
      <w:r>
        <w:tab/>
        <w:t>8</w:t>
      </w:r>
    </w:p>
    <w:p>
      <w:pPr>
        <w:tabs>
          <w:tab w:pos="9504" w:val="right" w:leader="dot"/>
        </w:tabs>
        <w:spacing w:after="40"/>
        <w:ind w:left="259"/>
      </w:pPr>
      <w:r>
        <w:t>4.2 Rationale for the Framework / Methods</w:t>
      </w:r>
      <w:r>
        <w:tab/>
        <w:t>8</w:t>
      </w:r>
    </w:p>
    <w:p>
      <w:pPr>
        <w:tabs>
          <w:tab w:pos="9504" w:val="right" w:leader="dot"/>
        </w:tabs>
        <w:spacing w:after="40"/>
        <w:ind w:left="259"/>
      </w:pPr>
      <w:r>
        <w:t>4.3 Technologies you plan to consider or use</w:t>
      </w:r>
      <w:r>
        <w:tab/>
        <w:t>8</w:t>
      </w:r>
    </w:p>
    <w:p>
      <w:pPr>
        <w:tabs>
          <w:tab w:pos="9504" w:val="right" w:leader="dot"/>
        </w:tabs>
        <w:spacing w:after="40"/>
        <w:ind w:left="0"/>
      </w:pPr>
      <w:r>
        <w:t>5. System Design</w:t>
      </w:r>
      <w:r>
        <w:tab/>
        <w:t>9</w:t>
      </w:r>
    </w:p>
    <w:p>
      <w:pPr>
        <w:tabs>
          <w:tab w:pos="9504" w:val="right" w:leader="dot"/>
        </w:tabs>
        <w:spacing w:after="40"/>
        <w:ind w:left="259"/>
      </w:pPr>
      <w:r>
        <w:t>5.1 Requirements</w:t>
      </w:r>
      <w:r>
        <w:tab/>
        <w:t>9</w:t>
      </w:r>
    </w:p>
    <w:p>
      <w:pPr>
        <w:tabs>
          <w:tab w:pos="9504" w:val="right" w:leader="dot"/>
        </w:tabs>
        <w:spacing w:after="40"/>
        <w:ind w:left="259"/>
      </w:pPr>
      <w:r>
        <w:t>5.2 Resources</w:t>
      </w:r>
      <w:r>
        <w:tab/>
        <w:t>10</w:t>
      </w:r>
    </w:p>
    <w:p>
      <w:pPr>
        <w:tabs>
          <w:tab w:pos="9504" w:val="right" w:leader="dot"/>
        </w:tabs>
        <w:spacing w:after="40"/>
        <w:ind w:left="259"/>
      </w:pPr>
      <w:r>
        <w:t>5.3 System Overview</w:t>
      </w:r>
      <w:r>
        <w:tab/>
        <w:t>10</w:t>
      </w:r>
    </w:p>
    <w:p>
      <w:pPr>
        <w:tabs>
          <w:tab w:pos="9504" w:val="right" w:leader="dot"/>
        </w:tabs>
        <w:spacing w:after="40"/>
        <w:ind w:left="0"/>
      </w:pPr>
      <w:r>
        <w:t>6. Project Timeline</w:t>
      </w:r>
      <w:r>
        <w:tab/>
        <w:t>11</w:t>
      </w:r>
    </w:p>
    <w:p>
      <w:pPr>
        <w:tabs>
          <w:tab w:pos="9504" w:val="right" w:leader="dot"/>
        </w:tabs>
        <w:spacing w:after="40"/>
        <w:ind w:left="259"/>
      </w:pPr>
      <w:r>
        <w:t>6.1 Gantt Chart</w:t>
      </w:r>
      <w:r>
        <w:tab/>
        <w:t>11</w:t>
      </w:r>
    </w:p>
    <w:p>
      <w:pPr>
        <w:tabs>
          <w:tab w:pos="9504" w:val="right" w:leader="dot"/>
        </w:tabs>
        <w:spacing w:after="40"/>
        <w:ind w:left="259"/>
      </w:pPr>
      <w:r>
        <w:t>6.2 Work Breakdown Structure</w:t>
      </w:r>
      <w:r>
        <w:tab/>
        <w:t>13</w:t>
      </w:r>
    </w:p>
    <w:p>
      <w:pPr>
        <w:tabs>
          <w:tab w:pos="9504" w:val="right" w:leader="dot"/>
        </w:tabs>
        <w:spacing w:after="40"/>
        <w:ind w:left="0"/>
      </w:pPr>
      <w:r>
        <w:t>7. Budget Allocation</w:t>
      </w:r>
      <w:r>
        <w:tab/>
        <w:t>14</w:t>
      </w:r>
    </w:p>
    <w:p>
      <w:pPr>
        <w:tabs>
          <w:tab w:pos="9504" w:val="right" w:leader="dot"/>
        </w:tabs>
        <w:spacing w:after="40"/>
        <w:ind w:left="259"/>
      </w:pPr>
      <w:r>
        <w:t>7.1 Estimated Costs</w:t>
      </w:r>
      <w:r>
        <w:tab/>
        <w:t>14</w:t>
      </w:r>
    </w:p>
    <w:p>
      <w:pPr>
        <w:tabs>
          <w:tab w:pos="9504" w:val="right" w:leader="dot"/>
        </w:tabs>
        <w:spacing w:after="40"/>
        <w:ind w:left="259"/>
      </w:pPr>
      <w:r>
        <w:t>7.2 Total Projected Budget</w:t>
      </w:r>
      <w:r>
        <w:tab/>
        <w:t>14</w:t>
      </w:r>
    </w:p>
    <w:p>
      <w:pPr>
        <w:tabs>
          <w:tab w:pos="9504" w:val="right" w:leader="dot"/>
        </w:tabs>
        <w:spacing w:after="40"/>
        <w:ind w:left="0"/>
      </w:pPr>
      <w:r>
        <w:t>References</w:t>
      </w:r>
      <w:r>
        <w:tab/>
        <w:t>15</w:t>
      </w:r>
      <w:r>
        <w:fldChar w:fldCharType="end"/>
      </w:r>
    </w:p>
    <w:p>
      <w:pPr>
        <w:pStyle w:val="Heading1"/>
        <w:pageBreakBefore/>
      </w:pPr>
      <w:r>
        <w:t>1. The Problem Domain</w:t>
      </w:r>
    </w:p>
    <w:p>
      <w:pPr>
        <w:pStyle w:val="Heading2"/>
      </w:pPr>
      <w:r>
        <w:t>1.1 Statement of the Problem</w:t>
      </w:r>
    </w:p>
    <w:p>
      <w:r>
        <w:t>Nearby Café (formerly referenced as TravelBean MNL in the initial planning baseline, coordinated in Tondo, Manila) is a specialty coffee and pop-up café operation that requires a reliable workflow to record cash sales and track recipe ingredients during service. Its baseline operations identify manual order recording, repeated post-shift sales tallying, and estimated ingredient balances as primary operational concerns. VenueVue is developed as an internet-independent, locally networked point-of-sale and recipe-driven inventory system tailored to Nearby Café's workflow and branding.</w:t>
      </w:r>
    </w:p>
    <w:p>
      <w:r>
        <w:t>The central problem is the lack of a coordinated process linking a confirmed sale to the ingredients consumed and the resulting sales record. When staff separately record orders and estimate stock, missing or repeated entries can make sales and inventory disagree. Connectivity interruptions create a further need to distinguish an order awaiting submission from a transaction that the server has accepted.</w:t>
      </w:r>
    </w:p>
    <w:p>
      <w:pPr>
        <w:keepNext/>
      </w:pPr>
      <w:r>
        <w:rPr>
          <w:b/>
        </w:rPr>
        <w:t>Table 1. Problems and planned responses</w:t>
      </w:r>
    </w:p>
    <w:tbl>
      <w:tblPr>
        <w:tblW w:type="auto" w:w="0"/>
        <w:tblLayout w:type="fixed"/>
        <w:tblLook w:firstColumn="1" w:firstRow="1" w:lastColumn="0" w:lastRow="0" w:noHBand="0" w:noVBand="1" w:val="04A0"/>
      </w:tblPr>
      <w:tblGrid>
        <w:gridCol w:w="3528"/>
        <w:gridCol w:w="6264"/>
      </w:tblGrid>
      <w:tr>
        <w:trPr>
          <w:cantSplit/>
          <w:tblHeader/>
        </w:trPr>
        <w:tc>
          <w:tcPr>
            <w:tcW w:type="dxa" w:w="3528"/>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20"/>
              </w:rPr>
              <w:t>Problem</w:t>
            </w:r>
          </w:p>
        </w:tc>
        <w:tc>
          <w:tcPr>
            <w:tcW w:type="dxa" w:w="6264"/>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20"/>
              </w:rPr>
              <w:t>Response within project scope</w:t>
            </w:r>
          </w:p>
        </w:tc>
      </w:tr>
      <w:tr>
        <w:trPr>
          <w:cantSplit/>
        </w:trPr>
        <w:tc>
          <w:tcPr>
            <w:tcW w:type="dxa" w:w="352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Separate order and stock records</w:t>
            </w:r>
          </w:p>
        </w:tc>
        <w:tc>
          <w:tcPr>
            <w:tcW w:type="dxa" w:w="62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Record a confirmed cash sale and its recipe deductions together.</w:t>
            </w:r>
          </w:p>
        </w:tc>
      </w:tr>
      <w:tr>
        <w:trPr>
          <w:cantSplit/>
        </w:trPr>
        <w:tc>
          <w:tcPr>
            <w:tcW w:type="dxa" w:w="3528"/>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Repeated manual tallying</w:t>
            </w:r>
          </w:p>
        </w:tc>
        <w:tc>
          <w:tcPr>
            <w:tcW w:type="dxa" w:w="6264"/>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Provide stored sales detail, daily/period totals and CSV export.</w:t>
            </w:r>
          </w:p>
        </w:tc>
      </w:tr>
      <w:tr>
        <w:trPr>
          <w:cantSplit/>
        </w:trPr>
        <w:tc>
          <w:tcPr>
            <w:tcW w:type="dxa" w:w="352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Uncertain usable ingredient quantities</w:t>
            </w:r>
          </w:p>
        </w:tc>
        <w:tc>
          <w:tcPr>
            <w:tcW w:type="dxa" w:w="62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Track batches, opened containers, waste and low-stock conditions.</w:t>
            </w:r>
          </w:p>
        </w:tc>
      </w:tr>
      <w:tr>
        <w:trPr>
          <w:cantSplit/>
        </w:trPr>
        <w:tc>
          <w:tcPr>
            <w:tcW w:type="dxa" w:w="3528"/>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Interrupted requests or repeated submissions</w:t>
            </w:r>
          </w:p>
        </w:tc>
        <w:tc>
          <w:tcPr>
            <w:tcW w:type="dxa" w:w="6264"/>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Retain pending orders and reconcile their original transaction keys.</w:t>
            </w:r>
          </w:p>
        </w:tc>
      </w:tr>
    </w:tbl>
    <w:p>
      <w:pPr>
        <w:spacing w:after="20"/>
      </w:pPr>
    </w:p>
    <w:p>
      <w:pPr>
        <w:pStyle w:val="Heading2"/>
      </w:pPr>
      <w:r>
        <w:t>1.2 Background and Rationale</w:t>
      </w:r>
    </w:p>
    <w:p>
      <w:r>
        <w:t>A drink uses ingredients in different units and quantities. A larger size may require different amounts of milk, beans and packaging; it cannot safely be represented by a single finished-product stock count. Explicit recipes per variant allow the system to relate a sale to these quantities. Batch records also distinguish deliveries with different expiration dates.</w:t>
      </w:r>
    </w:p>
    <w:p>
      <w:r>
        <w:t>For local use, a designated computer hosts PHP and the database on the shop network. This addresses WAN dependence while retaining dependence on electricity, the host and Wi-Fi. Online deployment is an optional alternative for suitable connectivity; it is not evidence that local and cloud inventories merge automatically. The Systems Analyst will validate these operating assumptions with the Owner before acceptance.</w:t>
      </w:r>
    </w:p>
    <w:p>
      <w:pPr>
        <w:pStyle w:val="Heading2"/>
        <w:pageBreakBefore/>
      </w:pPr>
      <w:r>
        <w:t>1.3 Objectives</w:t>
      </w:r>
    </w:p>
    <w:p>
      <w:r>
        <w:t>The general objective is to provide a manageable sales and ingredient-recording workflow for Nearby Café through VenueVue, supported by verifiable transaction integrity and clear recovery procedures. Table 2 identifies the evaluation methods and target performance baselines used to verify each objective during system and client acceptance testing.</w:t>
      </w:r>
    </w:p>
    <w:p>
      <w:pPr>
        <w:keepNext/>
      </w:pPr>
      <w:r>
        <w:rPr>
          <w:b/>
        </w:rPr>
        <w:t>Table 2. Objectives and evaluation evidence</w:t>
      </w:r>
    </w:p>
    <w:tbl>
      <w:tblPr>
        <w:tblW w:type="auto" w:w="0"/>
        <w:tblLayout w:type="fixed"/>
        <w:tblLook w:firstColumn="1" w:firstRow="1" w:lastColumn="0" w:lastRow="0" w:noHBand="0" w:noVBand="1" w:val="04A0"/>
      </w:tblPr>
      <w:tblGrid>
        <w:gridCol w:w="3096"/>
        <w:gridCol w:w="6696"/>
      </w:tblGrid>
      <w:tr>
        <w:trPr>
          <w:cantSplit/>
          <w:tblHeader/>
        </w:trPr>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20"/>
              </w:rPr>
              <w:t>Objective</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20"/>
              </w:rPr>
              <w:t>Evaluation method</w:t>
            </w:r>
          </w:p>
        </w:tc>
      </w:tr>
      <w:tr>
        <w:trPr>
          <w:cantSplit/>
        </w:trPr>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Correct cash checkout</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Compare selected variants, quantities, amount received, change and stored receipt totals with expected results.</w:t>
            </w:r>
          </w:p>
        </w:tc>
      </w:tr>
      <w:tr>
        <w:trPr>
          <w:cantSplit/>
        </w:trPr>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Accurate recipe deductions</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Compare expected ingredient use with batch/container changes and stock movements for confirmed sales.</w:t>
            </w:r>
          </w:p>
        </w:tc>
      </w:tr>
      <w:tr>
        <w:trPr>
          <w:cantSplit/>
        </w:trPr>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Reliable failure handling</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Inject failures and repeat transaction keys; verify no partial writes and no second sale or deduction.</w:t>
            </w:r>
          </w:p>
        </w:tc>
      </w:tr>
      <w:tr>
        <w:trPr>
          <w:cantSplit/>
        </w:trPr>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Recover pending orders</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Interrupt responses, reload and reconnect with the same account; record confirmed and review outcomes.</w:t>
            </w:r>
          </w:p>
        </w:tc>
      </w:tr>
      <w:tr>
        <w:trPr>
          <w:cantSplit/>
        </w:trPr>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Usable response time</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Maintain confirmation latency of ≤ 2.0 seconds (95th percentile) over local Wi-Fi (up to 3 concurrent clients) and ≤ 3.0 seconds for optional online HTTPS checkout.</w:t>
            </w:r>
          </w:p>
        </w:tc>
      </w:tr>
      <w:tr>
        <w:trPr>
          <w:cantSplit/>
        </w:trPr>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Consistent reports</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Reconcile receipt, daily/period totals and CSV gross, net and VAT against stored sales.</w:t>
            </w:r>
          </w:p>
        </w:tc>
      </w:tr>
    </w:tbl>
    <w:p>
      <w:pPr>
        <w:spacing w:after="20"/>
      </w:pPr>
    </w:p>
    <w:p>
      <w:pPr>
        <w:pStyle w:val="Heading2"/>
      </w:pPr>
      <w:r>
        <w:t>1.4 Significance and Scope of the Project</w:t>
      </w:r>
    </w:p>
    <w:p>
      <w:r>
        <w:t>The Owner is expected to benefit from consolidated sales and usable-stock information. Baristas receive a focused Register with availability, cash input and change. The project gives the student team an opportunity to apply requirements analysis, transaction design, incremental integration and independent testing. These are intended benefits; measured reductions in work or errors have not been established by a client study.</w:t>
      </w:r>
    </w:p>
    <w:p>
      <w:r>
        <w:t>The committed functional scope includes two-role access, catalogue and variant recipes, ingredients and low-stock thresholds, replenishment batches, opened-stock tracking, waste and authorized adjustments, cash sales, VAT breakdowns, reports, CSV export, audit logs, and manual encrypted backup/restore, alongside browser-based account setup and single-use Owner recovery.</w:t>
      </w:r>
    </w:p>
    <w:p>
      <w:r>
        <w:t>Milk substitutions/add-ons, discounts, promotions, service charges, and VAT-exempt checkout are outside the agreed workflow. USB transaction-recovery imports, advanced profit analytics, a four-tab workbook, and automated backup scheduling remain outside the committed scope. There is no automated local/cloud database synchronization or promise of a fresh cold page load while offline.</w:t>
      </w:r>
    </w:p>
    <w:p>
      <w:pPr>
        <w:pStyle w:val="Heading1"/>
        <w:pageBreakBefore/>
      </w:pPr>
      <w:r>
        <w:t>2. Project Organization</w:t>
      </w:r>
    </w:p>
    <w:p>
      <w:pPr>
        <w:pStyle w:val="Heading2"/>
      </w:pPr>
      <w:r>
        <w:t>2.1 External Interfaces</w:t>
      </w:r>
    </w:p>
    <w:p>
      <w:r>
        <w:t>The Nearby Café Owner and designated café staff provide menu prices, variant recipes, ingredient units, opened-container use-by policies, operating scenarios, and acceptance feedback. Two client representatives and four total face-to-face consultation and acceptance visits form the local coordination baseline. The Nearby Café Owner serves as the primary client approver and final operational acceptance authority, while the COSC 75 instructor serves as the academic evaluator across scheduled review checkpoints through November 20, 2026. When optional online hosting is activated, the selected hosting provider supplies HTTPS/TLS, PHP, and MySQL server access.</w:t>
      </w:r>
    </w:p>
    <w:p>
      <w:pPr>
        <w:pStyle w:val="Heading2"/>
      </w:pPr>
      <w:r>
        <w:t>2.2 Internal Structure</w:t>
      </w:r>
    </w:p>
    <w:p>
      <w:r>
        <w:t>Zaki coordinates scope, integration and delivery forecasts. Jenny maintains requirements and their relationship to the SRS and client workflows. Rhea reviews outcomes independently, maintains defect evidence and checks documentation against observed behavior. Work is reviewed incrementally; an implemented screen alone does not close a requirement. The team records the requirement, evidence, unresolved defect and acceptance decision together.</w:t>
      </w:r>
    </w:p>
    <w:p>
      <w:pPr>
        <w:pStyle w:val="Heading2"/>
      </w:pPr>
      <w:r>
        <w:t>2.3 Roles and Responsibilities</w:t>
      </w:r>
    </w:p>
    <w:p>
      <w:pPr>
        <w:keepNext/>
      </w:pPr>
      <w:r>
        <w:rPr>
          <w:b/>
        </w:rPr>
        <w:t>Table 3. Responsibility matrix</w:t>
      </w:r>
    </w:p>
    <w:tbl>
      <w:tblPr>
        <w:tblW w:type="auto" w:w="0"/>
        <w:tblLayout w:type="fixed"/>
        <w:tblLook w:firstColumn="1" w:firstRow="1" w:lastColumn="0" w:lastRow="0" w:noHBand="0" w:noVBand="1" w:val="04A0"/>
      </w:tblPr>
      <w:tblGrid>
        <w:gridCol w:w="3816"/>
        <w:gridCol w:w="1440"/>
        <w:gridCol w:w="4536"/>
      </w:tblGrid>
      <w:tr>
        <w:trPr>
          <w:cantSplit/>
          <w:tblHeader/>
        </w:trPr>
        <w:tc>
          <w:tcPr>
            <w:tcW w:type="dxa" w:w="3816"/>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20"/>
              </w:rPr>
              <w:t>Work area</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20"/>
              </w:rPr>
              <w:t>Lead</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20"/>
              </w:rPr>
              <w:t>Supporting review</w:t>
            </w:r>
          </w:p>
        </w:tc>
      </w:tr>
      <w:tr>
        <w:trPr>
          <w:cantSplit/>
        </w:trPr>
        <w:tc>
          <w:tcPr>
            <w:tcW w:type="dxa" w:w="38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Requirements and SRS</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Jenny</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Zaki feasibility; Rhea testability</w:t>
            </w:r>
          </w:p>
        </w:tc>
      </w:tr>
      <w:tr>
        <w:trPr>
          <w:cantSplit/>
        </w:trPr>
        <w:tc>
          <w:tcPr>
            <w:tcW w:type="dxa" w:w="3816"/>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Frontend, PHP API and integration</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Zaki</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Jenny workflow; Rhea verification</w:t>
            </w:r>
          </w:p>
        </w:tc>
      </w:tr>
      <w:tr>
        <w:trPr>
          <w:cantSplit/>
        </w:trPr>
        <w:tc>
          <w:tcPr>
            <w:tcW w:type="dxa" w:w="38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Database and inventory rules</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Zaki</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Jenny business rules; Rhea integrity tests</w:t>
            </w:r>
          </w:p>
        </w:tc>
      </w:tr>
      <w:tr>
        <w:trPr>
          <w:cantSplit/>
        </w:trPr>
        <w:tc>
          <w:tcPr>
            <w:tcW w:type="dxa" w:w="3816"/>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Master-data requirements and CRUD</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Jenny</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Zaki integration; Rhea validation</w:t>
            </w:r>
          </w:p>
        </w:tc>
      </w:tr>
      <w:tr>
        <w:trPr>
          <w:cantSplit/>
        </w:trPr>
        <w:tc>
          <w:tcPr>
            <w:tcW w:type="dxa" w:w="38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Deployment and recovery procedures</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Zaki</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Rhea rehearsal; Jenny instructions</w:t>
            </w:r>
          </w:p>
        </w:tc>
      </w:tr>
      <w:tr>
        <w:trPr>
          <w:cantSplit/>
        </w:trPr>
        <w:tc>
          <w:tcPr>
            <w:tcW w:type="dxa" w:w="3816"/>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Independent QA and regression</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Rhea</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Zaki corrections; Jenny traceability</w:t>
            </w:r>
          </w:p>
        </w:tc>
      </w:tr>
      <w:tr>
        <w:trPr>
          <w:cantSplit/>
        </w:trPr>
        <w:tc>
          <w:tcPr>
            <w:tcW w:type="dxa" w:w="38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Manuals, training and handover</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Rhea</w:t>
            </w:r>
          </w:p>
        </w:tc>
        <w:tc>
          <w:tcPr>
            <w:tcW w:type="dxa" w:w="45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Jenny user guidance; Zaki technical support</w:t>
            </w:r>
          </w:p>
        </w:tc>
      </w:tr>
    </w:tbl>
    <w:p>
      <w:pPr>
        <w:spacing w:after="20"/>
      </w:pPr>
    </w:p>
    <w:p>
      <w:r>
        <w:t>These assignments follow the team’s stated roles; they do not assert that particular activities or approvals have already occurred. Client and instructor approval remain external to the student responsibility matrix.</w:t>
      </w:r>
    </w:p>
    <w:p>
      <w:pPr>
        <w:pStyle w:val="Heading2"/>
      </w:pPr>
      <w:r>
        <w:t>2.4 Deliverables</w:t>
      </w:r>
    </w:p>
    <w:p>
      <w:r>
        <w:t>Project delivery comprises the complete VenueVue application source and production build assets; the reconciled Project Plan and Software Requirements Specification (SRS); automated and manual test evidence and defect disposition records; Windows launcher, installation, and Owner guides; encrypted backup and restoration procedures; and the final acceptance and handover package scheduled for completion by November 20, 2026. Optional online deployment includes staging verification on the target HTTPS host prior to live cutover.</w:t>
      </w:r>
    </w:p>
    <w:p>
      <w:pPr>
        <w:pStyle w:val="Heading1"/>
        <w:pageBreakBefore/>
      </w:pPr>
      <w:r>
        <w:t>3. Review of Existing Alternatives</w:t>
      </w:r>
    </w:p>
    <w:p>
      <w:r>
        <w:t>The review retains Lavu, digabloPos and Peddlr from the earlier plan. Official pages were checked on October 24, 2026. The comparison distinguishes vendor-described capabilities from project-specific suitability; it is not a hands-on benchmark or a price quotation.</w:t>
      </w:r>
    </w:p>
    <w:p>
      <w:r>
        <w:t>Lavu describes offline order processing and synchronization after reconnection (Lavu, n.d.-a). Its support guide explains assigning ingredient quantities to menu items and deducting those ingredients when sold, with stock-based item unavailability (Lavu, n.d.-b). These features overlap with the project’s core needs. Suitability of a particular plan, device configuration and opened-container policy still requires demonstration.</w:t>
      </w:r>
    </w:p>
    <w:p>
      <w:r>
        <w:t>digabloPos describes device-local operation and later server synchronization, including inventory functions during an outage (digabloPos, n.d.). Those claims do not establish that its stock allocation, conflict resolution, and opened-ingredient controls match Nearby Café's exact requirements. Its synchronization model must not be attributed to VenueVue, which enforces one authoritative database.</w:t>
      </w:r>
    </w:p>
    <w:p>
      <w:r>
        <w:t>Peddlr describes mobile product management, offline inventory updates and report generation/export on its POS page (Peddlr Philippines, Inc., n.d.). The reviewed page does not establish explicit per-size ingredient recipes or the required opened-container use-by policy. Lack of verification is recorded as an evidence gap, not as proof that the product lacks the feature.</w:t>
      </w:r>
    </w:p>
    <w:p>
      <w:pPr>
        <w:keepNext/>
      </w:pPr>
      <w:r>
        <w:rPr>
          <w:b/>
        </w:rPr>
        <w:t>Table 4. Alternatives compared with the project needs</w:t>
      </w:r>
    </w:p>
    <w:tbl>
      <w:tblPr>
        <w:tblW w:type="auto" w:w="0"/>
        <w:tblLayout w:type="fixed"/>
        <w:tblLook w:firstColumn="1" w:firstRow="1" w:lastColumn="0" w:lastRow="0" w:noHBand="0" w:noVBand="1" w:val="04A0"/>
      </w:tblPr>
      <w:tblGrid>
        <w:gridCol w:w="1656"/>
        <w:gridCol w:w="3960"/>
        <w:gridCol w:w="4176"/>
      </w:tblGrid>
      <w:tr>
        <w:trPr>
          <w:cantSplit/>
          <w:tblHeader/>
        </w:trPr>
        <w:tc>
          <w:tcPr>
            <w:tcW w:type="dxa" w:w="1656"/>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20"/>
              </w:rPr>
              <w:t>Option</w:t>
            </w:r>
          </w:p>
        </w:tc>
        <w:tc>
          <w:tcPr>
            <w:tcW w:type="dxa" w:w="3960"/>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20"/>
              </w:rPr>
              <w:t>Verified official description</w:t>
            </w:r>
          </w:p>
        </w:tc>
        <w:tc>
          <w:tcPr>
            <w:tcW w:type="dxa" w:w="4176"/>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20"/>
              </w:rPr>
              <w:t>Suitability still to establish</w:t>
            </w:r>
          </w:p>
        </w:tc>
      </w:tr>
      <w:tr>
        <w:trPr>
          <w:cantSplit/>
        </w:trPr>
        <w:tc>
          <w:tcPr>
            <w:tcW w:type="dxa" w:w="16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Lavu</w:t>
            </w:r>
          </w:p>
        </w:tc>
        <w:tc>
          <w:tcPr>
            <w:tcW w:type="dxa" w:w="39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Offline operations; ingredient links and deduction</w:t>
            </w:r>
          </w:p>
        </w:tc>
        <w:tc>
          <w:tcPr>
            <w:tcW w:type="dxa" w:w="41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Plan/device fit; opened-stock rules</w:t>
            </w:r>
          </w:p>
        </w:tc>
      </w:tr>
      <w:tr>
        <w:trPr>
          <w:cantSplit/>
        </w:trPr>
        <w:tc>
          <w:tcPr>
            <w:tcW w:type="dxa" w:w="1656"/>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digabloPos</w:t>
            </w:r>
          </w:p>
        </w:tc>
        <w:tc>
          <w:tcPr>
            <w:tcW w:type="dxa" w:w="3960"/>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Offline local storage and later synchronization</w:t>
            </w:r>
          </w:p>
        </w:tc>
        <w:tc>
          <w:tcPr>
            <w:tcW w:type="dxa" w:w="4176"/>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Exact recipe/expiry model; sync behavior</w:t>
            </w:r>
          </w:p>
        </w:tc>
      </w:tr>
      <w:tr>
        <w:trPr>
          <w:cantSplit/>
        </w:trPr>
        <w:tc>
          <w:tcPr>
            <w:tcW w:type="dxa" w:w="16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Peddlr</w:t>
            </w:r>
          </w:p>
        </w:tc>
        <w:tc>
          <w:tcPr>
            <w:tcW w:type="dxa" w:w="39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Product management, offline updates, reports/export</w:t>
            </w:r>
          </w:p>
        </w:tc>
        <w:tc>
          <w:tcPr>
            <w:tcW w:type="dxa" w:w="41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Variant recipes and opened-stock controls</w:t>
            </w:r>
          </w:p>
        </w:tc>
      </w:tr>
      <w:tr>
        <w:trPr>
          <w:cantSplit/>
        </w:trPr>
        <w:tc>
          <w:tcPr>
            <w:tcW w:type="dxa" w:w="1656"/>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VenueVue (Nearby Café)</w:t>
            </w:r>
          </w:p>
        </w:tc>
        <w:tc>
          <w:tcPr>
            <w:tcW w:type="dxa" w:w="3960"/>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Explicit variant recipes, FEFO/opened stock, local host &amp; pending queue</w:t>
            </w:r>
          </w:p>
        </w:tc>
        <w:tc>
          <w:tcPr>
            <w:tcW w:type="dxa" w:w="4176"/>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Final on-site device acceptance and optional cloud staging</w:t>
            </w:r>
          </w:p>
        </w:tc>
      </w:tr>
    </w:tbl>
    <w:p>
      <w:pPr>
        <w:spacing w:after="20"/>
      </w:pPr>
    </w:p>
    <w:p>
      <w:r>
        <w:t>The rationale for the student implementation is a defined, inspectable workflow aligned with the agreed rules and course objectives. The plan does not claim that existing systems are incapable or that the application is superior in reliability. Before any commercial purchase, the client should validate current plan features, total cost and support conditions; no alternative’s current price is assumed here.</w:t>
      </w:r>
    </w:p>
    <w:p>
      <w:pPr>
        <w:pStyle w:val="Heading1"/>
        <w:pageBreakBefore/>
      </w:pPr>
      <w:r>
        <w:t>4. Approach to be taken in this subject</w:t>
      </w:r>
    </w:p>
    <w:p>
      <w:pPr>
        <w:pStyle w:val="Heading2"/>
      </w:pPr>
      <w:r>
        <w:t>4.1 Theoretical Framework / Methods to be Used</w:t>
      </w:r>
    </w:p>
    <w:p>
      <w:r>
        <w:t>The team will use an Agile and incremental approach: clarify a workflow, implement a bounded increment, verify it using representative data, obtain feedback and update the plan. Requirements connect each business problem to an observable outcome and acceptance scenario. Transaction integrity, role restrictions and recoverability are treated as design constraints across increments rather than features to add after the interface is finished.</w:t>
      </w:r>
    </w:p>
    <w:p>
      <w:r>
        <w:t>Verification will combine unit-level validation, API integration, concurrent transaction tests and browser workflow checks. Disposable databases and synthetic accounts isolate testing from shop data. A repeatable regression set will accompany corrections, while client acceptance will use realistic menus, quantities, devices and service conditions approved by the Owner.</w:t>
      </w:r>
    </w:p>
    <w:p>
      <w:pPr>
        <w:pStyle w:val="Heading2"/>
      </w:pPr>
      <w:r>
        <w:t>4.2 Rationale for the Framework / Methods</w:t>
      </w:r>
    </w:p>
    <w:p>
      <w:r>
        <w:t>Incremental delivery allows the client to review usable workflows while the team resolves dependencies between catalogue, stock and checkout. It also supports the instructor’s consultation format, which permits demonstrations of current progress. Automated evidence reduces repetitive checking, but observation on the actual Windows host, tablets and selected hosting service remains necessary.</w:t>
      </w:r>
    </w:p>
    <w:p>
      <w:r>
        <w:t>A reported defect will be classified by effect on data integrity, access, usability or deployment. Data-integrity and access failures block acceptance until corrected and retested. Optional enhancements will be deferred if they threaten the November target. The team will review scope and forecasts weekly and record unresolved decisions without inventing completion percentages.</w:t>
      </w:r>
    </w:p>
    <w:p>
      <w:pPr>
        <w:pStyle w:val="Heading2"/>
      </w:pPr>
      <w:r>
        <w:t>4.3 Technologies you plan to consider or use</w:t>
      </w:r>
    </w:p>
    <w:p>
      <w:pPr>
        <w:keepNext/>
      </w:pPr>
      <w:r>
        <w:rPr>
          <w:b/>
        </w:rPr>
        <w:t>Table 5. Selected technology and purpose</w:t>
      </w:r>
    </w:p>
    <w:tbl>
      <w:tblPr>
        <w:tblW w:type="auto" w:w="0"/>
        <w:tblLayout w:type="fixed"/>
        <w:tblLook w:firstColumn="1" w:firstRow="1" w:lastColumn="0" w:lastRow="0" w:noHBand="0" w:noVBand="1" w:val="04A0"/>
      </w:tblPr>
      <w:tblGrid>
        <w:gridCol w:w="2376"/>
        <w:gridCol w:w="7416"/>
      </w:tblGrid>
      <w:tr>
        <w:trPr>
          <w:cantSplit/>
          <w:tblHeader/>
        </w:trPr>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20"/>
              </w:rPr>
              <w:t>Technology</w:t>
            </w:r>
          </w:p>
        </w:tc>
        <w:tc>
          <w:tcPr>
            <w:tcW w:type="dxa" w:w="7416"/>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20"/>
              </w:rPr>
              <w:t>Purpose and rationale</w:t>
            </w:r>
          </w:p>
        </w:tc>
      </w:tr>
      <w:tr>
        <w:trPr>
          <w:cantSplit/>
        </w:trPr>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React</w:t>
            </w:r>
          </w:p>
        </w:tc>
        <w:tc>
          <w:tcPr>
            <w:tcW w:type="dxa" w:w="74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Reusable Register and Management interface components.</w:t>
            </w:r>
          </w:p>
        </w:tc>
      </w:tr>
      <w:tr>
        <w:trPr>
          <w:cantSplit/>
        </w:trPr>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Vite</w:t>
            </w:r>
          </w:p>
        </w:tc>
        <w:tc>
          <w:tcPr>
            <w:tcW w:type="dxa" w:w="7416"/>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Fast development feedback and a production frontend build.</w:t>
            </w:r>
          </w:p>
        </w:tc>
      </w:tr>
      <w:tr>
        <w:trPr>
          <w:cantSplit/>
        </w:trPr>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Tailwind CSS</w:t>
            </w:r>
          </w:p>
        </w:tc>
        <w:tc>
          <w:tcPr>
            <w:tcW w:type="dxa" w:w="74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Consistent responsive styling with the supplied café theme.</w:t>
            </w:r>
          </w:p>
        </w:tc>
      </w:tr>
      <w:tr>
        <w:trPr>
          <w:cantSplit/>
        </w:trPr>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React Router</w:t>
            </w:r>
          </w:p>
        </w:tc>
        <w:tc>
          <w:tcPr>
            <w:tcW w:type="dxa" w:w="7416"/>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Client-side navigation; the source uses HashRouter.</w:t>
            </w:r>
          </w:p>
        </w:tc>
      </w:tr>
      <w:tr>
        <w:trPr>
          <w:cantSplit/>
        </w:trPr>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PHP / PDO</w:t>
            </w:r>
          </w:p>
        </w:tc>
        <w:tc>
          <w:tcPr>
            <w:tcW w:type="dxa" w:w="74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Server-side authorization, validation and database operations.</w:t>
            </w:r>
          </w:p>
        </w:tc>
      </w:tr>
      <w:tr>
        <w:trPr>
          <w:cantSplit/>
        </w:trPr>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MySQL/MariaDB / InnoDB</w:t>
            </w:r>
          </w:p>
        </w:tc>
        <w:tc>
          <w:tcPr>
            <w:tcW w:type="dxa" w:w="7416"/>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Relational records and transactional sales/inventory updates.</w:t>
            </w:r>
          </w:p>
        </w:tc>
      </w:tr>
      <w:tr>
        <w:trPr>
          <w:cantSplit/>
        </w:trPr>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IndexedDB</w:t>
            </w:r>
          </w:p>
        </w:tc>
        <w:tc>
          <w:tcPr>
            <w:tcW w:type="dxa" w:w="74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Browser-local drafts and account-bound pending orders.</w:t>
            </w:r>
          </w:p>
        </w:tc>
      </w:tr>
    </w:tbl>
    <w:p>
      <w:pPr>
        <w:spacing w:after="20"/>
      </w:pPr>
    </w:p>
    <w:p>
      <w:r>
        <w:t>The application stack uses React 19.3.0, Vite 8.3.5, Tailwind CSS 4.3.3, and React Router 7.18.4 on the frontend with PHP (PDO MySQL, OpenSSL) and MariaDB/MySQL (InnoDB) on the backend. The architecture relies on native InnoDB transactions and browser IndexedDB persistence without requiring Redis, a service-worker cache, or a heavy PHP framework.</w:t>
      </w:r>
    </w:p>
    <w:p>
      <w:pPr>
        <w:pStyle w:val="Heading1"/>
        <w:pageBreakBefore/>
      </w:pPr>
      <w:r>
        <w:t>5. System Design</w:t>
      </w:r>
    </w:p>
    <w:p>
      <w:pPr>
        <w:pStyle w:val="Heading2"/>
      </w:pPr>
      <w:r>
        <w:t>5.1 Requirements</w:t>
      </w:r>
    </w:p>
    <w:p>
      <w:r>
        <w:t>Requirements express the intended operational behavior of VenueVue and are verified across automated integration tests as well as final acceptance testing with Nearby Café data and devices.</w:t>
      </w:r>
    </w:p>
    <w:p>
      <w:pPr>
        <w:keepNext/>
      </w:pPr>
      <w:r>
        <w:rPr>
          <w:b/>
        </w:rPr>
        <w:t>Table 6. Functional requirements and acceptance focus</w:t>
      </w:r>
    </w:p>
    <w:tbl>
      <w:tblPr>
        <w:tblW w:type="auto" w:w="0"/>
        <w:tblLayout w:type="fixed"/>
        <w:tblLook w:firstColumn="1" w:firstRow="1" w:lastColumn="0" w:lastRow="0" w:noHBand="0" w:noVBand="1" w:val="04A0"/>
      </w:tblPr>
      <w:tblGrid>
        <w:gridCol w:w="1944"/>
        <w:gridCol w:w="7848"/>
      </w:tblGrid>
      <w:tr>
        <w:trPr>
          <w:cantSplit/>
          <w:tblHeader/>
        </w:trPr>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20"/>
              </w:rPr>
              <w:t>Area</w:t>
            </w:r>
          </w:p>
        </w:tc>
        <w:tc>
          <w:tcPr>
            <w:tcW w:type="dxa" w:w="7848"/>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20"/>
              </w:rPr>
              <w:t>Required behavior</w:t>
            </w:r>
          </w:p>
        </w:tc>
      </w:tr>
      <w:tr>
        <w:trPr>
          <w:cantSplit/>
        </w:trPr>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Access</w:t>
            </w:r>
          </w:p>
        </w:tc>
        <w:tc>
          <w:tcPr>
            <w:tcW w:type="dxa" w:w="78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Exactly Owner/Admin and Barista. Enforce management permissions on the server; record the acting user on sales and inventory edits.</w:t>
            </w:r>
          </w:p>
        </w:tc>
      </w:tr>
      <w:tr>
        <w:trPr>
          <w:cantSplit/>
        </w:trPr>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Catalogue</w:t>
            </w:r>
          </w:p>
        </w:tc>
        <w:tc>
          <w:tcPr>
            <w:tcW w:type="dxa" w:w="7848"/>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Products have active variants with size, temperature where applicable, SKU, price and explicit recipe rows. Check each variant against its recipe.</w:t>
            </w:r>
          </w:p>
        </w:tc>
      </w:tr>
      <w:tr>
        <w:trPr>
          <w:cantSplit/>
        </w:trPr>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Inventory</w:t>
            </w:r>
          </w:p>
        </w:tc>
        <w:tc>
          <w:tcPr>
            <w:tcW w:type="dxa" w:w="78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Maintain units, low-stock thresholds, batch received/remaining quantities, expiry, supplier/lot references and opened/container quantities.</w:t>
            </w:r>
          </w:p>
        </w:tc>
      </w:tr>
      <w:tr>
        <w:trPr>
          <w:cantSplit/>
        </w:trPr>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Checkout</w:t>
            </w:r>
          </w:p>
        </w:tc>
        <w:tc>
          <w:tcPr>
            <w:tcW w:type="dxa" w:w="7848"/>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Validate cash and change; commit sale, lines, deductions and movements together. Reject insufficient eligible stock without partial deduction.</w:t>
            </w:r>
          </w:p>
        </w:tc>
      </w:tr>
      <w:tr>
        <w:trPr>
          <w:cantSplit/>
        </w:trPr>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Recovery of orders</w:t>
            </w:r>
          </w:p>
        </w:tc>
        <w:tc>
          <w:tcPr>
            <w:tcW w:type="dxa" w:w="78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Persist pending orders by account and transaction key; prevent repeated submissions from creating a second sale.</w:t>
            </w:r>
          </w:p>
        </w:tc>
      </w:tr>
      <w:tr>
        <w:trPr>
          <w:cantSplit/>
        </w:trPr>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Reporting</w:t>
            </w:r>
          </w:p>
        </w:tc>
        <w:tc>
          <w:tcPr>
            <w:tcW w:type="dxa" w:w="7848"/>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Show historical stored gross, net and VAT in receipts, sales detail, daily/period reports and CSV totals.</w:t>
            </w:r>
          </w:p>
        </w:tc>
      </w:tr>
      <w:tr>
        <w:trPr>
          <w:cantSplit/>
        </w:trPr>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Protection and recovery</w:t>
            </w:r>
          </w:p>
        </w:tc>
        <w:tc>
          <w:tcPr>
            <w:tcW w:type="dxa" w:w="78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Guard initial Owner registration; provide Owner-authorized staff resets, single-use Owner recovery and manual encrypted backup/restore.</w:t>
            </w:r>
          </w:p>
        </w:tc>
      </w:tr>
    </w:tbl>
    <w:p>
      <w:pPr>
        <w:spacing w:after="20"/>
      </w:pPr>
    </w:p>
    <w:p>
      <w:r>
        <w:t>Eligible stock excludes exhausted or quarantined quantities, past-expiration batches, and opened stock whose use-by time has been reached. A batch expiring today remains eligible until the end of that day. VenueVue prioritizes eligible opened containers before sealed ones, then orders each group by expiration and use-by time (FEFO). Sale-time eligibility uses a single transaction timestamp. Waste is recorded separately; expired quantities do not silently become usable.</w:t>
      </w:r>
    </w:p>
    <w:p>
      <w:r>
        <w:t>All menu prices in scope are VAT-inclusive at 12%. The server extracts net and VAT, stores the sale-time rate and amounts, and applies its rounding reconciliation so stored line and sale totals agree. This project does not claim BIR certification. New passwords require at least 12 Unicode code points and at most 72 UTF-8 bytes, with NUL rejection, matching confirmation and no trimming. Existing passwords remain valid for sign-in.</w:t>
      </w:r>
    </w:p>
    <w:p>
      <w:pPr>
        <w:pStyle w:val="Heading2"/>
        <w:pageBreakBefore/>
      </w:pPr>
      <w:r>
        <w:t>5.2 Resources</w:t>
      </w:r>
    </w:p>
    <w:p>
      <w:pPr>
        <w:keepNext/>
      </w:pPr>
      <w:r>
        <w:rPr>
          <w:b/>
        </w:rPr>
        <w:t>Table 7. Resources and deployment dependencies</w:t>
      </w:r>
    </w:p>
    <w:tbl>
      <w:tblPr>
        <w:tblW w:type="auto" w:w="0"/>
        <w:tblLayout w:type="fixed"/>
        <w:tblLook w:firstColumn="1" w:firstRow="1" w:lastColumn="0" w:lastRow="0" w:noHBand="0" w:noVBand="1" w:val="04A0"/>
      </w:tblPr>
      <w:tblGrid>
        <w:gridCol w:w="2232"/>
        <w:gridCol w:w="7560"/>
      </w:tblGrid>
      <w:tr>
        <w:trPr>
          <w:cantSplit/>
          <w:tblHeader/>
        </w:trPr>
        <w:tc>
          <w:tcPr>
            <w:tcW w:type="dxa" w:w="2232"/>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20"/>
              </w:rPr>
              <w:t>Resource</w:t>
            </w:r>
          </w:p>
        </w:tc>
        <w:tc>
          <w:tcPr>
            <w:tcW w:type="dxa" w:w="7560"/>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20"/>
              </w:rPr>
              <w:t>Planning requirement</w:t>
            </w:r>
          </w:p>
        </w:tc>
      </w:tr>
      <w:tr>
        <w:trPr>
          <w:cantSplit/>
        </w:trPr>
        <w:tc>
          <w:tcPr>
            <w:tcW w:type="dxa" w:w="223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People</w:t>
            </w:r>
          </w:p>
        </w:tc>
        <w:tc>
          <w:tcPr>
            <w:tcW w:type="dxa" w:w="75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Three CTRL + STAY student developers (Zaki Zapico, Jenny Lyn Roquid, Rhea Mae Gregorio), Nearby Café Owner and baristas for acceptance testing, and the COSC 75 instructor.</w:t>
            </w:r>
          </w:p>
        </w:tc>
      </w:tr>
      <w:tr>
        <w:trPr>
          <w:cantSplit/>
        </w:trPr>
        <w:tc>
          <w:tcPr>
            <w:tcW w:type="dxa" w:w="2232"/>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Local host</w:t>
            </w:r>
          </w:p>
        </w:tc>
        <w:tc>
          <w:tcPr>
            <w:tcW w:type="dxa" w:w="7560"/>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Windows 10/11 (64-bit) host PC (Intel Core i5 / AMD Ryzen 5 or equivalent, 8 GB RAM, SSD) running XAMPP Apache 2.4, PHP 8.2.12+, and MariaDB 10.4.32+ (InnoDB).</w:t>
            </w:r>
          </w:p>
        </w:tc>
      </w:tr>
      <w:tr>
        <w:trPr>
          <w:cantSplit/>
        </w:trPr>
        <w:tc>
          <w:tcPr>
            <w:tcW w:type="dxa" w:w="223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Client devices and LAN</w:t>
            </w:r>
          </w:p>
        </w:tc>
        <w:tc>
          <w:tcPr>
            <w:tcW w:type="dxa" w:w="75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Up to three concurrent browser clients (Android/iOS tablets or laptops running Chrome, Edge, or Safari) over a dedicated 802.11ac/ax (Wi-Fi 5/6) local router or hotspot (10–15 m radius).</w:t>
            </w:r>
          </w:p>
        </w:tc>
      </w:tr>
      <w:tr>
        <w:trPr>
          <w:cantSplit/>
        </w:trPr>
        <w:tc>
          <w:tcPr>
            <w:tcW w:type="dxa" w:w="2232"/>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Development</w:t>
            </w:r>
          </w:p>
        </w:tc>
        <w:tc>
          <w:tcPr>
            <w:tcW w:type="dxa" w:w="7560"/>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Node.js 20+/24+ and npm for Vite 8.3.5 frontend builds; PHP 8.2/8.3 CLI, MariaDB 10.4/10.11, and isolated Playwright/Chromium verification fixtures.</w:t>
            </w:r>
          </w:p>
        </w:tc>
      </w:tr>
      <w:tr>
        <w:trPr>
          <w:cantSplit/>
        </w:trPr>
        <w:tc>
          <w:tcPr>
            <w:tcW w:type="dxa" w:w="223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Online option</w:t>
            </w:r>
          </w:p>
        </w:tc>
        <w:tc>
          <w:tcPr>
            <w:tcW w:type="dxa" w:w="756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Optional Linux cloud/shared hosting supporting PHP 8.2+ (PDO MySQL, OpenSSL, PCRE), MariaDB 10.4+ / MySQL 8.0 (InnoDB), HTTPS/TLS, and private storage outside the public web root.</w:t>
            </w:r>
          </w:p>
        </w:tc>
      </w:tr>
      <w:tr>
        <w:trPr>
          <w:cantSplit/>
        </w:trPr>
        <w:tc>
          <w:tcPr>
            <w:tcW w:type="dxa" w:w="2232"/>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Backup resources</w:t>
            </w:r>
          </w:p>
        </w:tc>
        <w:tc>
          <w:tcPr>
            <w:tcW w:type="dxa" w:w="7560"/>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Local host private writable storage directory plus external USB 3.0 flash drive for off-host encrypted backup archives retained after each operating day or event.</w:t>
            </w:r>
          </w:p>
        </w:tc>
      </w:tr>
    </w:tbl>
    <w:p>
      <w:pPr>
        <w:spacing w:after="20"/>
      </w:pPr>
    </w:p>
    <w:p>
      <w:r>
        <w:t>The backend requires PDO MySQL, OpenSSL, JSON, and Unicode-capable PCRE; mbstring is not required. Automated verification covers PHP 8.3 and MariaDB 10.11 on Linux as well as Windows host preflight validation on XAMPP PHP 8.2.12 and MariaDB 10.4.32.</w:t>
      </w:r>
    </w:p>
    <w:p>
      <w:pPr>
        <w:pStyle w:val="Heading2"/>
      </w:pPr>
      <w:r>
        <w:t>5.3 System Overview</w:t>
      </w:r>
    </w:p>
    <w:p>
      <w:r>
        <w:t>The browser provides Register and Management screens. PHP authorizes requests and applies business rules to one authoritative database. Browser pending orders remain separate from confirmed sales; private server files stay inaccessible over HTTP.</w:t>
      </w:r>
    </w:p>
    <w:p>
      <w:pPr>
        <w:keepNext/>
      </w:pPr>
      <w:r>
        <w:rPr>
          <w:b/>
        </w:rPr>
        <w:t>Table 8. High-level architecture and data responsibilities</w:t>
      </w:r>
    </w:p>
    <w:tbl>
      <w:tblPr>
        <w:tblW w:type="auto" w:w="0"/>
        <w:tblLayout w:type="fixed"/>
        <w:tblLook w:firstColumn="1" w:firstRow="1" w:lastColumn="0" w:lastRow="0" w:noHBand="0" w:noVBand="1" w:val="04A0"/>
      </w:tblPr>
      <w:tblGrid>
        <w:gridCol w:w="3096"/>
        <w:gridCol w:w="6696"/>
      </w:tblGrid>
      <w:tr>
        <w:trPr>
          <w:cantSplit/>
          <w:tblHeader/>
        </w:trPr>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20"/>
              </w:rPr>
              <w:t>Component</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20"/>
              </w:rPr>
              <w:t>Interaction</w:t>
            </w:r>
          </w:p>
        </w:tc>
      </w:tr>
      <w:tr>
        <w:trPr>
          <w:cantSplit/>
        </w:trPr>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React browser interface</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Sends authenticated requests to the PHP API at the same origin.</w:t>
            </w:r>
          </w:p>
        </w:tc>
      </w:tr>
      <w:tr>
        <w:trPr>
          <w:cantSplit/>
        </w:trPr>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IndexedDB drafts/pending queue</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Retains account-bound orders and keys; reconciles with the API after reconnecting.</w:t>
            </w:r>
          </w:p>
        </w:tc>
      </w:tr>
      <w:tr>
        <w:trPr>
          <w:cantSplit/>
        </w:trPr>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PHP API and private services</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Checks rules and permissions; commits or rolls back database work; returns confirmation or review/error outcomes.</w:t>
            </w:r>
          </w:p>
        </w:tc>
      </w:tr>
      <w:tr>
        <w:trPr>
          <w:cantSplit/>
        </w:trPr>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Authoritative InnoDB database</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Stores users, sales, recipes, stock movements, batches, audit and recovery hashes.</w:t>
            </w:r>
          </w:p>
        </w:tc>
      </w:tr>
      <w:tr>
        <w:trPr>
          <w:cantSplit/>
        </w:trPr>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Private server files</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Supply runtime settings, sanitized diagnostics and trusted provisioning/support tools.</w:t>
            </w:r>
          </w:p>
        </w:tc>
      </w:tr>
    </w:tbl>
    <w:p>
      <w:pPr>
        <w:spacing w:after="20"/>
      </w:pPr>
    </w:p>
    <w:p>
      <w:r>
        <w:t>Local operation requires the Windows host and local Wi-Fi network; optional online operation requires HTTPS internet connectivity. Neither mode promises a fresh cold page load while offline. Only one authoritative database may accept live sales at a time. Switching to a new HTTPS domain does not transfer browser-local IndexedDB queues, so all pending orders must be reconciled before any environment cutover.</w:t>
      </w:r>
    </w:p>
    <w:p>
      <w:pPr>
        <w:pStyle w:val="Heading1"/>
        <w:pageBreakBefore/>
      </w:pPr>
      <w:r>
        <w:t>6. Project Timeline</w:t>
      </w:r>
    </w:p>
    <w:p>
      <w:r>
        <w:t>The project schedule spans August 3 to November 20, 2026 (110 calendar days across 16 academic weeks). Weeks 1–8 covered context gathering, alternatives review, scope definition, technology feasibility, and baseline planning; Weeks 9–16 cover incremental implementation, system integration, verification, client acceptance testing, and final handover.</w:t>
      </w:r>
    </w:p>
    <w:p>
      <w:r>
        <w:t>At the late-October revision checkpoint, the complete VenueVue source code, Windows launcher, and 58-group automated integration and browser regression suite are implemented. Remaining schedule gates focus on native Windows host and multi-device LAN validation, optional online staging, client acceptance testing with Nearby Café, and final turnover by November 20, 2026.</w:t>
      </w:r>
    </w:p>
    <w:p>
      <w:pPr>
        <w:keepNext/>
      </w:pPr>
      <w:r>
        <w:rPr>
          <w:b/>
        </w:rPr>
        <w:t>Table 9. Remaining work and proposed review gates</w:t>
      </w:r>
    </w:p>
    <w:tbl>
      <w:tblPr>
        <w:tblW w:type="auto" w:w="0"/>
        <w:tblLayout w:type="fixed"/>
        <w:tblLook w:firstColumn="1" w:firstRow="1" w:lastColumn="0" w:lastRow="0" w:noHBand="0" w:noVBand="1" w:val="04A0"/>
      </w:tblPr>
      <w:tblGrid>
        <w:gridCol w:w="2304"/>
        <w:gridCol w:w="5832"/>
        <w:gridCol w:w="1656"/>
      </w:tblGrid>
      <w:tr>
        <w:trPr>
          <w:cantSplit/>
          <w:tblHeader/>
        </w:trPr>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20"/>
              </w:rPr>
              <w:t>Window in 2026</w:t>
            </w:r>
          </w:p>
        </w:tc>
        <w:tc>
          <w:tcPr>
            <w:tcW w:type="dxa" w:w="5832"/>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20"/>
              </w:rPr>
              <w:t>Output and gate</w:t>
            </w:r>
          </w:p>
        </w:tc>
        <w:tc>
          <w:tcPr>
            <w:tcW w:type="dxa" w:w="1656"/>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20"/>
              </w:rPr>
              <w:t>Lead</w:t>
            </w:r>
          </w:p>
        </w:tc>
      </w:tr>
      <w:tr>
        <w:trPr>
          <w:cantSplit/>
        </w:trPr>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October 26–November 1</w:t>
            </w:r>
          </w:p>
        </w:tc>
        <w:tc>
          <w:tcPr>
            <w:tcW w:type="dxa" w:w="583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Finalize VenueVue (Nearby Café) SRS traceability, validate live café menu/recipe data, and confirm local vs. optional online staging environment.</w:t>
            </w:r>
          </w:p>
        </w:tc>
        <w:tc>
          <w:tcPr>
            <w:tcW w:type="dxa" w:w="16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Jenny / Zaki</w:t>
            </w:r>
          </w:p>
        </w:tc>
      </w:tr>
      <w:tr>
        <w:trPr>
          <w:cantSplit/>
        </w:trPr>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November 2–8</w:t>
            </w:r>
          </w:p>
        </w:tc>
        <w:tc>
          <w:tcPr>
            <w:tcW w:type="dxa" w:w="5832"/>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Run device/LAN or selected-host staging checks; correct blockers and repeat affected regression.</w:t>
            </w:r>
          </w:p>
        </w:tc>
        <w:tc>
          <w:tcPr>
            <w:tcW w:type="dxa" w:w="1656"/>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Rhea / Zaki</w:t>
            </w:r>
          </w:p>
        </w:tc>
      </w:tr>
      <w:tr>
        <w:trPr>
          <w:cantSplit/>
        </w:trPr>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November 9–15</w:t>
            </w:r>
          </w:p>
        </w:tc>
        <w:tc>
          <w:tcPr>
            <w:tcW w:type="dxa" w:w="583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Conduct client acceptance, recovery/backup rehearsal and training; obtain recorded feedback.</w:t>
            </w:r>
          </w:p>
        </w:tc>
        <w:tc>
          <w:tcPr>
            <w:tcW w:type="dxa" w:w="16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Rhea / Jenny</w:t>
            </w:r>
          </w:p>
        </w:tc>
      </w:tr>
      <w:tr>
        <w:trPr>
          <w:cantSplit/>
        </w:trPr>
        <w:tc>
          <w:tcPr>
            <w:tcW w:type="dxa" w:w="2304"/>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November 16–20</w:t>
            </w:r>
          </w:p>
        </w:tc>
        <w:tc>
          <w:tcPr>
            <w:tcW w:type="dxa" w:w="5832"/>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Close acceptance defects, finalize manuals and release package; obtain handover decision.</w:t>
            </w:r>
          </w:p>
        </w:tc>
        <w:tc>
          <w:tcPr>
            <w:tcW w:type="dxa" w:w="1656"/>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Zaki / team</w:t>
            </w:r>
          </w:p>
        </w:tc>
      </w:tr>
    </w:tbl>
    <w:p>
      <w:pPr>
        <w:spacing w:after="20"/>
      </w:pPr>
    </w:p>
    <w:p>
      <w:r>
        <w:t>November 20, 2026 serves as the terminal handover target. Optional online staging is scheduled in parallel with local LAN device verification so that optional cloud provisioning never delays the primary local XAMPP handover for Nearby Café. Any scope or schedule adjustment requires documented review with the client and course instructor.</w:t>
      </w:r>
    </w:p>
    <w:p>
      <w:r>
        <w:t>Key risks are an unverified hosting plan, delayed client review, incorrect recipe/unit data, unavailable devices and recovery or restore failures. The response is to resolve dependencies early, retain local deployment support, validate recipes with the Owner and rehearse recovery on disposable data. New features will not displace the final acceptance period.</w:t>
      </w:r>
    </w:p>
    <w:p>
      <w:pPr>
        <w:pStyle w:val="Heading2"/>
      </w:pPr>
      <w:r>
        <w:t>6.1 Gantt Chart</w:t>
      </w:r>
    </w:p>
    <w:p>
      <w:r>
        <w:t>Figure 1 on the following page separates the original planned work periods from the remaining completion windows. Shading denotes scheduled effort allocation across the 16-week academic timeline culminating in the November 20, 2026 terminal handover and course presentation.</w:t>
      </w:r>
    </w:p>
    <w:p>
      <w:pPr>
        <w:pStyle w:val="Heading2"/>
        <w:pageBreakBefore/>
        <w:outlineLvl w:val="9"/>
      </w:pPr>
      <w:r>
        <w:t>Project schedule allocation</w:t>
      </w:r>
    </w:p>
    <w:p>
      <w:r>
        <w:drawing>
          <wp:inline xmlns:a="http://schemas.openxmlformats.org/drawingml/2006/main" xmlns:pic="http://schemas.openxmlformats.org/drawingml/2006/picture">
            <wp:extent cx="6217920" cy="3799840"/>
            <wp:docPr id="2" name="Picture 2"/>
            <wp:cNvGraphicFramePr>
              <a:graphicFrameLocks noChangeAspect="1"/>
            </wp:cNvGraphicFramePr>
            <a:graphic>
              <a:graphicData uri="http://schemas.openxmlformats.org/drawingml/2006/picture">
                <pic:pic>
                  <pic:nvPicPr>
                    <pic:cNvPr id="0" name="gantt.png"/>
                    <pic:cNvPicPr/>
                  </pic:nvPicPr>
                  <pic:blipFill>
                    <a:blip r:embed="rId12"/>
                    <a:stretch>
                      <a:fillRect/>
                    </a:stretch>
                  </pic:blipFill>
                  <pic:spPr>
                    <a:xfrm>
                      <a:off x="0" y="0"/>
                      <a:ext cx="6217920" cy="3799840"/>
                    </a:xfrm>
                    <a:prstGeom prst="rect"/>
                  </pic:spPr>
                </pic:pic>
              </a:graphicData>
            </a:graphic>
          </wp:inline>
        </w:drawing>
      </w:r>
    </w:p>
    <w:p>
      <w:r>
        <w:t>Figure 1. Planned schedule and proposed remaining-work allocation</w:t>
      </w:r>
    </w:p>
    <w:p>
      <w:r>
        <w:t>The dashed line marks the October 24, 2026 review point. The upper six bars consolidate the original weekly plan for readability. The lower four bars are proposed review windows, not claims of completed work. Their overlap is deliberate: they show the remaining delivery work against the historical baseline.</w:t>
      </w:r>
    </w:p>
    <w:p>
      <w:r>
        <w:t>Each weekly review will examine evidence, blocker ownership, remaining effort and the next gate. The team should agree acceptance scenarios before testing so a demonstration is judged against requirements rather than appearance alone. Any inability to complete required validation by the target must be escalated with the affected deliverable and revised forecast.</w:t>
      </w:r>
    </w:p>
    <w:p>
      <w:pPr>
        <w:pStyle w:val="Heading2"/>
        <w:pageBreakBefore/>
      </w:pPr>
      <w:r>
        <w:t>6.2 Work Breakdown Structure</w:t>
      </w:r>
    </w:p>
    <w:p>
      <w:r>
        <w:t>Table 10 reconciles the work-package descriptions and closure evidence with the completed VenueVue architecture while preserving the approved 540-hour baseline effort allocation (Zaki Zapico: 220 hours, Jenny Lyn Roquid: 170 hours, Rhea Mae Gregorio: 150 hours) across all ten work packages.</w:t>
      </w:r>
    </w:p>
    <w:p>
      <w:pPr>
        <w:keepNext/>
      </w:pPr>
      <w:r>
        <w:rPr>
          <w:b/>
        </w:rPr>
        <w:t>Table 10. Work packages and completion evidence</w:t>
      </w:r>
    </w:p>
    <w:tbl>
      <w:tblPr>
        <w:tblW w:type="auto" w:w="0"/>
        <w:tblLayout w:type="fixed"/>
        <w:tblLook w:firstColumn="1" w:firstRow="1" w:lastColumn="0" w:lastRow="0" w:noHBand="0" w:noVBand="1" w:val="04A0"/>
      </w:tblPr>
      <w:tblGrid>
        <w:gridCol w:w="650"/>
        <w:gridCol w:w="2150"/>
        <w:gridCol w:w="4832"/>
        <w:gridCol w:w="720"/>
        <w:gridCol w:w="720"/>
        <w:gridCol w:w="720"/>
      </w:tblGrid>
      <w:tr>
        <w:trPr>
          <w:cantSplit/>
          <w:tblHeader/>
        </w:trPr>
        <w:tc>
          <w:tcPr>
            <w:tcW w:type="dxa" w:w="650"/>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20"/>
              </w:rPr>
              <w:t>WBS</w:t>
            </w:r>
          </w:p>
        </w:tc>
        <w:tc>
          <w:tcPr>
            <w:tcW w:type="dxa" w:w="2150"/>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20"/>
              </w:rPr>
              <w:t>Work package</w:t>
            </w:r>
          </w:p>
        </w:tc>
        <w:tc>
          <w:tcPr>
            <w:tcW w:type="dxa" w:w="4832"/>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20"/>
              </w:rPr>
              <w:t>Lead and closure evidence</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jc w:val="center"/>
            </w:pPr>
            <w:r>
              <w:rPr>
                <w:b/>
                <w:sz w:val="20"/>
              </w:rPr>
              <w:t>Zaki h</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jc w:val="center"/>
            </w:pPr>
            <w:r>
              <w:rPr>
                <w:b/>
                <w:sz w:val="20"/>
              </w:rPr>
              <w:t>Jenny h</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jc w:val="center"/>
            </w:pPr>
            <w:r>
              <w:rPr>
                <w:b/>
                <w:sz w:val="20"/>
              </w:rPr>
              <w:t>Rhea h</w:t>
            </w:r>
          </w:p>
        </w:tc>
      </w:tr>
      <w:tr>
        <w:trPr>
          <w:cantSplit/>
        </w:trPr>
        <w:tc>
          <w:tcPr>
            <w:tcW w:type="dxa" w:w="6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1.0</w:t>
            </w:r>
          </w:p>
        </w:tc>
        <w:tc>
          <w:tcPr>
            <w:tcW w:type="dxa" w:w="21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Client context and scope</w:t>
            </w:r>
          </w:p>
        </w:tc>
        <w:tc>
          <w:tcPr>
            <w:tcW w:type="dxa" w:w="483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Jenny: approved assumptions, boundaries and client identity.</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12</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18</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6</w:t>
            </w:r>
          </w:p>
        </w:tc>
      </w:tr>
      <w:tr>
        <w:trPr>
          <w:cantSplit/>
        </w:trPr>
        <w:tc>
          <w:tcPr>
            <w:tcW w:type="dxa" w:w="6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2.0</w:t>
            </w:r>
          </w:p>
        </w:tc>
        <w:tc>
          <w:tcPr>
            <w:tcW w:type="dxa" w:w="21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Requirements and SRS</w:t>
            </w:r>
          </w:p>
        </w:tc>
        <w:tc>
          <w:tcPr>
            <w:tcW w:type="dxa" w:w="483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Jenny: reviewed requirements and acceptance traceability.</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14</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46</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12</w:t>
            </w:r>
          </w:p>
        </w:tc>
      </w:tr>
      <w:tr>
        <w:trPr>
          <w:cantSplit/>
        </w:trPr>
        <w:tc>
          <w:tcPr>
            <w:tcW w:type="dxa" w:w="6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3.0</w:t>
            </w:r>
          </w:p>
        </w:tc>
        <w:tc>
          <w:tcPr>
            <w:tcW w:type="dxa" w:w="21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Foundation and deployment</w:t>
            </w:r>
          </w:p>
        </w:tc>
        <w:tc>
          <w:tcPr>
            <w:tcW w:type="dxa" w:w="483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Zaki: reproducible installation and device/host checks.</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36</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10</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8</w:t>
            </w:r>
          </w:p>
        </w:tc>
      </w:tr>
      <w:tr>
        <w:trPr>
          <w:cantSplit/>
        </w:trPr>
        <w:tc>
          <w:tcPr>
            <w:tcW w:type="dxa" w:w="6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4.0</w:t>
            </w:r>
          </w:p>
        </w:tc>
        <w:tc>
          <w:tcPr>
            <w:tcW w:type="dxa" w:w="21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Access and catalogue</w:t>
            </w:r>
          </w:p>
        </w:tc>
        <w:tc>
          <w:tcPr>
            <w:tcW w:type="dxa" w:w="483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Zaki / Jenny: roles, guarded setup, variants and recipes verified.</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22</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34</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10</w:t>
            </w:r>
          </w:p>
        </w:tc>
      </w:tr>
      <w:tr>
        <w:trPr>
          <w:cantSplit/>
        </w:trPr>
        <w:tc>
          <w:tcPr>
            <w:tcW w:type="dxa" w:w="6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5.0</w:t>
            </w:r>
          </w:p>
        </w:tc>
        <w:tc>
          <w:tcPr>
            <w:tcW w:type="dxa" w:w="21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POS and inventory</w:t>
            </w:r>
          </w:p>
        </w:tc>
        <w:tc>
          <w:tcPr>
            <w:tcW w:type="dxa" w:w="483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Zaki: atomic sale, batch/opened stock, waste and adjustment evidence.</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48</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18</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22</w:t>
            </w:r>
          </w:p>
        </w:tc>
      </w:tr>
      <w:tr>
        <w:trPr>
          <w:cantSplit/>
        </w:trPr>
        <w:tc>
          <w:tcPr>
            <w:tcW w:type="dxa" w:w="6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6.0</w:t>
            </w:r>
          </w:p>
        </w:tc>
        <w:tc>
          <w:tcPr>
            <w:tcW w:type="dxa" w:w="21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Order and account recovery</w:t>
            </w:r>
          </w:p>
        </w:tc>
        <w:tc>
          <w:tcPr>
            <w:tcW w:type="dxa" w:w="483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Zaki: queue reconciliation, single-use recovery and session evidence.</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30</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10</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18</w:t>
            </w:r>
          </w:p>
        </w:tc>
      </w:tr>
      <w:tr>
        <w:trPr>
          <w:cantSplit/>
        </w:trPr>
        <w:tc>
          <w:tcPr>
            <w:tcW w:type="dxa" w:w="6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7.0</w:t>
            </w:r>
          </w:p>
        </w:tc>
        <w:tc>
          <w:tcPr>
            <w:tcW w:type="dxa" w:w="21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Reports and backup</w:t>
            </w:r>
          </w:p>
        </w:tc>
        <w:tc>
          <w:tcPr>
            <w:tcW w:type="dxa" w:w="483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Zaki: stored VAT/CSV consistency and rehearsed restore.</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24</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10</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14</w:t>
            </w:r>
          </w:p>
        </w:tc>
      </w:tr>
      <w:tr>
        <w:trPr>
          <w:cantSplit/>
        </w:trPr>
        <w:tc>
          <w:tcPr>
            <w:tcW w:type="dxa" w:w="6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8.0</w:t>
            </w:r>
          </w:p>
        </w:tc>
        <w:tc>
          <w:tcPr>
            <w:tcW w:type="dxa" w:w="21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Integrated acceptance</w:t>
            </w:r>
          </w:p>
        </w:tc>
        <w:tc>
          <w:tcPr>
            <w:tcW w:type="dxa" w:w="483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Rhea: regression, environment checks and defect disposition.</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16</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10</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38</w:t>
            </w:r>
          </w:p>
        </w:tc>
      </w:tr>
      <w:tr>
        <w:trPr>
          <w:cantSplit/>
        </w:trPr>
        <w:tc>
          <w:tcPr>
            <w:tcW w:type="dxa" w:w="6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9.0</w:t>
            </w:r>
          </w:p>
        </w:tc>
        <w:tc>
          <w:tcPr>
            <w:tcW w:type="dxa" w:w="21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Training and handover</w:t>
            </w:r>
          </w:p>
        </w:tc>
        <w:tc>
          <w:tcPr>
            <w:tcW w:type="dxa" w:w="483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Rhea: manuals, training record and client decision.</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6</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8</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18</w:t>
            </w:r>
          </w:p>
        </w:tc>
      </w:tr>
      <w:tr>
        <w:trPr>
          <w:cantSplit/>
        </w:trPr>
        <w:tc>
          <w:tcPr>
            <w:tcW w:type="dxa" w:w="6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10.0</w:t>
            </w:r>
          </w:p>
        </w:tc>
        <w:tc>
          <w:tcPr>
            <w:tcW w:type="dxa" w:w="21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Coordination and forecasting</w:t>
            </w:r>
          </w:p>
        </w:tc>
        <w:tc>
          <w:tcPr>
            <w:tcW w:type="dxa" w:w="483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Zaki: schedule updates, unresolved decisions and final package.</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12</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6</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jc w:val="center"/>
            </w:pPr>
            <w:r>
              <w:rPr>
                <w:b w:val="0"/>
                <w:sz w:val="20"/>
              </w:rPr>
              <w:t>4</w:t>
            </w:r>
          </w:p>
        </w:tc>
      </w:tr>
      <w:tr>
        <w:trPr>
          <w:cantSplit/>
          <w:tblHeader/>
        </w:trPr>
        <w:tc>
          <w:tcPr>
            <w:tcW w:type="dxa" w:w="650"/>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jc w:val="left"/>
            </w:pPr>
            <w:r>
              <w:rPr>
                <w:b/>
                <w:sz w:val="20"/>
              </w:rPr>
              <w:t>Total</w:t>
            </w:r>
          </w:p>
        </w:tc>
        <w:tc>
          <w:tcPr>
            <w:tcW w:type="dxa" w:w="2150"/>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jc w:val="left"/>
            </w:pPr>
            <w:r>
              <w:rPr>
                <w:b/>
                <w:sz w:val="20"/>
              </w:rPr>
              <w:t>Full-project planned effort</w:t>
            </w:r>
          </w:p>
        </w:tc>
        <w:tc>
          <w:tcPr>
            <w:tcW w:type="dxa" w:w="4832"/>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jc w:val="left"/>
            </w:pPr>
            <w:r>
              <w:rPr>
                <w:b/>
                <w:sz w:val="20"/>
              </w:rPr>
              <w:t>540 team hours (includes 24h correction reserve in WBS 8.0)</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jc w:val="center"/>
            </w:pPr>
            <w:r>
              <w:rPr>
                <w:b/>
                <w:sz w:val="20"/>
              </w:rPr>
              <w:t>220</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jc w:val="center"/>
            </w:pPr>
            <w:r>
              <w:rPr>
                <w:b/>
                <w:sz w:val="20"/>
              </w:rPr>
              <w:t>170</w:t>
            </w:r>
          </w:p>
        </w:tc>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jc w:val="center"/>
            </w:pPr>
            <w:r>
              <w:rPr>
                <w:b/>
                <w:sz w:val="20"/>
              </w:rPr>
              <w:t>150</w:t>
            </w:r>
          </w:p>
        </w:tc>
      </w:tr>
    </w:tbl>
    <w:p>
      <w:pPr>
        <w:spacing w:after="20"/>
      </w:pPr>
    </w:p>
    <w:p>
      <w:r>
        <w:t>Package-level development includes its own immediate functional checks. Work Package 8.0 covers integrated system verification, regression testing, and client/environment acceptance, and includes the 24-hour correction reserve (Zaki: 8 hours, Jenny: 4 hours, Rhea: 12 hours) already built into the 540-hour total so testing effort is never double-counted.</w:t>
      </w:r>
    </w:p>
    <w:p>
      <w:r>
        <w:t>The completed application source and automated verification suite establish implementation evidence for Work Packages 3.0–7.0 and the automated portions of Work Package 8.0. Work Packages 1.0–2.0 and 9.0–10.0 conclude through final SRS alignment, Nearby Café user acceptance testing, staff training, and handover documentation.</w:t>
      </w:r>
    </w:p>
    <w:p>
      <w:pPr>
        <w:pStyle w:val="Heading1"/>
        <w:pageBreakBefore/>
      </w:pPr>
      <w:r>
        <w:t>7. Budget Allocation</w:t>
      </w:r>
    </w:p>
    <w:p>
      <w:pPr>
        <w:pStyle w:val="Heading2"/>
      </w:pPr>
      <w:r>
        <w:t>7.1 Estimated Costs</w:t>
      </w:r>
    </w:p>
    <w:p>
      <w:r>
        <w:t>VenueVue is developed as an unpaid student course project. Nearby Café will not pay the student team for software development, project coordination, testing, documentation, training, or handover. Existing host computers, client tablets, local Wi-Fi equipment, and USB backup media are supplied from existing café and team hardware at ₱0 additional capital cost.</w:t>
      </w:r>
    </w:p>
    <w:p>
      <w:r>
        <w:t>The client-side cash budget covers transportation for two representatives traveling between Indang, Cavite and Tondo, Manila via public bus, LRT, and jeepney transfers across four face-to-face consultation, verification, and acceptance visits at a budgeted allowance of ₱400 per person per round trip (₱200 each way).</w:t>
      </w:r>
    </w:p>
    <w:p>
      <w:pPr>
        <w:keepNext/>
      </w:pPr>
      <w:r>
        <w:rPr>
          <w:b/>
        </w:rPr>
        <w:t>Table 11. Local deployment base budget</w:t>
      </w:r>
    </w:p>
    <w:tbl>
      <w:tblPr>
        <w:tblW w:type="auto" w:w="0"/>
        <w:tblLayout w:type="fixed"/>
        <w:tblLook w:firstColumn="1" w:firstRow="1" w:lastColumn="0" w:lastRow="0" w:noHBand="0" w:noVBand="1" w:val="04A0"/>
      </w:tblPr>
      <w:tblGrid>
        <w:gridCol w:w="3024"/>
        <w:gridCol w:w="5040"/>
        <w:gridCol w:w="1728"/>
      </w:tblGrid>
      <w:tr>
        <w:trPr>
          <w:cantSplit/>
          <w:tblHeader/>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20"/>
              </w:rPr>
              <w:t>Item</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20"/>
              </w:rPr>
              <w:t>Basis</w:t>
            </w:r>
          </w:p>
        </w:tc>
        <w:tc>
          <w:tcPr>
            <w:tcW w:type="dxa" w:w="1728"/>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20"/>
              </w:rPr>
              <w:t>Amount</w:t>
            </w:r>
          </w:p>
        </w:tc>
      </w:tr>
      <w:tr>
        <w:trPr>
          <w:cantSplit/>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Student-team labor/services</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Unpaid academic project</w:t>
            </w:r>
          </w:p>
        </w:tc>
        <w:tc>
          <w:tcPr>
            <w:tcW w:type="dxa" w:w="172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₱0</w:t>
            </w:r>
          </w:p>
        </w:tc>
      </w:tr>
      <w:tr>
        <w:trPr>
          <w:cantSplit/>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Software licenses</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No required paid license identified</w:t>
            </w:r>
          </w:p>
        </w:tc>
        <w:tc>
          <w:tcPr>
            <w:tcW w:type="dxa" w:w="1728"/>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₱0</w:t>
            </w:r>
          </w:p>
        </w:tc>
      </w:tr>
      <w:tr>
        <w:trPr>
          <w:cantSplit/>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Local hosting service</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Existing host; no hosting subscription</w:t>
            </w:r>
          </w:p>
        </w:tc>
        <w:tc>
          <w:tcPr>
            <w:tcW w:type="dxa" w:w="172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₱0</w:t>
            </w:r>
          </w:p>
        </w:tc>
      </w:tr>
      <w:tr>
        <w:trPr>
          <w:cantSplit/>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Transportation</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2 representatives × 4 visits × ₱400</w:t>
            </w:r>
          </w:p>
        </w:tc>
        <w:tc>
          <w:tcPr>
            <w:tcW w:type="dxa" w:w="1728"/>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₱3,200</w:t>
            </w:r>
          </w:p>
        </w:tc>
      </w:tr>
      <w:tr>
        <w:trPr>
          <w:cantSplit/>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Transport contingency</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10% × ₱3,200</w:t>
            </w:r>
          </w:p>
        </w:tc>
        <w:tc>
          <w:tcPr>
            <w:tcW w:type="dxa" w:w="172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20"/>
              </w:rPr>
              <w:t>₱320</w:t>
            </w:r>
          </w:p>
        </w:tc>
      </w:tr>
      <w:tr>
        <w:trPr>
          <w:cantSplit/>
        </w:trPr>
        <w:tc>
          <w:tcPr>
            <w:tcW w:type="dxa" w:w="3024"/>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Provisional client base budget</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Transport plus contingency</w:t>
            </w:r>
          </w:p>
        </w:tc>
        <w:tc>
          <w:tcPr>
            <w:tcW w:type="dxa" w:w="1728"/>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40" w:line="240" w:lineRule="auto"/>
            </w:pPr>
            <w:r>
              <w:rPr>
                <w:b w:val="0"/>
                <w:sz w:val="20"/>
              </w:rPr>
              <w:t>₱3,520</w:t>
            </w:r>
          </w:p>
        </w:tc>
      </w:tr>
    </w:tbl>
    <w:p>
      <w:pPr>
        <w:spacing w:after="20"/>
      </w:pPr>
    </w:p>
    <w:p>
      <w:r>
        <w:t>The four visits are the total planning assumption, not four extra visits after this revision. Actual spending must be recorded separately. The budget does not assert that electricity, internet access or equipment have no economic cost; no additional cash purchase for them is currently confirmed.</w:t>
      </w:r>
    </w:p>
    <w:p>
      <w:pPr>
        <w:pStyle w:val="Heading2"/>
      </w:pPr>
      <w:r>
        <w:t>7.2 Total Projected Budget</w:t>
      </w:r>
    </w:p>
    <w:p>
      <w:r>
        <w:t>Total paid to student team = ₱0. Total projected client base budget for local LAN deployment = ₱3,520 (₱3,200 transportation across four visits plus ₱320 10% contingency).</w:t>
      </w:r>
    </w:p>
    <w:p>
      <w:r>
        <w:t>Optional online PHP/MySQL cloud hosting and custom domain registration are modular add-ons outside the ₱3,520 local deployment base budget. Standard Linux PHP 8.2+ / MySQL shared or VPS hosting with Let's Encrypt HTTPS/TLS is provisioned only if the Nearby Café Owner elects to run the online deployment mode alongside or in place of the local XAMPP host.</w:t>
      </w:r>
    </w:p>
    <w:p>
      <w:r>
        <w:t>If online deployment is selected, the revised projected client budget will equal ₱3,520 plus the approved hosting/domain charges for the agreed period and any separately approved additional costs. Recurring renewals must be shown separately from initial outlay. The team will not present an invented online price or label paid cloud hosting as free.</w:t>
      </w:r>
    </w:p>
    <w:p>
      <w:pPr>
        <w:pStyle w:val="Heading1"/>
        <w:pageBreakBefore/>
      </w:pPr>
      <w:r>
        <w:t>References</w:t>
      </w:r>
    </w:p>
    <w:p>
      <w:r>
        <w:t>digabloPos. (n.d.). Offline mode: Sell without interruption, even without internet. Retrieved October 24, 2026, from https://digablopos.com/en/features/offline-mode</w:t>
      </w:r>
    </w:p>
    <w:p>
      <w:r>
        <w:t>Lavu. (n.d.-a). Best restaurant POS with offline mode. Retrieved October 24, 2026, from https://lavu.com/restaurant-pos/offline-mode</w:t>
      </w:r>
    </w:p>
    <w:p>
      <w:r>
        <w:t>Lavu. (n.d.-b). Inventory: Link ingredients to menu items. Retrieved October 24, 2026, from https://support.lavu.com/en/knowledge/inventory-link-ingredients-to-menu-items</w:t>
      </w:r>
    </w:p>
    <w:p>
      <w:r>
        <w:t>Peddlr Philippines, Inc. (n.d.). POS. Retrieved October 24, 2026, from https://www.peddlr.io/features/pos</w:t>
      </w:r>
    </w:p>
    <w:sectPr w:rsidR="00FC693F" w:rsidRPr="0006063C" w:rsidSect="00034616">
      <w:headerReference w:type="default" r:id="rId9"/>
      <w:footerReference w:type="default" r:id="rId10"/>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COSC 75 Project Plan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CTRL + STAY  |  VenueVue (Nearby Café)  |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Nearby Café Project Plan</dc:title>
  <dc:subject/>
  <dc:creator>CTRL + STAY</dc:creator>
  <cp:keywords/>
  <dc:description>generated by python-docx</dc:description>
  <cp:lastModifiedBy/>
  <cp:revision>1</cp:revision>
  <dcterms:created xsi:type="dcterms:W3CDTF">2013-12-23T23:15:00Z</dcterms:created>
  <dcterms:modified xsi:type="dcterms:W3CDTF">2013-12-23T23:15:00Z</dcterms:modified>
  <cp:category/>
</cp:coreProperties>
</file>