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0D7C8F"/>
          <w:sz w:val="64"/>
          <w:szCs w:val="64"/>
        </w:rPr>
        <w:t xml:space="preserve">🦜  PARAKEET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AI-Powered Conversational Language Learning Platform</w:t>
      </w:r>
    </w:p>
    <w:p>
      <w:pPr>
        <w:pBdr>
          <w:bottom w:val="single" w:color="0D7C8F" w:sz="12" w:space="6"/>
        </w:pBdr>
        <w:spacing w:after="480" w:before="6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PROJECT CHARTER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Parakeet — Language Learning 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Charter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Parakeet Founding Team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Draft — For Stakeholder Review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Style w:val="Heading1"/>
        <w:pBdr>
          <w:bottom w:val="single" w:color="0D7C8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7C8F"/>
          <w:sz w:val="28"/>
          <w:szCs w:val="28"/>
        </w:rPr>
        <w:t xml:space="preserve">1.  Project Purpose &amp; Background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Parakeet is a next-generation, AI-driven language learning application designed to bridge the gap between traditional classroom instruction and real-world conversational fluency. The project was conceived in response to a fundamental shortcoming in the current language education market: despite the existence of numerous apps and platforms, the majority rely on repetitive drills, static content, and passive exercises that fail to replicate the dynamic nature of authentic conversation.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By deploying a sophisticated AI conversation engine — powered by large language model (LLM) technology — combined with adaptive lesson modules and gamified progress mechanics, Parakeet delivers a personalised and immersive learning experience available anywhere and at any time.</w:t>
      </w:r>
    </w:p>
    <w:p>
      <w:pPr>
        <w:spacing w:after="0" w:before="80"/>
      </w:pPr>
      <w:r>
        <w:t xml:space="preserve"/>
      </w:r>
    </w:p>
    <w:p>
      <w:pPr>
        <w:pBdr>
          <w:left w:val="single" w:color="0D7C8F" w:sz="20" w:space="8"/>
        </w:pBdr>
        <w:shd w:fill="E0F4F7" w:val="clear"/>
        <w:spacing w:after="80" w:before="120"/>
        <w:ind w:left="360"/>
      </w:pPr>
      <w:r>
        <w:rPr>
          <w:rFonts w:ascii="Arial" w:cs="Arial" w:eastAsia="Arial" w:hAnsi="Arial"/>
          <w:b/>
          <w:bCs/>
          <w:color w:val="0D7C8F"/>
          <w:sz w:val="22"/>
          <w:szCs w:val="22"/>
        </w:rPr>
        <w:t xml:space="preserve">Value Proposition: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Parakeet makes fluency achievable by turning every interaction into a learning opportunity — powered by AI and built around the learner.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7C8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7C8F"/>
          <w:sz w:val="28"/>
          <w:szCs w:val="28"/>
        </w:rPr>
        <w:t xml:space="preserve">2.  Project Objectives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project charter authorises the development and launch of the Parakeet platform. The following objectives define success for the initial release: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 and deploy a fully functional AI conversation engine capable of real-time, multi-turn dialogue in 12 languages at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adaptive lesson modules using spaced-repetition logic and AI-driven personalisation to serve learners at all CEFR proficiency levels.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a gamification layer — including points, badges, leaderboards, and daily streak mechanics — to maximise engagement and learner retention.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Launch a freemium SaaS product accessible via web browser, with a clear monetisation pathway from free to Pro ($14.99/mo) and Premium ($29.99/mo) tiers.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Establish enterprise B2B sales infrastructure to target corporate clients and educational institutions from Day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Achieve initial market traction with measurable user acquisition through organic, referral, and paid social channels.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7C8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7C8F"/>
          <w:sz w:val="28"/>
          <w:szCs w:val="28"/>
        </w:rPr>
        <w:t xml:space="preserve">3.  Project Scope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 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Conversation Engine — real-time, context-aware dialogue with error correction and CEFR-aligned difficulty adjustment.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Adaptive Learning Paths — AI-generated curriculum sequences with spaced-repetition and targeted micro-exercises.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Gamification System — points, badges, leaderboards, daily streaks, and progress dashboards.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 Application — React.js front end with unified learner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Infrastructure — Node.js/TypeScript API, GraphQL, PostgreSQL, Redis, MongoDB, hosted on AWS.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Speech Integration — voice-based conversation mode via OpenAI Whisper (STT) and AWS Polly / ElevenLabs (TTS).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Subscription Management — Free, Pro, and Premium tiers with payment processing.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Enterprise Features — team dashboards, admin controls, volume licensing, and white-label options.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Credential Marketplace — CEFR-aligned proficiency assessments and verified credentials.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  Out of Scope (Initial Release)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Native mobile applications (iOS / Android) — planned for Phase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human coaching sessions — infrastructure is planned; launch deferred post-MVP.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Languages beyond the initial 12 — additional languages are a Phase 2 expansion.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Third-party LMS / HR system integrations — enterprise API integrations planned post-launch.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7C8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7C8F"/>
          <w:sz w:val="28"/>
          <w:szCs w:val="28"/>
        </w:rPr>
        <w:t xml:space="preserve">4.  Key Deliverables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Conversation Engine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LLM-powered dialogue system with contextual error correction and adaptive difficulty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Adaptive Lesson Modules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Spaced-repetition curriculum with AI-generated quizzes and personalised learning paths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Gamification 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Points, badges, leaderboards, streaks, and progress analytics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 Application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Fully functional React.js web app with learner dashboard, lesson flows, and conversation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Voice Mode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Speech-to-text and text-to-speech integration for voice-based conversation 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Subscription 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Freemium, Pro, and Premium tier management with payment gateway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Credential Marketplace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CEFR-aligned assessments and verifiable proficiency certificates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Enterprise 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controls, team progress tracking, volume licensing, and white-label configuration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Mobile Apps (iOS/Android)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Native mobile application ports for iOS and Android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7C8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7C8F"/>
          <w:sz w:val="28"/>
          <w:szCs w:val="28"/>
        </w:rPr>
        <w:t xml:space="preserve">5.  Stakeholders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 / 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Founding Team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Sponsors &amp; Leads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vision, technical architecture, and overall delivery accountability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Prospective Investors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Funding Partners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Financial viability, growth trajectory, and return on investment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Language Learners (B2C)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 Users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product experience — conversion, engagement, and retention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Corporate Clients (B2B)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 Customers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Workforce upskilling, volume licensing, and white-label requirements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Universities &amp; Institutions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Institutional Partners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Credential recognition, academic partnerships, and referral pipelines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/ Cloud Providers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Technology Vendors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reliability, SLA compliance, and pricing (OpenAI, AWS, ElevenLabs)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Regulatory Bodies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Compliance Authorities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privacy (GDPR, CCPA), AI governance, and consumer protection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7C8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7C8F"/>
          <w:sz w:val="28"/>
          <w:szCs w:val="28"/>
        </w:rPr>
        <w:t xml:space="preserve">6.  High-Level Project Timeline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Feb – Mar 2026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Charter approval, team formation, technical architecture design, vendor selection (LLM / cloud / STT providers)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 – Jun 2026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conversation engine development, backend API build-out, database schema design, initial LLM fine-tuning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Jul – Sep 2026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Adaptive lesson module development, gamification layer, learner dashboard UI, voice mode integration (Whisper / Polly)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Oct – Nov 2026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Subscription billing system, credential marketplace, enterprise dashboard, closed beta with test cohort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 Launch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 2026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 launch across all 12 languages; marketing campaign activation; investor reporting begins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Q1 – Q2 2027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iOS and Android native apps, live coaching add-on, additional language expansion, LMS integrations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7C8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7C8F"/>
          <w:sz w:val="28"/>
          <w:szCs w:val="28"/>
        </w:rPr>
        <w:t xml:space="preserve">7.  Budget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represents a high-level budget framework for the initial phase of the Parakeet project, covering development, infrastructure, and go-to-market activities through to public launch.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Category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Allocation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Engineering &amp; Development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Salaries, contractors, tooling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/ LLM Infrastructure &amp; APIs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Fine-tuning, inference, API costs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Cloud Hosting &amp; DevOps (AWS)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EKS, Lambda, CloudFront, monitoring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Marketing &amp; User Acquisition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Paid social, influencer, content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Operations &amp; Legal / Compliance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Privacy, IP, regulatory compliance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Contingency Reserve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buffer for scope changes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7C8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7C8F"/>
          <w:sz w:val="28"/>
          <w:szCs w:val="28"/>
        </w:rPr>
        <w:t xml:space="preserve">8.  Key Risks &amp; Mitigations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inference latency exceeds 10-second 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Adopt vLLM / TensorRT optimisation; implement response caching for common patterns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API cost overruns at scale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Evaluate open-source fine-tuned models; implement token usage monitoring with hard caps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Competitor feature parity (Duolingo AI launch)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Accelerate launch timeline; differentiate via credential marketplace and enterprise features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GDPR / CCPA data privacy violations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Engage legal counsel from Day 1; privacy-by-design architecture; DPA agreements with all vendors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free-to-paid conversion rates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A/B test paywall friction points; optimise in-app upgrade prompts; analyse drop-off funnels weekly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quality issues in non-English languages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Hire native-speaker QA reviewers per language; implement user feedback loops for AI corrections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7C8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7C8F"/>
          <w:sz w:val="28"/>
          <w:szCs w:val="28"/>
        </w:rPr>
        <w:t xml:space="preserve">9.  Success Criteria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will be considered successful upon achievement of the following measurable outcomes within 12 months of public launch: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Registered Users (Month 12)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100,000+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analytics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Free-to-Paid Conversion Rate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8%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Subscription data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Monthly Recurring Revenue (MRR)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$200,000+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Finance dashboard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Daily Active Users (DAU)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30% of MAU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analytics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Response Latency (P95)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10 seconds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Infrastructure monitoring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 Store / Platform Rating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4.5 / 5.0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store reviews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Enterprise Clients Signed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10+ contracts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CRM / sales pipeline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Learner Retention (30-day)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40%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Cohort analysis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7C8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7C8F"/>
          <w:sz w:val="28"/>
          <w:szCs w:val="28"/>
        </w:rPr>
        <w:t xml:space="preserve">10.  Assumptions &amp; Constraints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10.1 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Seed or pre-seed funding will be secured prior to the commencement of Phase 1A development.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 to high-quality, pedagogically vetted language-learning datasets will be obtainable for LLM fine-tuning.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Third-party AI and cloud providers (OpenAI, AWS, ElevenLabs) will maintain API availability and pricing stability throughout the development period.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founding team will be supplemented by engineering and curriculum design hires within 60 days of charter approval.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Market demand for AI-powered language learning will remain strong, supported by the projected 15.7% CAGR through 2030.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10.2 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must comply with GDPR, CCPA, and applicable data protection regulations in all target markets from Day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responses must not exceed 10 seconds end-to-end to maintain a natural conversational experience.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initial launch scope is limited to web browser access only; native mobile apps are a Phase 2 deliverable.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product must support a minimum of 12 languages at public launch as a non-negotiable market requirement.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AI-generated content must be pedagogically appropriate, linguistically accurate, and CEFR-aligned.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7C8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7C8F"/>
          <w:sz w:val="28"/>
          <w:szCs w:val="28"/>
        </w:rPr>
        <w:t xml:space="preserve">11.  Charter Authorisation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By approving this charter, the undersigned authorise the Parakeet project to proceed and commit the resources, budget, and personnel required to achieve the stated objectives.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C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Co-Founder / CEO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Co-Founder / CTO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 Investor / Board Representative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Confidential  —  Parakeet Project Charter  —  Version 1.0  —  February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  <w:spacing w:before="120"/>
    </w:pPr>
    <w:r>
      <w:rPr>
        <w:rFonts w:ascii="Arial" w:cs="Arial" w:eastAsia="Arial" w:hAnsi="Arial"/>
        <w:color w:val="999999"/>
        <w:sz w:val="16"/>
        <w:szCs w:val="16"/>
      </w:rPr>
      <w:t xml:space="preserve">© 2026 Parakeet. All Rights Reserved.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C8F" w:sz="6" w:space="4"/>
      </w:pBdr>
      <w:spacing w:after="160" w:before="0"/>
    </w:pPr>
    <w:r>
      <w:rPr>
        <w:rFonts w:ascii="Arial" w:cs="Arial" w:eastAsia="Arial" w:hAnsi="Arial"/>
        <w:b/>
        <w:bCs/>
        <w:color w:val="0D7C8F"/>
        <w:sz w:val="18"/>
        <w:szCs w:val="18"/>
      </w:rPr>
      <w:t xml:space="preserve">PARAKEET  |  PROJECT CHARTER</w:t>
    </w:r>
    <w:r>
      <w:rPr>
        <w:rFonts w:ascii="Arial" w:cs="Arial" w:eastAsia="Arial" w:hAnsi="Arial"/>
        <w:color w:val="999999"/>
        <w:sz w:val="18"/>
        <w:szCs w:val="18"/>
      </w:rPr>
      <w:t xml:space="preserve">  —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7C8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2026-05-14T22:33:05.207Z</dcterms:created>
  <dcterms:modified xsi:type="dcterms:W3CDTF">2026-05-14T22:33:05.207Z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