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 PARAKEET</w:t>
      </w:r>
    </w:p>
    <w:p>
      <w:pPr>
        <w:spacing w:after="120" w:before="0"/>
        <w:jc w:val="center"/>
      </w:pPr>
      <w:r>
        <w:rPr>
          <w:rFonts w:ascii="Arial" w:cs="Arial" w:eastAsia="Arial" w:hAnsi="Arial"/>
          <w:color w:val="555555"/>
          <w:sz w:val="26"/>
          <w:szCs w:val="26"/>
        </w:rPr>
        <w:t xml:space="preserve">AI-Powered Conversational Language Learning Platform</w:t>
      </w:r>
    </w:p>
    <w:p>
      <w:pPr>
        <w:shd w:fill="1F4E79" w:val="clear"/>
        <w:spacing w:after="120" w:before="480"/>
        <w:jc w:val="center"/>
      </w:pPr>
      <w:r>
        <w:rPr>
          <w:rFonts w:ascii="Arial" w:cs="Arial" w:eastAsia="Arial" w:hAnsi="Arial"/>
          <w:b/>
          <w:bCs/>
          <w:color w:val="FFFFFF"/>
          <w:sz w:val="40"/>
          <w:szCs w:val="40"/>
        </w:rPr>
        <w:t xml:space="preserve">COMPONENT DIAGRAM</w:t>
      </w:r>
    </w:p>
    <w:p>
      <w:pPr>
        <w:spacing w:after="80" w:before="160"/>
        <w:jc w:val="center"/>
      </w:pPr>
      <w:r>
        <w:rPr>
          <w:rFonts w:ascii="Arial" w:cs="Arial" w:eastAsia="Arial" w:hAnsi="Arial"/>
          <w:color w:val="666666"/>
          <w:sz w:val="24"/>
          <w:szCs w:val="24"/>
        </w:rPr>
        <w:t xml:space="preserve">Software Component Design Document</w:t>
      </w:r>
    </w:p>
    <w:p>
      <w:pPr>
        <w:spacing w:after="800" w:before="80"/>
        <w:jc w:val="center"/>
      </w:pPr>
      <w:r>
        <w:rPr>
          <w:rFonts w:ascii="Arial" w:cs="Arial" w:eastAsia="Arial" w:hAnsi="Arial"/>
          <w:color w:val="888888"/>
          <w:sz w:val="22"/>
          <w:szCs w:val="22"/>
        </w:rPr>
        <w:t xml:space="preserve">Version 1.0  |  May 2026  |  Confidential</w:t>
      </w:r>
    </w:p>
    <w:p>
      <w:r>
        <w:br w:type="page"/>
      </w:r>
    </w:p>
    <w:p>
      <w:pPr>
        <w:pStyle w:val="Heading1"/>
        <w:shd w:fill="1F4E79" w:val="clear"/>
        <w:spacing w:after="200" w:before="360"/>
      </w:pPr>
      <w:r>
        <w:rPr>
          <w:rFonts w:ascii="Arial" w:cs="Arial" w:eastAsia="Arial" w:hAnsi="Arial"/>
          <w:b/>
          <w:bCs/>
          <w:color w:val="FFFFFF"/>
          <w:sz w:val="32"/>
          <w:szCs w:val="32"/>
        </w:rPr>
        <w:t xml:space="preserve">1. Introduction</w:t>
      </w:r>
    </w:p>
    <w:p>
      <w:pPr>
        <w:spacing w:after="80" w:before="80"/>
      </w:pPr>
      <w:r>
        <w:rPr>
          <w:rFonts w:ascii="Arial" w:cs="Arial" w:eastAsia="Arial" w:hAnsi="Arial"/>
          <w:sz w:val="22"/>
          <w:szCs w:val="22"/>
        </w:rPr>
        <w:t xml:space="preserve">This document specifies the component architecture of the Parakeet (LinguaFlow) platform. Each component is described with its type, responsibilities, provided interfaces (what it offers to other components), and required interfaces (what it depends on). Component interactions are documented in the dependency matrix.</w:t>
      </w:r>
    </w:p>
    <w:p>
      <w:pPr>
        <w:spacing w:after="60" w:before="60"/>
      </w:pPr>
      <w:r>
        <w:t xml:space="preserve"/>
      </w:r>
    </w:p>
    <w:p>
      <w:pPr>
        <w:spacing w:after="80" w:before="80"/>
      </w:pPr>
      <w:r>
        <w:rPr>
          <w:rFonts w:ascii="Arial" w:cs="Arial" w:eastAsia="Arial" w:hAnsi="Arial"/>
          <w:sz w:val="22"/>
          <w:szCs w:val="22"/>
        </w:rPr>
        <w:t xml:space="preserve">Components are grouped into five subsystems aligned with the platform's architectural layers: Frontend, API Gateway, Core Services, AI Inference, and Data.</w:t>
      </w:r>
    </w:p>
    <w:p>
      <w:pPr>
        <w:spacing w:after="60" w:before="60"/>
      </w:pPr>
      <w:r>
        <w:t xml:space="preserve"/>
      </w:r>
    </w:p>
    <w:p>
      <w:pPr>
        <w:pStyle w:val="Heading1"/>
        <w:shd w:fill="1F4E79" w:val="clear"/>
        <w:spacing w:after="200" w:before="360"/>
      </w:pPr>
      <w:r>
        <w:rPr>
          <w:rFonts w:ascii="Arial" w:cs="Arial" w:eastAsia="Arial" w:hAnsi="Arial"/>
          <w:b/>
          <w:bCs/>
          <w:color w:val="FFFFFF"/>
          <w:sz w:val="32"/>
          <w:szCs w:val="32"/>
        </w:rPr>
        <w:t xml:space="preserve">2. Frontend Subsystem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200"/>
              <w:bottom w:type="dxa" w:w="80"/>
              <w:right w:type="dxa" w:w="200"/>
            </w:tcMar>
          </w:tcPr>
          <w:p>
            <w:r>
              <w:rPr>
                <w:rFonts w:ascii="Arial" w:cs="Arial" w:eastAsia="Arial" w:hAnsi="Arial"/>
                <w:b/>
                <w:bCs/>
                <w:color w:val="FFFFFF"/>
                <w:sz w:val="24"/>
                <w:szCs w:val="24"/>
              </w:rPr>
              <w:t xml:space="preserve">«UI Component»  Learner Dashboard UI</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The main React.js single-page application surface. Surfaces AI conversation, lesson, progress, and gamification views to the individual learner.</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ILearnerDashboard: render dashboard metrics</w:t>
            </w:r>
          </w:p>
          <w:p>
            <w:pPr>
              <w:spacing w:after="20" w:before="20"/>
            </w:pPr>
            <w:r>
              <w:rPr>
                <w:rFonts w:ascii="Arial" w:cs="Arial" w:eastAsia="Arial" w:hAnsi="Arial"/>
                <w:sz w:val="18"/>
                <w:szCs w:val="18"/>
              </w:rPr>
              <w:t xml:space="preserve">  ○ IConversationView: render chat / voice UI</w:t>
            </w:r>
          </w:p>
          <w:p>
            <w:pPr>
              <w:spacing w:after="20" w:before="20"/>
            </w:pPr>
            <w:r>
              <w:rPr>
                <w:rFonts w:ascii="Arial" w:cs="Arial" w:eastAsia="Arial" w:hAnsi="Arial"/>
                <w:sz w:val="18"/>
                <w:szCs w:val="18"/>
              </w:rPr>
              <w:t xml:space="preserve">  ○ ILessonView: render lesson and quiz UI</w:t>
            </w:r>
          </w:p>
          <w:p>
            <w:pPr>
              <w:spacing w:after="20" w:before="20"/>
            </w:pPr>
            <w:r>
              <w:rPr>
                <w:rFonts w:ascii="Arial" w:cs="Arial" w:eastAsia="Arial" w:hAnsi="Arial"/>
                <w:sz w:val="18"/>
                <w:szCs w:val="18"/>
              </w:rPr>
              <w:t xml:space="preserve">  ○ IProgressView: render analytics charts</w:t>
            </w:r>
          </w:p>
          <w:p>
            <w:pPr>
              <w:spacing w:after="20" w:before="20"/>
            </w:pPr>
            <w:r>
              <w:rPr>
                <w:rFonts w:ascii="Arial" w:cs="Arial" w:eastAsia="Arial" w:hAnsi="Arial"/>
                <w:sz w:val="18"/>
                <w:szCs w:val="18"/>
              </w:rPr>
              <w:t xml:space="preserve">  ○ IAchievementsView: render badges and streaks</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GraphQL API (IAPIGateway)</w:t>
            </w:r>
          </w:p>
          <w:p>
            <w:pPr>
              <w:spacing w:after="20" w:before="20"/>
            </w:pPr>
            <w:r>
              <w:rPr>
                <w:rFonts w:ascii="Arial" w:cs="Arial" w:eastAsia="Arial" w:hAnsi="Arial"/>
                <w:sz w:val="18"/>
                <w:szCs w:val="18"/>
              </w:rPr>
              <w:t xml:space="preserve">  ◦ WebSocket Service (IRealtimeStream)</w:t>
            </w:r>
          </w:p>
          <w:p>
            <w:pPr>
              <w:spacing w:after="20" w:before="20"/>
            </w:pPr>
            <w:r>
              <w:rPr>
                <w:rFonts w:ascii="Arial" w:cs="Arial" w:eastAsia="Arial" w:hAnsi="Arial"/>
                <w:sz w:val="18"/>
                <w:szCs w:val="18"/>
              </w:rPr>
              <w:t xml:space="preserve">  ◦ Local State Store (IReduxStore)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1A6B3A" w:val="clear"/>
            <w:tcMar>
              <w:top w:type="dxa" w:w="80"/>
              <w:left w:type="dxa" w:w="200"/>
              <w:bottom w:type="dxa" w:w="80"/>
              <w:right w:type="dxa" w:w="200"/>
            </w:tcMar>
          </w:tcPr>
          <w:p>
            <w:r>
              <w:rPr>
                <w:rFonts w:ascii="Arial" w:cs="Arial" w:eastAsia="Arial" w:hAnsi="Arial"/>
                <w:b/>
                <w:bCs/>
                <w:color w:val="FFFFFF"/>
                <w:sz w:val="24"/>
                <w:szCs w:val="24"/>
              </w:rPr>
              <w:t xml:space="preserve">«UI Component»  Voice Interface Module</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Handles Web Audio API capture, Whisper STT integration (via backend proxy), and TTS audio playback for voice conversation mode.</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IVoiceCapture: stream microphone input</w:t>
            </w:r>
          </w:p>
          <w:p>
            <w:pPr>
              <w:spacing w:after="20" w:before="20"/>
            </w:pPr>
            <w:r>
              <w:rPr>
                <w:rFonts w:ascii="Arial" w:cs="Arial" w:eastAsia="Arial" w:hAnsi="Arial"/>
                <w:sz w:val="18"/>
                <w:szCs w:val="18"/>
              </w:rPr>
              <w:t xml:space="preserve">  ○ IAudioPlayback: play synthesised AI audio</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Browser Web Audio API</w:t>
            </w:r>
          </w:p>
          <w:p>
            <w:pPr>
              <w:spacing w:after="20" w:before="20"/>
            </w:pPr>
            <w:r>
              <w:rPr>
                <w:rFonts w:ascii="Arial" w:cs="Arial" w:eastAsia="Arial" w:hAnsi="Arial"/>
                <w:sz w:val="18"/>
                <w:szCs w:val="18"/>
              </w:rPr>
              <w:t xml:space="preserve">  ◦ STT Proxy (ISpeechToText)</w:t>
            </w:r>
          </w:p>
          <w:p>
            <w:pPr>
              <w:spacing w:after="20" w:before="20"/>
            </w:pPr>
            <w:r>
              <w:rPr>
                <w:rFonts w:ascii="Arial" w:cs="Arial" w:eastAsia="Arial" w:hAnsi="Arial"/>
                <w:sz w:val="18"/>
                <w:szCs w:val="18"/>
              </w:rPr>
              <w:t xml:space="preserve">  ◦ TTS Proxy (ITextToSpeech)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5D2E8C" w:val="clear"/>
            <w:tcMar>
              <w:top w:type="dxa" w:w="80"/>
              <w:left w:type="dxa" w:w="200"/>
              <w:bottom w:type="dxa" w:w="80"/>
              <w:right w:type="dxa" w:w="200"/>
            </w:tcMar>
          </w:tcPr>
          <w:p>
            <w:r>
              <w:rPr>
                <w:rFonts w:ascii="Arial" w:cs="Arial" w:eastAsia="Arial" w:hAnsi="Arial"/>
                <w:b/>
                <w:bCs/>
                <w:color w:val="FFFFFF"/>
                <w:sz w:val="24"/>
                <w:szCs w:val="24"/>
              </w:rPr>
              <w:t xml:space="preserve">«Client Component»  State Management (Redux Toolkit)</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Manages all client-side application state including user session, active conversation history, lesson progress, and UI preferences.</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IReduxStore: centralised client state</w:t>
            </w:r>
          </w:p>
          <w:p>
            <w:pPr>
              <w:spacing w:after="20" w:before="20"/>
            </w:pPr>
            <w:r>
              <w:rPr>
                <w:rFonts w:ascii="Arial" w:cs="Arial" w:eastAsia="Arial" w:hAnsi="Arial"/>
                <w:sz w:val="18"/>
                <w:szCs w:val="18"/>
              </w:rPr>
              <w:t xml:space="preserve">  ○ IUserSessionSlice: auth token and profile</w:t>
            </w:r>
          </w:p>
          <w:p>
            <w:pPr>
              <w:spacing w:after="20" w:before="20"/>
            </w:pPr>
            <w:r>
              <w:rPr>
                <w:rFonts w:ascii="Arial" w:cs="Arial" w:eastAsia="Arial" w:hAnsi="Arial"/>
                <w:sz w:val="18"/>
                <w:szCs w:val="18"/>
              </w:rPr>
              <w:t xml:space="preserve">  ○ IConversationSlice: chat message history</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LocalStorage (session persistence)</w:t>
            </w:r>
          </w:p>
          <w:p>
            <w:pPr>
              <w:spacing w:after="20" w:before="20"/>
            </w:pPr>
            <w:r>
              <w:rPr>
                <w:rFonts w:ascii="Arial" w:cs="Arial" w:eastAsia="Arial" w:hAnsi="Arial"/>
                <w:sz w:val="18"/>
                <w:szCs w:val="18"/>
              </w:rPr>
              <w:t xml:space="preserve">  ◦ GraphQL Cache (React Query)</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3. API Gateway Subsystem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200"/>
              <w:bottom w:type="dxa" w:w="80"/>
              <w:right w:type="dxa" w:w="200"/>
            </w:tcMar>
          </w:tcPr>
          <w:p>
            <w:r>
              <w:rPr>
                <w:rFonts w:ascii="Arial" w:cs="Arial" w:eastAsia="Arial" w:hAnsi="Arial"/>
                <w:b/>
                <w:bCs/>
                <w:color w:val="FFFFFF"/>
                <w:sz w:val="24"/>
                <w:szCs w:val="24"/>
              </w:rPr>
              <w:t xml:space="preserve">«Service Component»  GraphQL API Gateway</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Apollo Server GraphQL gateway; the single entry point for all client requests. Handles authentication, rate limiting, and routing to downstream microservices.</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IAPIGateway: unified GraphQL API endpoint</w:t>
            </w:r>
          </w:p>
          <w:p>
            <w:pPr>
              <w:spacing w:after="20" w:before="20"/>
            </w:pPr>
            <w:r>
              <w:rPr>
                <w:rFonts w:ascii="Arial" w:cs="Arial" w:eastAsia="Arial" w:hAnsi="Arial"/>
                <w:sz w:val="18"/>
                <w:szCs w:val="18"/>
              </w:rPr>
              <w:t xml:space="preserve">  ○ IAuthMiddleware: JWT validation</w:t>
            </w:r>
          </w:p>
          <w:p>
            <w:pPr>
              <w:spacing w:after="20" w:before="20"/>
            </w:pPr>
            <w:r>
              <w:rPr>
                <w:rFonts w:ascii="Arial" w:cs="Arial" w:eastAsia="Arial" w:hAnsi="Arial"/>
                <w:sz w:val="18"/>
                <w:szCs w:val="18"/>
              </w:rPr>
              <w:t xml:space="preserve">  ○ IRateLimiter: per-user/tier throttling</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JWT Auth Service (IAuthService)</w:t>
            </w:r>
          </w:p>
          <w:p>
            <w:pPr>
              <w:spacing w:after="20" w:before="20"/>
            </w:pPr>
            <w:r>
              <w:rPr>
                <w:rFonts w:ascii="Arial" w:cs="Arial" w:eastAsia="Arial" w:hAnsi="Arial"/>
                <w:sz w:val="18"/>
                <w:szCs w:val="18"/>
              </w:rPr>
              <w:t xml:space="preserve">  ◦ All backend microservices via gRPC</w:t>
            </w:r>
          </w:p>
          <w:p>
            <w:pPr>
              <w:spacing w:after="20" w:before="20"/>
            </w:pPr>
            <w:r>
              <w:rPr>
                <w:rFonts w:ascii="Arial" w:cs="Arial" w:eastAsia="Arial" w:hAnsi="Arial"/>
                <w:sz w:val="18"/>
                <w:szCs w:val="18"/>
              </w:rPr>
              <w:t xml:space="preserve">  ◦ AWS CloudWatch (ILogger)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C0392B" w:val="clear"/>
            <w:tcMar>
              <w:top w:type="dxa" w:w="80"/>
              <w:left w:type="dxa" w:w="200"/>
              <w:bottom w:type="dxa" w:w="80"/>
              <w:right w:type="dxa" w:w="200"/>
            </w:tcMar>
          </w:tcPr>
          <w:p>
            <w:r>
              <w:rPr>
                <w:rFonts w:ascii="Arial" w:cs="Arial" w:eastAsia="Arial" w:hAnsi="Arial"/>
                <w:b/>
                <w:bCs/>
                <w:color w:val="FFFFFF"/>
                <w:sz w:val="24"/>
                <w:szCs w:val="24"/>
              </w:rPr>
              <w:t xml:space="preserve">«Service Component»  Authentication &amp; Authorisation Service</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Manages user registration, login, JWT issuance, refresh, and subscription-tier-based access control.</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IAuthService: login / register / refresh</w:t>
            </w:r>
          </w:p>
          <w:p>
            <w:pPr>
              <w:spacing w:after="20" w:before="20"/>
            </w:pPr>
            <w:r>
              <w:rPr>
                <w:rFonts w:ascii="Arial" w:cs="Arial" w:eastAsia="Arial" w:hAnsi="Arial"/>
                <w:sz w:val="18"/>
                <w:szCs w:val="18"/>
              </w:rPr>
              <w:t xml:space="preserve">  ○ IAccessControl: subscription tier gating</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PostgreSQL (IUserRepository)</w:t>
            </w:r>
          </w:p>
          <w:p>
            <w:pPr>
              <w:spacing w:after="20" w:before="20"/>
            </w:pPr>
            <w:r>
              <w:rPr>
                <w:rFonts w:ascii="Arial" w:cs="Arial" w:eastAsia="Arial" w:hAnsi="Arial"/>
                <w:sz w:val="18"/>
                <w:szCs w:val="18"/>
              </w:rPr>
              <w:t xml:space="preserve">  ◦ Redis (ISessionStore)</w:t>
            </w:r>
          </w:p>
          <w:p>
            <w:pPr>
              <w:spacing w:after="20" w:before="20"/>
            </w:pPr>
            <w:r>
              <w:rPr>
                <w:rFonts w:ascii="Arial" w:cs="Arial" w:eastAsia="Arial" w:hAnsi="Arial"/>
                <w:sz w:val="18"/>
                <w:szCs w:val="18"/>
              </w:rPr>
              <w:t xml:space="preserve">  ◦ SendGrid (IEmailService)</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4. Core Business Services Subsystem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5D2E8C" w:val="clear"/>
            <w:tcMar>
              <w:top w:type="dxa" w:w="80"/>
              <w:left w:type="dxa" w:w="200"/>
              <w:bottom w:type="dxa" w:w="80"/>
              <w:right w:type="dxa" w:w="200"/>
            </w:tcMar>
          </w:tcPr>
          <w:p>
            <w:r>
              <w:rPr>
                <w:rFonts w:ascii="Arial" w:cs="Arial" w:eastAsia="Arial" w:hAnsi="Arial"/>
                <w:b/>
                <w:bCs/>
                <w:color w:val="FFFFFF"/>
                <w:sz w:val="24"/>
                <w:szCs w:val="24"/>
              </w:rPr>
              <w:t xml:space="preserve">«Service Component»  AI Conversation Service</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Orchestrates the full lifecycle of an AI conversation session: session init, turn processing, correction retrieval, difficulty adjustment, and session closure.</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IConversationService: start / send / end</w:t>
            </w:r>
          </w:p>
          <w:p>
            <w:pPr>
              <w:spacing w:after="20" w:before="20"/>
            </w:pPr>
            <w:r>
              <w:rPr>
                <w:rFonts w:ascii="Arial" w:cs="Arial" w:eastAsia="Arial" w:hAnsi="Arial"/>
                <w:sz w:val="18"/>
                <w:szCs w:val="18"/>
              </w:rPr>
              <w:t xml:space="preserve">  ○ ISessionStore: retrieve session context</w:t>
            </w:r>
          </w:p>
          <w:p>
            <w:pPr>
              <w:spacing w:after="20" w:before="20"/>
            </w:pPr>
            <w:r>
              <w:rPr>
                <w:rFonts w:ascii="Arial" w:cs="Arial" w:eastAsia="Arial" w:hAnsi="Arial"/>
                <w:sz w:val="18"/>
                <w:szCs w:val="18"/>
              </w:rPr>
              <w:t xml:space="preserve">  ○ ISessionSummaryTrigger: async summary kick-off</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AI Inference Proxy (ILLMInference)</w:t>
            </w:r>
          </w:p>
          <w:p>
            <w:pPr>
              <w:spacing w:after="20" w:before="20"/>
            </w:pPr>
            <w:r>
              <w:rPr>
                <w:rFonts w:ascii="Arial" w:cs="Arial" w:eastAsia="Arial" w:hAnsi="Arial"/>
                <w:sz w:val="18"/>
                <w:szCs w:val="18"/>
              </w:rPr>
              <w:t xml:space="preserve">  ◦ Adaptive Difficulty Engine (IAdaptiveEngine)</w:t>
            </w:r>
          </w:p>
          <w:p>
            <w:pPr>
              <w:spacing w:after="20" w:before="20"/>
            </w:pPr>
            <w:r>
              <w:rPr>
                <w:rFonts w:ascii="Arial" w:cs="Arial" w:eastAsia="Arial" w:hAnsi="Arial"/>
                <w:sz w:val="18"/>
                <w:szCs w:val="18"/>
              </w:rPr>
              <w:t xml:space="preserve">  ◦ Conversation Repository (IConversationRepo)</w:t>
            </w:r>
          </w:p>
          <w:p>
            <w:pPr>
              <w:spacing w:after="20" w:before="20"/>
            </w:pPr>
            <w:r>
              <w:rPr>
                <w:rFonts w:ascii="Arial" w:cs="Arial" w:eastAsia="Arial" w:hAnsi="Arial"/>
                <w:sz w:val="18"/>
                <w:szCs w:val="18"/>
              </w:rPr>
              <w:t xml:space="preserve">  ◦ Gamification Service (IXPAward)</w:t>
            </w:r>
          </w:p>
          <w:p>
            <w:pPr>
              <w:spacing w:after="20" w:before="20"/>
            </w:pPr>
            <w:r>
              <w:rPr>
                <w:rFonts w:ascii="Arial" w:cs="Arial" w:eastAsia="Arial" w:hAnsi="Arial"/>
                <w:sz w:val="18"/>
                <w:szCs w:val="18"/>
              </w:rPr>
              <w:t xml:space="preserve">  ◦ SQS (IAsyncQueue)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1A6B3A" w:val="clear"/>
            <w:tcMar>
              <w:top w:type="dxa" w:w="80"/>
              <w:left w:type="dxa" w:w="200"/>
              <w:bottom w:type="dxa" w:w="80"/>
              <w:right w:type="dxa" w:w="200"/>
            </w:tcMar>
          </w:tcPr>
          <w:p>
            <w:r>
              <w:rPr>
                <w:rFonts w:ascii="Arial" w:cs="Arial" w:eastAsia="Arial" w:hAnsi="Arial"/>
                <w:b/>
                <w:bCs/>
                <w:color w:val="FFFFFF"/>
                <w:sz w:val="24"/>
                <w:szCs w:val="24"/>
              </w:rPr>
              <w:t xml:space="preserve">«Service Component»  Adaptive Curriculum Service</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Generates and dynamically updates personalised learning paths using the SM-2 spaced-repetition algorithm; injects micro-exercises on repeated errors.</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ILearningPathService: get / update path</w:t>
            </w:r>
          </w:p>
          <w:p>
            <w:pPr>
              <w:spacing w:after="20" w:before="20"/>
            </w:pPr>
            <w:r>
              <w:rPr>
                <w:rFonts w:ascii="Arial" w:cs="Arial" w:eastAsia="Arial" w:hAnsi="Arial"/>
                <w:sz w:val="18"/>
                <w:szCs w:val="18"/>
              </w:rPr>
              <w:t xml:space="preserve">  ○ ISpacedRepetition: compute next review date</w:t>
            </w:r>
          </w:p>
          <w:p>
            <w:pPr>
              <w:spacing w:after="20" w:before="20"/>
            </w:pPr>
            <w:r>
              <w:rPr>
                <w:rFonts w:ascii="Arial" w:cs="Arial" w:eastAsia="Arial" w:hAnsi="Arial"/>
                <w:sz w:val="18"/>
                <w:szCs w:val="18"/>
              </w:rPr>
              <w:t xml:space="preserve">  ○ IDueTodayQueue: return items due for review</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LessonContentRepository (ILessonRepo)</w:t>
            </w:r>
          </w:p>
          <w:p>
            <w:pPr>
              <w:spacing w:after="20" w:before="20"/>
            </w:pPr>
            <w:r>
              <w:rPr>
                <w:rFonts w:ascii="Arial" w:cs="Arial" w:eastAsia="Arial" w:hAnsi="Arial"/>
                <w:sz w:val="18"/>
                <w:szCs w:val="18"/>
              </w:rPr>
              <w:t xml:space="preserve">  ◦ ProgressService (IProgressReader)</w:t>
            </w:r>
          </w:p>
          <w:p>
            <w:pPr>
              <w:spacing w:after="20" w:before="20"/>
            </w:pPr>
            <w:r>
              <w:rPr>
                <w:rFonts w:ascii="Arial" w:cs="Arial" w:eastAsia="Arial" w:hAnsi="Arial"/>
                <w:sz w:val="18"/>
                <w:szCs w:val="18"/>
              </w:rPr>
              <w:t xml:space="preserve">  ◦ PostgreSQL (IPathRepository)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7B4F12" w:val="clear"/>
            <w:tcMar>
              <w:top w:type="dxa" w:w="80"/>
              <w:left w:type="dxa" w:w="200"/>
              <w:bottom w:type="dxa" w:w="80"/>
              <w:right w:type="dxa" w:w="200"/>
            </w:tcMar>
          </w:tcPr>
          <w:p>
            <w:r>
              <w:rPr>
                <w:rFonts w:ascii="Arial" w:cs="Arial" w:eastAsia="Arial" w:hAnsi="Arial"/>
                <w:b/>
                <w:bCs/>
                <w:color w:val="FFFFFF"/>
                <w:sz w:val="24"/>
                <w:szCs w:val="24"/>
              </w:rPr>
              <w:t xml:space="preserve">«Service Component»  Gamification Service</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Manages all gamification mechanics including XP, streaks, badge eligibility evaluation, and leaderboard updates.</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IStreakService: increment / reset streak</w:t>
            </w:r>
          </w:p>
          <w:p>
            <w:pPr>
              <w:spacing w:after="20" w:before="20"/>
            </w:pPr>
            <w:r>
              <w:rPr>
                <w:rFonts w:ascii="Arial" w:cs="Arial" w:eastAsia="Arial" w:hAnsi="Arial"/>
                <w:sz w:val="18"/>
                <w:szCs w:val="18"/>
              </w:rPr>
              <w:t xml:space="preserve">  ○ IBadgeService: evaluate and award badges</w:t>
            </w:r>
          </w:p>
          <w:p>
            <w:pPr>
              <w:spacing w:after="20" w:before="20"/>
            </w:pPr>
            <w:r>
              <w:rPr>
                <w:rFonts w:ascii="Arial" w:cs="Arial" w:eastAsia="Arial" w:hAnsi="Arial"/>
                <w:sz w:val="18"/>
                <w:szCs w:val="18"/>
              </w:rPr>
              <w:t xml:space="preserve">  ○ ILeaderboardService: update and query rankings</w:t>
            </w:r>
          </w:p>
          <w:p>
            <w:pPr>
              <w:spacing w:after="20" w:before="20"/>
            </w:pPr>
            <w:r>
              <w:rPr>
                <w:rFonts w:ascii="Arial" w:cs="Arial" w:eastAsia="Arial" w:hAnsi="Arial"/>
                <w:sz w:val="18"/>
                <w:szCs w:val="18"/>
              </w:rPr>
              <w:t xml:space="preserve">  ○ IXPAward: credit XP to profile</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Redis (ILeaderboardCache)</w:t>
            </w:r>
          </w:p>
          <w:p>
            <w:pPr>
              <w:spacing w:after="20" w:before="20"/>
            </w:pPr>
            <w:r>
              <w:rPr>
                <w:rFonts w:ascii="Arial" w:cs="Arial" w:eastAsia="Arial" w:hAnsi="Arial"/>
                <w:sz w:val="18"/>
                <w:szCs w:val="18"/>
              </w:rPr>
              <w:t xml:space="preserve">  ◦ PostgreSQL (IGamificationRepo)</w:t>
            </w:r>
          </w:p>
          <w:p>
            <w:pPr>
              <w:spacing w:after="20" w:before="20"/>
            </w:pPr>
            <w:r>
              <w:rPr>
                <w:rFonts w:ascii="Arial" w:cs="Arial" w:eastAsia="Arial" w:hAnsi="Arial"/>
                <w:sz w:val="18"/>
                <w:szCs w:val="18"/>
              </w:rPr>
              <w:t xml:space="preserve">  ◦ Notification Service (INotify)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C0392B" w:val="clear"/>
            <w:tcMar>
              <w:top w:type="dxa" w:w="80"/>
              <w:left w:type="dxa" w:w="200"/>
              <w:bottom w:type="dxa" w:w="80"/>
              <w:right w:type="dxa" w:w="200"/>
            </w:tcMar>
          </w:tcPr>
          <w:p>
            <w:r>
              <w:rPr>
                <w:rFonts w:ascii="Arial" w:cs="Arial" w:eastAsia="Arial" w:hAnsi="Arial"/>
                <w:b/>
                <w:bCs/>
                <w:color w:val="FFFFFF"/>
                <w:sz w:val="24"/>
                <w:szCs w:val="24"/>
              </w:rPr>
              <w:t xml:space="preserve">«Service Component»  Subscription &amp; Billing Service</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Manages Parakeet's freemium subscription tiers in coordination with Stripe. Handles tier upgrades, downgrades, and webhook processing.</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ISubscriptionService: get / upgrade / cancel</w:t>
            </w:r>
          </w:p>
          <w:p>
            <w:pPr>
              <w:spacing w:after="20" w:before="20"/>
            </w:pPr>
            <w:r>
              <w:rPr>
                <w:rFonts w:ascii="Arial" w:cs="Arial" w:eastAsia="Arial" w:hAnsi="Arial"/>
                <w:sz w:val="18"/>
                <w:szCs w:val="18"/>
              </w:rPr>
              <w:t xml:space="preserve">  ○ ITierEnforcement: check feature access by tier</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Stripe API (IStripeClient)</w:t>
            </w:r>
          </w:p>
          <w:p>
            <w:pPr>
              <w:spacing w:after="20" w:before="20"/>
            </w:pPr>
            <w:r>
              <w:rPr>
                <w:rFonts w:ascii="Arial" w:cs="Arial" w:eastAsia="Arial" w:hAnsi="Arial"/>
                <w:sz w:val="18"/>
                <w:szCs w:val="18"/>
              </w:rPr>
              <w:t xml:space="preserve">  ◦ PostgreSQL (ISubscriptionRepo)</w:t>
            </w:r>
          </w:p>
          <w:p>
            <w:pPr>
              <w:spacing w:after="20" w:before="20"/>
            </w:pPr>
            <w:r>
              <w:rPr>
                <w:rFonts w:ascii="Arial" w:cs="Arial" w:eastAsia="Arial" w:hAnsi="Arial"/>
                <w:sz w:val="18"/>
                <w:szCs w:val="18"/>
              </w:rPr>
              <w:t xml:space="preserve">  ◦ Notification Service (INotify)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2E75B6" w:val="clear"/>
            <w:tcMar>
              <w:top w:type="dxa" w:w="80"/>
              <w:left w:type="dxa" w:w="200"/>
              <w:bottom w:type="dxa" w:w="80"/>
              <w:right w:type="dxa" w:w="200"/>
            </w:tcMar>
          </w:tcPr>
          <w:p>
            <w:r>
              <w:rPr>
                <w:rFonts w:ascii="Arial" w:cs="Arial" w:eastAsia="Arial" w:hAnsi="Arial"/>
                <w:b/>
                <w:bCs/>
                <w:color w:val="FFFFFF"/>
                <w:sz w:val="24"/>
                <w:szCs w:val="24"/>
              </w:rPr>
              <w:t xml:space="preserve">«Service Component»  Analytics &amp; Progress Service</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Aggregates per-session metrics (fluency score, grammar accuracy, vocabulary growth) and exposes the analytics API consumed by the dashboard.</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IProgressService: get fluency score, vocab, grammar</w:t>
            </w:r>
          </w:p>
          <w:p>
            <w:pPr>
              <w:spacing w:after="20" w:before="20"/>
            </w:pPr>
            <w:r>
              <w:rPr>
                <w:rFonts w:ascii="Arial" w:cs="Arial" w:eastAsia="Arial" w:hAnsi="Arial"/>
                <w:sz w:val="18"/>
                <w:szCs w:val="18"/>
              </w:rPr>
              <w:t xml:space="preserve">  ○ IAnalyticsAPI: chart data endpoints</w:t>
            </w:r>
          </w:p>
          <w:p>
            <w:pPr>
              <w:spacing w:after="20" w:before="20"/>
            </w:pPr>
            <w:r>
              <w:rPr>
                <w:rFonts w:ascii="Arial" w:cs="Arial" w:eastAsia="Arial" w:hAnsi="Arial"/>
                <w:sz w:val="18"/>
                <w:szCs w:val="18"/>
              </w:rPr>
              <w:t xml:space="preserve">  ○ ISessionSummaryConsumer: process async summaries</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PostgreSQL (IProgressRepository)</w:t>
            </w:r>
          </w:p>
          <w:p>
            <w:pPr>
              <w:spacing w:after="20" w:before="20"/>
            </w:pPr>
            <w:r>
              <w:rPr>
                <w:rFonts w:ascii="Arial" w:cs="Arial" w:eastAsia="Arial" w:hAnsi="Arial"/>
                <w:sz w:val="18"/>
                <w:szCs w:val="18"/>
              </w:rPr>
              <w:t xml:space="preserve">  ◦ SQS (IAsyncQueue)</w:t>
            </w:r>
          </w:p>
          <w:p>
            <w:pPr>
              <w:spacing w:after="20" w:before="20"/>
            </w:pPr>
            <w:r>
              <w:rPr>
                <w:rFonts w:ascii="Arial" w:cs="Arial" w:eastAsia="Arial" w:hAnsi="Arial"/>
                <w:sz w:val="18"/>
                <w:szCs w:val="18"/>
              </w:rPr>
              <w:t xml:space="preserve">  ◦ Redis (IAnalyticsCache)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1A6B3A" w:val="clear"/>
            <w:tcMar>
              <w:top w:type="dxa" w:w="80"/>
              <w:left w:type="dxa" w:w="200"/>
              <w:bottom w:type="dxa" w:w="80"/>
              <w:right w:type="dxa" w:w="200"/>
            </w:tcMar>
          </w:tcPr>
          <w:p>
            <w:r>
              <w:rPr>
                <w:rFonts w:ascii="Arial" w:cs="Arial" w:eastAsia="Arial" w:hAnsi="Arial"/>
                <w:b/>
                <w:bCs/>
                <w:color w:val="FFFFFF"/>
                <w:sz w:val="24"/>
                <w:szCs w:val="24"/>
              </w:rPr>
              <w:t xml:space="preserve">«Service Component»  Credential &amp; Assessment Service</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Delivers CEFR placement and proficiency assessments, issues verified credentials, and exposes verification links to partner institutions.</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IAssessmentService: deliver and score CEFR quiz</w:t>
            </w:r>
          </w:p>
          <w:p>
            <w:pPr>
              <w:spacing w:after="20" w:before="20"/>
            </w:pPr>
            <w:r>
              <w:rPr>
                <w:rFonts w:ascii="Arial" w:cs="Arial" w:eastAsia="Arial" w:hAnsi="Arial"/>
                <w:sz w:val="18"/>
                <w:szCs w:val="18"/>
              </w:rPr>
              <w:t xml:space="preserve">  ○ ICredentialService: issue, retrieve, verify credentials</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PostgreSQL (ICredentialRepository)</w:t>
            </w:r>
          </w:p>
          <w:p>
            <w:pPr>
              <w:spacing w:after="20" w:before="20"/>
            </w:pPr>
            <w:r>
              <w:rPr>
                <w:rFonts w:ascii="Arial" w:cs="Arial" w:eastAsia="Arial" w:hAnsi="Arial"/>
                <w:sz w:val="18"/>
                <w:szCs w:val="18"/>
              </w:rPr>
              <w:t xml:space="preserve">  ◦ AWS S3 (IFileStore)</w:t>
            </w:r>
          </w:p>
          <w:p>
            <w:pPr>
              <w:spacing w:after="20" w:before="20"/>
            </w:pPr>
            <w:r>
              <w:rPr>
                <w:rFonts w:ascii="Arial" w:cs="Arial" w:eastAsia="Arial" w:hAnsi="Arial"/>
                <w:sz w:val="18"/>
                <w:szCs w:val="18"/>
              </w:rPr>
              <w:t xml:space="preserve">  ◦ Partner API (IMarketplacePartner)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7B4F12" w:val="clear"/>
            <w:tcMar>
              <w:top w:type="dxa" w:w="80"/>
              <w:left w:type="dxa" w:w="200"/>
              <w:bottom w:type="dxa" w:w="80"/>
              <w:right w:type="dxa" w:w="200"/>
            </w:tcMar>
          </w:tcPr>
          <w:p>
            <w:r>
              <w:rPr>
                <w:rFonts w:ascii="Arial" w:cs="Arial" w:eastAsia="Arial" w:hAnsi="Arial"/>
                <w:b/>
                <w:bCs/>
                <w:color w:val="FFFFFF"/>
                <w:sz w:val="24"/>
                <w:szCs w:val="24"/>
              </w:rPr>
              <w:t xml:space="preserve">«Service Component»  Notification Service</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Dispatches transactional and engagement notifications via email, in-app banners, and push notifications (PWA service worker).</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INotify: send email / in-app / push notification</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SendGrid / AWS SES (IEmailProvider)</w:t>
            </w:r>
          </w:p>
          <w:p>
            <w:pPr>
              <w:spacing w:after="20" w:before="20"/>
            </w:pPr>
            <w:r>
              <w:rPr>
                <w:rFonts w:ascii="Arial" w:cs="Arial" w:eastAsia="Arial" w:hAnsi="Arial"/>
                <w:sz w:val="18"/>
                <w:szCs w:val="18"/>
              </w:rPr>
              <w:t xml:space="preserve">  ◦ AWS SQS (IAsyncQueue)</w:t>
            </w:r>
          </w:p>
          <w:p>
            <w:pPr>
              <w:spacing w:after="20" w:before="20"/>
            </w:pPr>
            <w:r>
              <w:rPr>
                <w:rFonts w:ascii="Arial" w:cs="Arial" w:eastAsia="Arial" w:hAnsi="Arial"/>
                <w:sz w:val="18"/>
                <w:szCs w:val="18"/>
              </w:rPr>
              <w:t xml:space="preserve">  ◦ PostgreSQL (INotificationLog)</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5. AI Inference Subsystem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C0392B" w:val="clear"/>
            <w:tcMar>
              <w:top w:type="dxa" w:w="80"/>
              <w:left w:type="dxa" w:w="200"/>
              <w:bottom w:type="dxa" w:w="80"/>
              <w:right w:type="dxa" w:w="200"/>
            </w:tcMar>
          </w:tcPr>
          <w:p>
            <w:r>
              <w:rPr>
                <w:rFonts w:ascii="Arial" w:cs="Arial" w:eastAsia="Arial" w:hAnsi="Arial"/>
                <w:b/>
                <w:bCs/>
                <w:color w:val="FFFFFF"/>
                <w:sz w:val="24"/>
                <w:szCs w:val="24"/>
              </w:rPr>
              <w:t xml:space="preserve">«Service Component»  LLM Inference Proxy</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Manages all calls to the LLM API (OpenAI GPT-4 / Claude). Applies circuit breaker, caching, and CEFR-aligned prompt construction.</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ILLMInference: generate AI response</w:t>
            </w:r>
          </w:p>
          <w:p>
            <w:pPr>
              <w:spacing w:after="20" w:before="20"/>
            </w:pPr>
            <w:r>
              <w:rPr>
                <w:rFonts w:ascii="Arial" w:cs="Arial" w:eastAsia="Arial" w:hAnsi="Arial"/>
                <w:sz w:val="18"/>
                <w:szCs w:val="18"/>
              </w:rPr>
              <w:t xml:space="preserve">  ○ IConversationHistory: manage context window</w:t>
            </w:r>
          </w:p>
          <w:p>
            <w:pPr>
              <w:spacing w:after="20" w:before="20"/>
            </w:pPr>
            <w:r>
              <w:rPr>
                <w:rFonts w:ascii="Arial" w:cs="Arial" w:eastAsia="Arial" w:hAnsi="Arial"/>
                <w:sz w:val="18"/>
                <w:szCs w:val="18"/>
              </w:rPr>
              <w:t xml:space="preserve">  ○ IPromptBuilder: construct pedagogical prompts</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OpenAI API (IOpenAIClient)</w:t>
            </w:r>
          </w:p>
          <w:p>
            <w:pPr>
              <w:spacing w:after="20" w:before="20"/>
            </w:pPr>
            <w:r>
              <w:rPr>
                <w:rFonts w:ascii="Arial" w:cs="Arial" w:eastAsia="Arial" w:hAnsi="Arial"/>
                <w:sz w:val="18"/>
                <w:szCs w:val="18"/>
              </w:rPr>
              <w:t xml:space="preserve">  ◦ Redis (IResponseCache)</w:t>
            </w:r>
          </w:p>
          <w:p>
            <w:pPr>
              <w:spacing w:after="20" w:before="20"/>
            </w:pPr>
            <w:r>
              <w:rPr>
                <w:rFonts w:ascii="Arial" w:cs="Arial" w:eastAsia="Arial" w:hAnsi="Arial"/>
                <w:sz w:val="18"/>
                <w:szCs w:val="18"/>
              </w:rPr>
              <w:t xml:space="preserve">  ◦ Content Safety Filter (IContentFilter)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5D2E8C" w:val="clear"/>
            <w:tcMar>
              <w:top w:type="dxa" w:w="80"/>
              <w:left w:type="dxa" w:w="200"/>
              <w:bottom w:type="dxa" w:w="80"/>
              <w:right w:type="dxa" w:w="200"/>
            </w:tcMar>
          </w:tcPr>
          <w:p>
            <w:r>
              <w:rPr>
                <w:rFonts w:ascii="Arial" w:cs="Arial" w:eastAsia="Arial" w:hAnsi="Arial"/>
                <w:b/>
                <w:bCs/>
                <w:color w:val="FFFFFF"/>
                <w:sz w:val="24"/>
                <w:szCs w:val="24"/>
              </w:rPr>
              <w:t xml:space="preserve">«Service Component»  Speech-to-Text Service (Whisper)</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Proxies audio input from the frontend to the OpenAI Whisper API. Falls back to text mode if the service is unavailable.</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ISpeechToText: transcribe audio → text</w:t>
            </w:r>
          </w:p>
          <w:p>
            <w:pPr>
              <w:spacing w:after="20" w:before="20"/>
            </w:pPr>
            <w:r>
              <w:rPr>
                <w:rFonts w:ascii="Arial" w:cs="Arial" w:eastAsia="Arial" w:hAnsi="Arial"/>
                <w:sz w:val="18"/>
                <w:szCs w:val="18"/>
              </w:rPr>
              <w:t xml:space="preserve">  ○ IFallbackHandler: degrade to text mode</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OpenAI Whisper API (IWhisperClient)</w:t>
            </w:r>
          </w:p>
          <w:p>
            <w:pPr>
              <w:spacing w:after="20" w:before="20"/>
            </w:pPr>
            <w:r>
              <w:rPr>
                <w:rFonts w:ascii="Arial" w:cs="Arial" w:eastAsia="Arial" w:hAnsi="Arial"/>
                <w:sz w:val="18"/>
                <w:szCs w:val="18"/>
              </w:rPr>
              <w:t xml:space="preserve">  ◦ Circuit Breaker (ICircuitBreaker)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1A6B3A" w:val="clear"/>
            <w:tcMar>
              <w:top w:type="dxa" w:w="80"/>
              <w:left w:type="dxa" w:w="200"/>
              <w:bottom w:type="dxa" w:w="80"/>
              <w:right w:type="dxa" w:w="200"/>
            </w:tcMar>
          </w:tcPr>
          <w:p>
            <w:r>
              <w:rPr>
                <w:rFonts w:ascii="Arial" w:cs="Arial" w:eastAsia="Arial" w:hAnsi="Arial"/>
                <w:b/>
                <w:bCs/>
                <w:color w:val="FFFFFF"/>
                <w:sz w:val="24"/>
                <w:szCs w:val="24"/>
              </w:rPr>
              <w:t xml:space="preserve">«Service Component»  Text-to-Speech Service (Polly / ElevenLabs)</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Converts AI text responses to spoken audio. Supports multiple voice profiles per language. Delivered to client as audio stream.</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ITextToSpeech: synthesise text → audio stream</w:t>
            </w:r>
          </w:p>
          <w:p>
            <w:pPr>
              <w:spacing w:after="20" w:before="20"/>
            </w:pPr>
            <w:r>
              <w:rPr>
                <w:rFonts w:ascii="Arial" w:cs="Arial" w:eastAsia="Arial" w:hAnsi="Arial"/>
                <w:sz w:val="18"/>
                <w:szCs w:val="18"/>
              </w:rPr>
              <w:t xml:space="preserve">  ○ IVoiceProfileSelector: map language to voice profile</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AWS Polly API / ElevenLabs API (ITTSProvider)</w:t>
            </w:r>
          </w:p>
          <w:p>
            <w:pPr>
              <w:spacing w:after="20" w:before="20"/>
            </w:pPr>
            <w:r>
              <w:rPr>
                <w:rFonts w:ascii="Arial" w:cs="Arial" w:eastAsia="Arial" w:hAnsi="Arial"/>
                <w:sz w:val="18"/>
                <w:szCs w:val="18"/>
              </w:rPr>
              <w:t xml:space="preserve">  ◦ AWS S3 (IAudioFileStore)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75B6" w:sz="2"/>
              <w:left w:val="single" w:color="2E75B6" w:sz="2"/>
              <w:bottom w:val="single" w:color="2E75B6" w:sz="2"/>
              <w:right w:val="single" w:color="2E75B6" w:sz="2"/>
            </w:tcBorders>
            <w:shd w:fill="7B4F12" w:val="clear"/>
            <w:tcMar>
              <w:top w:type="dxa" w:w="80"/>
              <w:left w:type="dxa" w:w="200"/>
              <w:bottom w:type="dxa" w:w="80"/>
              <w:right w:type="dxa" w:w="200"/>
            </w:tcMar>
          </w:tcPr>
          <w:p>
            <w:r>
              <w:rPr>
                <w:rFonts w:ascii="Arial" w:cs="Arial" w:eastAsia="Arial" w:hAnsi="Arial"/>
                <w:b/>
                <w:bCs/>
                <w:color w:val="FFFFFF"/>
                <w:sz w:val="24"/>
                <w:szCs w:val="24"/>
              </w:rPr>
              <w:t xml:space="preserve">«Service Component»  Content Safety Filter</w:t>
            </w:r>
          </w:p>
        </w:tc>
      </w:tr>
      <w:tr>
        <w:tc>
          <w:tcPr>
            <w:tcW w:type="dxa" w:w="9360"/>
            <w:gridSpan w:val="2"/>
            <w:tcBorders>
              <w:top w:val="single" w:color="CCCCCC" w:sz="1"/>
              <w:left w:val="single" w:color="2E75B6" w:sz="2"/>
              <w:bottom w:val="single" w:color="CCCCCC" w:sz="1"/>
              <w:right w:val="single" w:color="2E75B6" w:sz="2"/>
            </w:tcBorders>
            <w:shd w:fill="E8F4FD" w:val="clear"/>
            <w:tcMar>
              <w:top w:type="dxa" w:w="60"/>
              <w:left w:type="dxa" w:w="200"/>
              <w:bottom w:type="dxa" w:w="60"/>
              <w:right w:type="dxa" w:w="200"/>
            </w:tcMar>
          </w:tcPr>
          <w:p>
            <w:r>
              <w:rPr>
                <w:rFonts w:ascii="Arial" w:cs="Arial" w:eastAsia="Arial" w:hAnsi="Arial"/>
                <w:i/>
                <w:iCs/>
                <w:sz w:val="20"/>
                <w:szCs w:val="20"/>
              </w:rPr>
              <w:t xml:space="preserve">Screens all AI-generated content against offensive, politically biased, or educationally inappropriate content before delivery to learners (DSR-03).</w:t>
            </w:r>
          </w:p>
        </w:tc>
      </w:tr>
      <w:tr>
        <w:tc>
          <w:tcPr>
            <w:tcW w:type="dxa" w:w="4680"/>
            <w:tcBorders>
              <w:top w:val="single" w:color="CCCCCC" w:sz="1"/>
              <w:left w:val="single" w:color="2E75B6" w:sz="2"/>
              <w:bottom w:val="single" w:color="CCCCCC" w:sz="1"/>
              <w:right w:val="single" w:color="2E75B6" w:sz="2"/>
            </w:tcBorders>
            <w:shd w:fill="E8F5E9" w:val="clear"/>
            <w:tcMar>
              <w:top w:type="dxa" w:w="60"/>
              <w:left w:type="dxa" w:w="160"/>
              <w:bottom w:type="dxa" w:w="60"/>
              <w:right w:type="dxa" w:w="120"/>
            </w:tcMar>
          </w:tcPr>
          <w:p>
            <w:r>
              <w:rPr>
                <w:rFonts w:ascii="Arial" w:cs="Arial" w:eastAsia="Arial" w:hAnsi="Arial"/>
                <w:b/>
                <w:bCs/>
                <w:color w:val="1A6B3A"/>
                <w:sz w:val="19"/>
                <w:szCs w:val="19"/>
              </w:rPr>
              <w:t xml:space="preserve">Provided Interfaces</w:t>
            </w:r>
          </w:p>
          <w:p>
            <w:pPr>
              <w:spacing w:after="20" w:before="20"/>
            </w:pPr>
            <w:r>
              <w:rPr>
                <w:rFonts w:ascii="Arial" w:cs="Arial" w:eastAsia="Arial" w:hAnsi="Arial"/>
                <w:sz w:val="18"/>
                <w:szCs w:val="18"/>
              </w:rPr>
              <w:t xml:space="preserve">  ○ IContentFilter: classify and block unsafe content</w:t>
            </w:r>
          </w:p>
        </w:tc>
        <w:tc>
          <w:tcPr>
            <w:tcW w:type="dxa" w:w="4680"/>
            <w:tcBorders>
              <w:top w:val="single" w:color="CCCCCC" w:sz="1"/>
              <w:left w:val="single" w:color="2E75B6" w:sz="2"/>
              <w:bottom w:val="single" w:color="CCCCCC" w:sz="1"/>
              <w:right w:val="single" w:color="2E75B6" w:sz="2"/>
            </w:tcBorders>
            <w:shd w:fill="FFFFFF" w:val="clear"/>
            <w:tcMar>
              <w:top w:type="dxa" w:w="60"/>
              <w:left w:type="dxa" w:w="160"/>
              <w:bottom w:type="dxa" w:w="60"/>
              <w:right w:type="dxa" w:w="120"/>
            </w:tcMar>
          </w:tcPr>
          <w:p>
            <w:r>
              <w:rPr>
                <w:rFonts w:ascii="Arial" w:cs="Arial" w:eastAsia="Arial" w:hAnsi="Arial"/>
                <w:b/>
                <w:bCs/>
                <w:color w:val="2E75B6"/>
                <w:sz w:val="19"/>
                <w:szCs w:val="19"/>
              </w:rPr>
              <w:t xml:space="preserve">Required Interfaces / Dependencies</w:t>
            </w:r>
          </w:p>
          <w:p>
            <w:pPr>
              <w:spacing w:after="20" w:before="20"/>
            </w:pPr>
            <w:r>
              <w:rPr>
                <w:rFonts w:ascii="Arial" w:cs="Arial" w:eastAsia="Arial" w:hAnsi="Arial"/>
                <w:sz w:val="18"/>
                <w:szCs w:val="18"/>
              </w:rPr>
              <w:t xml:space="preserve">  ◦ LLM Inference Proxy (ILLMResponse)</w:t>
            </w:r>
          </w:p>
          <w:p>
            <w:pPr>
              <w:spacing w:after="20" w:before="20"/>
            </w:pPr>
            <w:r>
              <w:rPr>
                <w:rFonts w:ascii="Arial" w:cs="Arial" w:eastAsia="Arial" w:hAnsi="Arial"/>
                <w:sz w:val="18"/>
                <w:szCs w:val="18"/>
              </w:rPr>
              <w:t xml:space="preserve">  ◦ AWS CloudWatch (IAuditLog)</w:t>
            </w:r>
          </w:p>
        </w:tc>
      </w:tr>
    </w:tbl>
    <w:p>
      <w:pPr>
        <w:spacing w:after="60" w:before="60"/>
      </w:pPr>
      <w:r>
        <w:t xml:space="preserve"/>
      </w:r>
    </w:p>
    <w:p>
      <w:r>
        <w:br w:type="page"/>
      </w:r>
    </w:p>
    <w:p>
      <w:pPr>
        <w:pStyle w:val="Heading1"/>
        <w:shd w:fill="1F4E79" w:val="clear"/>
        <w:spacing w:after="200" w:before="360"/>
      </w:pPr>
      <w:r>
        <w:rPr>
          <w:rFonts w:ascii="Arial" w:cs="Arial" w:eastAsia="Arial" w:hAnsi="Arial"/>
          <w:b/>
          <w:bCs/>
          <w:color w:val="FFFFFF"/>
          <w:sz w:val="32"/>
          <w:szCs w:val="32"/>
        </w:rPr>
        <w:t xml:space="preserve">6. Component Dependency Matrix</w:t>
      </w:r>
    </w:p>
    <w:p>
      <w:pPr>
        <w:spacing w:after="80" w:before="80"/>
      </w:pPr>
      <w:r>
        <w:rPr>
          <w:rFonts w:ascii="Arial" w:cs="Arial" w:eastAsia="Arial" w:hAnsi="Arial"/>
          <w:sz w:val="22"/>
          <w:szCs w:val="22"/>
        </w:rPr>
        <w:t xml:space="preserve">The table below summarises which components call which interfaces. A filled cell (✓) indicates a direct dependency.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1000"/>
        <w:gridCol w:w="1000"/>
        <w:gridCol w:w="1100"/>
        <w:gridCol w:w="1100"/>
        <w:gridCol w:w="1000"/>
        <w:gridCol w:w="900"/>
        <w:gridCol w:w="560"/>
      </w:tblGrid>
      <w:tr>
        <w:tc>
          <w:tcPr>
            <w:tcW w:type="dxa" w:w="2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 (Consumer →)</w:t>
            </w:r>
          </w:p>
        </w:tc>
        <w:tc>
          <w:tcPr>
            <w:tcW w:type="dxa" w:w="9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IAPIGateway</w:t>
            </w:r>
          </w:p>
        </w:tc>
        <w:tc>
          <w:tcPr>
            <w:tcW w:type="dxa" w:w="9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ILLMInference</w:t>
            </w:r>
          </w:p>
        </w:tc>
        <w:tc>
          <w:tcPr>
            <w:tcW w:type="dxa" w:w="1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IAuthService</w:t>
            </w:r>
          </w:p>
        </w:tc>
        <w:tc>
          <w:tcPr>
            <w:tcW w:type="dxa" w:w="1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IConversationService</w:t>
            </w:r>
          </w:p>
        </w:tc>
        <w:tc>
          <w:tcPr>
            <w:tcW w:type="dxa" w:w="11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ICurriculumService</w:t>
            </w:r>
          </w:p>
        </w:tc>
        <w:tc>
          <w:tcPr>
            <w:tcW w:type="dxa" w:w="11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IGamificationService</w:t>
            </w:r>
          </w:p>
        </w:tc>
        <w:tc>
          <w:tcPr>
            <w:tcW w:type="dxa" w:w="10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IProgressService</w:t>
            </w:r>
          </w:p>
        </w:tc>
        <w:tc>
          <w:tcPr>
            <w:tcW w:type="dxa" w:w="90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INotify</w:t>
            </w:r>
          </w:p>
        </w:tc>
        <w:tc>
          <w:tcPr>
            <w:tcW w:type="dxa" w:w="560"/>
            <w:tcBorders>
              <w:top w:val="single" w:color="2E75B6" w:sz="3"/>
              <w:left w:val="single" w:color="2E75B6" w:sz="3"/>
              <w:bottom w:val="single" w:color="2E75B6" w:sz="3"/>
              <w:right w:val="single" w:color="2E75B6" w:sz="3"/>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IStripeClient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Learner Dashboard UI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GraphQL API Gateway</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Conversation 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Adaptive Curriculum Service</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Gamification 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Subscription Service</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Analytics Service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LLM Inference Proxy</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STT Service (Whisper)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TTS Service (Polly)</w:t>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1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1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9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sz w:val="20"/>
                <w:szCs w:val="20"/>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2"/>
      </w:pBdr>
    </w:pPr>
    <w:r>
      <w:rPr>
        <w:rFonts w:ascii="Arial" w:cs="Arial" w:eastAsia="Arial" w:hAnsi="Arial"/>
        <w:color w:val="888888"/>
        <w:sz w:val="18"/>
        <w:szCs w:val="18"/>
      </w:rPr>
      <w:t xml:space="preserve">Parakeet  |  Component Diagram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2026-05-16T09:44:26.763Z</dcterms:created>
  <dcterms:modified xsi:type="dcterms:W3CDTF">2026-05-16T09:44:26.763Z</dcterms:modified>
</cp:coreProperties>
</file>

<file path=docProps/custom.xml><?xml version="1.0" encoding="utf-8"?>
<Properties xmlns="http://schemas.openxmlformats.org/officeDocument/2006/custom-properties" xmlns:vt="http://schemas.openxmlformats.org/officeDocument/2006/docPropsVTypes"/>
</file>