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 PARAKEET</w:t>
      </w:r>
    </w:p>
    <w:p>
      <w:pPr>
        <w:spacing w:after="120" w:before="0"/>
        <w:jc w:val="center"/>
      </w:pPr>
      <w:r>
        <w:rPr>
          <w:rFonts w:ascii="Arial" w:cs="Arial" w:eastAsia="Arial" w:hAnsi="Arial"/>
          <w:color w:val="555555"/>
          <w:sz w:val="26"/>
          <w:szCs w:val="26"/>
        </w:rPr>
        <w:t xml:space="preserve">AI-Powered Conversational Language Learning Platform</w:t>
      </w:r>
    </w:p>
    <w:p>
      <w:pPr>
        <w:shd w:fill="1F4E79" w:val="clear"/>
        <w:spacing w:after="120" w:before="480"/>
        <w:jc w:val="center"/>
      </w:pPr>
      <w:r>
        <w:rPr>
          <w:rFonts w:ascii="Arial" w:cs="Arial" w:eastAsia="Arial" w:hAnsi="Arial"/>
          <w:b/>
          <w:bCs/>
          <w:color w:val="FFFFFF"/>
          <w:sz w:val="40"/>
          <w:szCs w:val="40"/>
        </w:rPr>
        <w:t xml:space="preserve">CONTEXT (DEPLOYMENT) DIAGRAM</w:t>
      </w:r>
    </w:p>
    <w:p>
      <w:pPr>
        <w:spacing w:after="80" w:before="160"/>
        <w:jc w:val="center"/>
      </w:pPr>
      <w:r>
        <w:rPr>
          <w:rFonts w:ascii="Arial" w:cs="Arial" w:eastAsia="Arial" w:hAnsi="Arial"/>
          <w:color w:val="666666"/>
          <w:sz w:val="24"/>
          <w:szCs w:val="24"/>
        </w:rPr>
        <w:t xml:space="preserve">System Context &amp; Deployment Document</w:t>
      </w:r>
    </w:p>
    <w:p>
      <w:pPr>
        <w:spacing w:after="800" w:before="80"/>
        <w:jc w:val="center"/>
      </w:pPr>
      <w:r>
        <w:rPr>
          <w:rFonts w:ascii="Arial" w:cs="Arial" w:eastAsia="Arial" w:hAnsi="Arial"/>
          <w:color w:val="888888"/>
          <w:sz w:val="22"/>
          <w:szCs w:val="22"/>
        </w:rPr>
        <w:t xml:space="preserve">Version 1.0  |  May 2026  |  Confidential</w:t>
      </w:r>
    </w:p>
    <w:p>
      <w:r>
        <w:br w:type="page"/>
      </w:r>
    </w:p>
    <w:p>
      <w:pPr>
        <w:pStyle w:val="Heading1"/>
        <w:shd w:fill="1F4E79" w:val="clear"/>
        <w:spacing w:after="200" w:before="360"/>
      </w:pPr>
      <w:r>
        <w:rPr>
          <w:rFonts w:ascii="Arial" w:cs="Arial" w:eastAsia="Arial" w:hAnsi="Arial"/>
          <w:b/>
          <w:bCs/>
          <w:color w:val="FFFFFF"/>
          <w:sz w:val="32"/>
          <w:szCs w:val="32"/>
        </w:rPr>
        <w:t xml:space="preserve">1. Introduction</w:t>
      </w:r>
    </w:p>
    <w:p>
      <w:pPr>
        <w:spacing w:after="80" w:before="80"/>
      </w:pPr>
      <w:r>
        <w:rPr>
          <w:rFonts w:ascii="Arial" w:cs="Arial" w:eastAsia="Arial" w:hAnsi="Arial"/>
          <w:sz w:val="22"/>
          <w:szCs w:val="22"/>
        </w:rPr>
        <w:t xml:space="preserve">This document presents the Context Diagram and Deployment Architecture for the Parakeet (LinguaFlow) platform. The context diagram defines the system boundary and all external actors and systems that interact with Parakeet. The deployment diagram details the physical and logical infrastructure on which the platform runs, including cloud services, network topology, and third-party integrations.</w:t>
      </w:r>
    </w:p>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2. System Context Diagram</w:t>
      </w:r>
    </w:p>
    <w:p>
      <w:pPr>
        <w:pStyle w:val="Heading2"/>
        <w:pBdr>
          <w:bottom w:val="single" w:color="D6E4F0" w:sz="3"/>
        </w:pBdr>
        <w:spacing w:after="120" w:before="280"/>
      </w:pPr>
      <w:r>
        <w:rPr>
          <w:rFonts w:ascii="Arial" w:cs="Arial" w:eastAsia="Arial" w:hAnsi="Arial"/>
          <w:b/>
          <w:bCs/>
          <w:color w:val="1F4E79"/>
          <w:sz w:val="28"/>
          <w:szCs w:val="28"/>
        </w:rPr>
        <w:t xml:space="preserve">2.1 System Boundary</w:t>
      </w:r>
    </w:p>
    <w:p>
      <w:pPr>
        <w:spacing w:after="80" w:before="80"/>
      </w:pPr>
      <w:r>
        <w:rPr>
          <w:rFonts w:ascii="Arial" w:cs="Arial" w:eastAsia="Arial" w:hAnsi="Arial"/>
          <w:sz w:val="22"/>
          <w:szCs w:val="22"/>
        </w:rPr>
        <w:t xml:space="preserve">The Parakeet platform is bounded by its AWS-hosted cloud infrastructure. Everything outside this boundary is an external actor or third-party system. The diagram below maps all external interactions.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PARAKEET SYSTEM BOUNDARY — AWS Cloud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Web Application (React.js — CloudFront CDN)</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Backend API Gateway (GraphQL over Node.js/TypeScript)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AI Conversation Engine (LLM Integration Layer)</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Adaptive Curriculum Engine (ML Service)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Gamification &amp; Streaks Service</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Subscription &amp; Payment Service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Credential &amp; Assessment Service</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Analytics &amp; Progress Service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Notification Service</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Data Layer: PostgreSQL + Redis + MongoDB (AWS RDS / ElastiCache / DocumentDB)</w:t>
            </w:r>
          </w:p>
        </w:tc>
      </w:tr>
    </w:tbl>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2.2 External Actors &amp;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320"/>
        <w:gridCol w:w="4520"/>
      </w:tblGrid>
      <w:tr>
        <w:tc>
          <w:tcPr>
            <w:tcW w:type="dxa" w:w="4520"/>
            <w:tcBorders>
              <w:top w:val="single" w:color="2E75B6" w:sz="2"/>
              <w:left w:val="single" w:color="2E75B6" w:sz="2"/>
              <w:bottom w:val="single" w:color="2E75B6" w:sz="2"/>
              <w:right w:val="single" w:color="2E75B6" w:sz="2"/>
            </w:tcBorders>
            <w:shd w:fill="2E75B6" w:val="clear"/>
            <w:tcMar>
              <w:top w:type="dxa" w:w="80"/>
              <w:left w:type="dxa" w:w="160"/>
              <w:bottom w:type="dxa" w:w="80"/>
              <w:right w:type="dxa" w:w="120"/>
            </w:tcMar>
          </w:tcPr>
          <w:p>
            <w:pPr>
              <w:jc w:val="center"/>
            </w:pPr>
            <w:r>
              <w:rPr>
                <w:rFonts w:ascii="Arial" w:cs="Arial" w:eastAsia="Arial" w:hAnsi="Arial"/>
                <w:b/>
                <w:bCs/>
                <w:color w:val="FFFFFF"/>
                <w:sz w:val="22"/>
                <w:szCs w:val="22"/>
              </w:rPr>
              <w:t xml:space="preserve">👤 HUMAN ACTORS</w:t>
            </w:r>
          </w:p>
        </w:tc>
        <w:tc>
          <w:tcPr>
            <w:tcW w:type="dxa" w:w="320"/>
            <w:tcBorders>
              <w:top w:val="none"/>
              <w:left w:val="none"/>
              <w:bottom w:val="none"/>
              <w:right w:val="none"/>
            </w:tcBorders>
          </w:tcPr>
          <w:p>
            <w:r>
              <w:t xml:space="preserve"/>
            </w:r>
          </w:p>
        </w:tc>
        <w:tc>
          <w:tcPr>
            <w:tcW w:type="dxa" w:w="4520"/>
            <w:tcBorders>
              <w:top w:val="single" w:color="2E75B6" w:sz="2"/>
              <w:left w:val="single" w:color="2E75B6" w:sz="2"/>
              <w:bottom w:val="single" w:color="2E75B6" w:sz="2"/>
              <w:right w:val="single" w:color="2E75B6" w:sz="2"/>
            </w:tcBorders>
            <w:shd w:fill="1F6B8A" w:val="clear"/>
            <w:tcMar>
              <w:top w:type="dxa" w:w="80"/>
              <w:left w:type="dxa" w:w="160"/>
              <w:bottom w:type="dxa" w:w="80"/>
              <w:right w:type="dxa" w:w="120"/>
            </w:tcMar>
          </w:tcPr>
          <w:p>
            <w:pPr>
              <w:jc w:val="center"/>
            </w:pPr>
            <w:r>
              <w:rPr>
                <w:rFonts w:ascii="Arial" w:cs="Arial" w:eastAsia="Arial" w:hAnsi="Arial"/>
                <w:b/>
                <w:bCs/>
                <w:color w:val="FFFFFF"/>
                <w:sz w:val="22"/>
                <w:szCs w:val="22"/>
              </w:rPr>
              <w:t xml:space="preserve">🔌 EXTERNAL SYSTEMS</w:t>
            </w:r>
          </w:p>
        </w:tc>
      </w:tr>
      <w:tr>
        <w:tc>
          <w:tcPr>
            <w:tcW w:type="dxa" w:w="4520"/>
            <w:tcBorders>
              <w:top w:val="single" w:color="CCCCCC" w:sz="1"/>
              <w:left w:val="single" w:color="CCCCCC" w:sz="1"/>
              <w:bottom w:val="single" w:color="CCCCCC" w:sz="1"/>
              <w:right w:val="single" w:color="CCCCCC" w:sz="1"/>
            </w:tcBorders>
            <w:shd w:fill="FFFFFF" w:val="clear"/>
            <w:tcMar>
              <w:top w:type="dxa" w:w="40"/>
              <w:left w:type="dxa" w:w="200"/>
              <w:bottom w:type="dxa" w:w="40"/>
              <w:right w:type="dxa" w:w="80"/>
            </w:tcMar>
          </w:tcPr>
          <w:p>
            <w:r>
              <w:rPr>
                <w:rFonts w:ascii="Arial" w:cs="Arial" w:eastAsia="Arial" w:hAnsi="Arial"/>
                <w:sz w:val="19"/>
                <w:szCs w:val="19"/>
              </w:rPr>
              <w:t xml:space="preserve">Individual Learner (B2C)</w:t>
            </w:r>
          </w:p>
        </w:tc>
        <w:tc>
          <w:tcPr>
            <w:tcW w:type="dxa" w:w="320"/>
            <w:tcBorders>
              <w:top w:val="none"/>
              <w:left w:val="none"/>
              <w:bottom w:val="none"/>
              <w:right w:val="none"/>
            </w:tcBorders>
          </w:tcPr>
          <w:p>
            <w:r>
              <w:t xml:space="preserve"/>
            </w:r>
          </w:p>
        </w:tc>
        <w:tc>
          <w:tcPr>
            <w:tcW w:type="dxa" w:w="4520"/>
            <w:tcBorders>
              <w:top w:val="single" w:color="CCCCCC" w:sz="1"/>
              <w:left w:val="single" w:color="CCCCCC" w:sz="1"/>
              <w:bottom w:val="single" w:color="CCCCCC" w:sz="1"/>
              <w:right w:val="single" w:color="CCCCCC" w:sz="1"/>
            </w:tcBorders>
            <w:shd w:fill="FFFFFF" w:val="clear"/>
            <w:tcMar>
              <w:top w:type="dxa" w:w="40"/>
              <w:left w:type="dxa" w:w="200"/>
              <w:bottom w:type="dxa" w:w="40"/>
              <w:right w:type="dxa" w:w="80"/>
            </w:tcMar>
          </w:tcPr>
          <w:p>
            <w:r>
              <w:rPr>
                <w:rFonts w:ascii="Arial" w:cs="Arial" w:eastAsia="Arial" w:hAnsi="Arial"/>
                <w:sz w:val="19"/>
                <w:szCs w:val="19"/>
              </w:rPr>
              <w:t xml:space="preserve">OpenAI (GPT-4 / Whisper API)</w:t>
            </w:r>
          </w:p>
        </w:tc>
      </w:tr>
      <w:tr>
        <w:tc>
          <w:tcPr>
            <w:tcW w:type="dxa" w:w="4520"/>
            <w:tcBorders>
              <w:top w:val="single" w:color="CCCCCC" w:sz="1"/>
              <w:left w:val="single" w:color="CCCCCC" w:sz="1"/>
              <w:bottom w:val="single" w:color="CCCCCC" w:sz="1"/>
              <w:right w:val="single" w:color="CCCCCC" w:sz="1"/>
            </w:tcBorders>
            <w:shd w:fill="E8F4FD" w:val="clear"/>
            <w:tcMar>
              <w:top w:type="dxa" w:w="40"/>
              <w:left w:type="dxa" w:w="200"/>
              <w:bottom w:type="dxa" w:w="40"/>
              <w:right w:type="dxa" w:w="80"/>
            </w:tcMar>
          </w:tcPr>
          <w:p>
            <w:r>
              <w:rPr>
                <w:rFonts w:ascii="Arial" w:cs="Arial" w:eastAsia="Arial" w:hAnsi="Arial"/>
                <w:sz w:val="19"/>
                <w:szCs w:val="19"/>
              </w:rPr>
              <w:t xml:space="preserve">Corporate Administrator (B2B)</w:t>
            </w:r>
          </w:p>
        </w:tc>
        <w:tc>
          <w:tcPr>
            <w:tcW w:type="dxa" w:w="320"/>
            <w:tcBorders>
              <w:top w:val="none"/>
              <w:left w:val="none"/>
              <w:bottom w:val="none"/>
              <w:right w:val="none"/>
            </w:tcBorders>
          </w:tcPr>
          <w:p>
            <w:r>
              <w:t xml:space="preserve"/>
            </w:r>
          </w:p>
        </w:tc>
        <w:tc>
          <w:tcPr>
            <w:tcW w:type="dxa" w:w="4520"/>
            <w:tcBorders>
              <w:top w:val="single" w:color="CCCCCC" w:sz="1"/>
              <w:left w:val="single" w:color="CCCCCC" w:sz="1"/>
              <w:bottom w:val="single" w:color="CCCCCC" w:sz="1"/>
              <w:right w:val="single" w:color="CCCCCC" w:sz="1"/>
            </w:tcBorders>
            <w:shd w:fill="E8F4FD" w:val="clear"/>
            <w:tcMar>
              <w:top w:type="dxa" w:w="40"/>
              <w:left w:type="dxa" w:w="200"/>
              <w:bottom w:type="dxa" w:w="40"/>
              <w:right w:type="dxa" w:w="80"/>
            </w:tcMar>
          </w:tcPr>
          <w:p>
            <w:r>
              <w:rPr>
                <w:rFonts w:ascii="Arial" w:cs="Arial" w:eastAsia="Arial" w:hAnsi="Arial"/>
                <w:sz w:val="19"/>
                <w:szCs w:val="19"/>
              </w:rPr>
              <w:t xml:space="preserve">AWS Polly / ElevenLabs (TTS API)</w:t>
            </w:r>
          </w:p>
        </w:tc>
      </w:tr>
      <w:tr>
        <w:tc>
          <w:tcPr>
            <w:tcW w:type="dxa" w:w="4520"/>
            <w:tcBorders>
              <w:top w:val="single" w:color="CCCCCC" w:sz="1"/>
              <w:left w:val="single" w:color="CCCCCC" w:sz="1"/>
              <w:bottom w:val="single" w:color="CCCCCC" w:sz="1"/>
              <w:right w:val="single" w:color="CCCCCC" w:sz="1"/>
            </w:tcBorders>
            <w:shd w:fill="FFFFFF" w:val="clear"/>
            <w:tcMar>
              <w:top w:type="dxa" w:w="40"/>
              <w:left w:type="dxa" w:w="200"/>
              <w:bottom w:type="dxa" w:w="40"/>
              <w:right w:type="dxa" w:w="80"/>
            </w:tcMar>
          </w:tcPr>
          <w:p>
            <w:r>
              <w:rPr>
                <w:rFonts w:ascii="Arial" w:cs="Arial" w:eastAsia="Arial" w:hAnsi="Arial"/>
                <w:sz w:val="19"/>
                <w:szCs w:val="19"/>
              </w:rPr>
              <w:t xml:space="preserve">Enterprise Learner (B2B)</w:t>
            </w:r>
          </w:p>
        </w:tc>
        <w:tc>
          <w:tcPr>
            <w:tcW w:type="dxa" w:w="320"/>
            <w:tcBorders>
              <w:top w:val="none"/>
              <w:left w:val="none"/>
              <w:bottom w:val="none"/>
              <w:right w:val="none"/>
            </w:tcBorders>
          </w:tcPr>
          <w:p>
            <w:r>
              <w:t xml:space="preserve"/>
            </w:r>
          </w:p>
        </w:tc>
        <w:tc>
          <w:tcPr>
            <w:tcW w:type="dxa" w:w="4520"/>
            <w:tcBorders>
              <w:top w:val="single" w:color="CCCCCC" w:sz="1"/>
              <w:left w:val="single" w:color="CCCCCC" w:sz="1"/>
              <w:bottom w:val="single" w:color="CCCCCC" w:sz="1"/>
              <w:right w:val="single" w:color="CCCCCC" w:sz="1"/>
            </w:tcBorders>
            <w:shd w:fill="FFFFFF" w:val="clear"/>
            <w:tcMar>
              <w:top w:type="dxa" w:w="40"/>
              <w:left w:type="dxa" w:w="200"/>
              <w:bottom w:type="dxa" w:w="40"/>
              <w:right w:type="dxa" w:w="80"/>
            </w:tcMar>
          </w:tcPr>
          <w:p>
            <w:r>
              <w:rPr>
                <w:rFonts w:ascii="Arial" w:cs="Arial" w:eastAsia="Arial" w:hAnsi="Arial"/>
                <w:sz w:val="19"/>
                <w:szCs w:val="19"/>
              </w:rPr>
              <w:t xml:space="preserve">Stripe (Payment Gateway)</w:t>
            </w:r>
          </w:p>
        </w:tc>
      </w:tr>
      <w:tr>
        <w:tc>
          <w:tcPr>
            <w:tcW w:type="dxa" w:w="4520"/>
            <w:tcBorders>
              <w:top w:val="single" w:color="CCCCCC" w:sz="1"/>
              <w:left w:val="single" w:color="CCCCCC" w:sz="1"/>
              <w:bottom w:val="single" w:color="CCCCCC" w:sz="1"/>
              <w:right w:val="single" w:color="CCCCCC" w:sz="1"/>
            </w:tcBorders>
            <w:shd w:fill="E8F4FD" w:val="clear"/>
            <w:tcMar>
              <w:top w:type="dxa" w:w="40"/>
              <w:left w:type="dxa" w:w="200"/>
              <w:bottom w:type="dxa" w:w="40"/>
              <w:right w:type="dxa" w:w="80"/>
            </w:tcMar>
          </w:tcPr>
          <w:p>
            <w:r>
              <w:rPr>
                <w:rFonts w:ascii="Arial" w:cs="Arial" w:eastAsia="Arial" w:hAnsi="Arial"/>
                <w:sz w:val="19"/>
                <w:szCs w:val="19"/>
              </w:rPr>
              <w:t xml:space="preserve">System Administrator (Parakeet Staff)</w:t>
            </w:r>
          </w:p>
        </w:tc>
        <w:tc>
          <w:tcPr>
            <w:tcW w:type="dxa" w:w="320"/>
            <w:tcBorders>
              <w:top w:val="none"/>
              <w:left w:val="none"/>
              <w:bottom w:val="none"/>
              <w:right w:val="none"/>
            </w:tcBorders>
          </w:tcPr>
          <w:p>
            <w:r>
              <w:t xml:space="preserve"/>
            </w:r>
          </w:p>
        </w:tc>
        <w:tc>
          <w:tcPr>
            <w:tcW w:type="dxa" w:w="4520"/>
            <w:tcBorders>
              <w:top w:val="single" w:color="CCCCCC" w:sz="1"/>
              <w:left w:val="single" w:color="CCCCCC" w:sz="1"/>
              <w:bottom w:val="single" w:color="CCCCCC" w:sz="1"/>
              <w:right w:val="single" w:color="CCCCCC" w:sz="1"/>
            </w:tcBorders>
            <w:shd w:fill="E8F4FD" w:val="clear"/>
            <w:tcMar>
              <w:top w:type="dxa" w:w="40"/>
              <w:left w:type="dxa" w:w="200"/>
              <w:bottom w:type="dxa" w:w="40"/>
              <w:right w:type="dxa" w:w="80"/>
            </w:tcMar>
          </w:tcPr>
          <w:p>
            <w:r>
              <w:rPr>
                <w:rFonts w:ascii="Arial" w:cs="Arial" w:eastAsia="Arial" w:hAnsi="Arial"/>
                <w:sz w:val="19"/>
                <w:szCs w:val="19"/>
              </w:rPr>
              <w:t xml:space="preserve">SendGrid / SES (Email Service)</w:t>
            </w:r>
          </w:p>
        </w:tc>
      </w:tr>
      <w:tr>
        <w:tc>
          <w:tcPr>
            <w:tcW w:type="dxa" w:w="4520"/>
            <w:tcBorders>
              <w:top w:val="single" w:color="CCCCCC" w:sz="1"/>
              <w:left w:val="single" w:color="CCCCCC" w:sz="1"/>
              <w:bottom w:val="single" w:color="CCCCCC" w:sz="1"/>
              <w:right w:val="single" w:color="CCCCCC" w:sz="1"/>
            </w:tcBorders>
            <w:tcMar>
              <w:top w:type="dxa" w:w="40"/>
              <w:left w:type="dxa" w:w="200"/>
              <w:bottom w:type="dxa" w:w="40"/>
              <w:right w:type="dxa" w:w="80"/>
            </w:tcMar>
          </w:tcPr>
          <w:p>
            <w:r>
              <w:t xml:space="preserve"/>
            </w:r>
          </w:p>
        </w:tc>
        <w:tc>
          <w:tcPr>
            <w:tcW w:type="dxa" w:w="320"/>
            <w:tcBorders>
              <w:top w:val="none"/>
              <w:left w:val="none"/>
              <w:bottom w:val="none"/>
              <w:right w:val="none"/>
            </w:tcBorders>
          </w:tcPr>
          <w:p>
            <w:r>
              <w:t xml:space="preserve"/>
            </w:r>
          </w:p>
        </w:tc>
        <w:tc>
          <w:tcPr>
            <w:tcW w:type="dxa" w:w="4520"/>
            <w:tcBorders>
              <w:top w:val="single" w:color="CCCCCC" w:sz="1"/>
              <w:left w:val="single" w:color="CCCCCC" w:sz="1"/>
              <w:bottom w:val="single" w:color="CCCCCC" w:sz="1"/>
              <w:right w:val="single" w:color="CCCCCC" w:sz="1"/>
            </w:tcBorders>
            <w:shd w:fill="FFFFFF" w:val="clear"/>
            <w:tcMar>
              <w:top w:type="dxa" w:w="40"/>
              <w:left w:type="dxa" w:w="200"/>
              <w:bottom w:type="dxa" w:w="40"/>
              <w:right w:type="dxa" w:w="80"/>
            </w:tcMar>
          </w:tcPr>
          <w:p>
            <w:r>
              <w:rPr>
                <w:rFonts w:ascii="Arial" w:cs="Arial" w:eastAsia="Arial" w:hAnsi="Arial"/>
                <w:sz w:val="19"/>
                <w:szCs w:val="19"/>
              </w:rPr>
              <w:t xml:space="preserve">Employer &amp; University Partners (Credential API)</w:t>
            </w:r>
          </w:p>
        </w:tc>
      </w:tr>
      <w:tr>
        <w:tc>
          <w:tcPr>
            <w:tcW w:type="dxa" w:w="4520"/>
            <w:tcBorders>
              <w:top w:val="single" w:color="CCCCCC" w:sz="1"/>
              <w:left w:val="single" w:color="CCCCCC" w:sz="1"/>
              <w:bottom w:val="single" w:color="CCCCCC" w:sz="1"/>
              <w:right w:val="single" w:color="CCCCCC" w:sz="1"/>
            </w:tcBorders>
            <w:tcMar>
              <w:top w:type="dxa" w:w="40"/>
              <w:left w:type="dxa" w:w="200"/>
              <w:bottom w:type="dxa" w:w="40"/>
              <w:right w:type="dxa" w:w="80"/>
            </w:tcMar>
          </w:tcPr>
          <w:p>
            <w:r>
              <w:t xml:space="preserve"/>
            </w:r>
          </w:p>
        </w:tc>
        <w:tc>
          <w:tcPr>
            <w:tcW w:type="dxa" w:w="320"/>
            <w:tcBorders>
              <w:top w:val="none"/>
              <w:left w:val="none"/>
              <w:bottom w:val="none"/>
              <w:right w:val="none"/>
            </w:tcBorders>
          </w:tcPr>
          <w:p>
            <w:r>
              <w:t xml:space="preserve"/>
            </w:r>
          </w:p>
        </w:tc>
        <w:tc>
          <w:tcPr>
            <w:tcW w:type="dxa" w:w="4520"/>
            <w:tcBorders>
              <w:top w:val="single" w:color="CCCCCC" w:sz="1"/>
              <w:left w:val="single" w:color="CCCCCC" w:sz="1"/>
              <w:bottom w:val="single" w:color="CCCCCC" w:sz="1"/>
              <w:right w:val="single" w:color="CCCCCC" w:sz="1"/>
            </w:tcBorders>
            <w:shd w:fill="E8F4FD" w:val="clear"/>
            <w:tcMar>
              <w:top w:type="dxa" w:w="40"/>
              <w:left w:type="dxa" w:w="200"/>
              <w:bottom w:type="dxa" w:w="40"/>
              <w:right w:type="dxa" w:w="80"/>
            </w:tcMar>
          </w:tcPr>
          <w:p>
            <w:r>
              <w:rPr>
                <w:rFonts w:ascii="Arial" w:cs="Arial" w:eastAsia="Arial" w:hAnsi="Arial"/>
                <w:sz w:val="19"/>
                <w:szCs w:val="19"/>
              </w:rPr>
              <w:t xml:space="preserve">AWS CloudWatch (Monitoring)</w:t>
            </w:r>
          </w:p>
        </w:tc>
      </w:tr>
    </w:tbl>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2.3 Context Interaction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200"/>
        <w:gridCol w:w="1600"/>
        <w:gridCol w:w="2660"/>
      </w:tblGrid>
      <w:tr>
        <w:tc>
          <w:tcPr>
            <w:tcW w:type="dxa" w:w="2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 / System</w:t>
            </w:r>
          </w:p>
        </w:tc>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Exchanged</w:t>
            </w:r>
          </w:p>
        </w:tc>
        <w:tc>
          <w:tcPr>
            <w:tcW w:type="dxa" w:w="16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 / Channel</w:t>
            </w:r>
          </w:p>
        </w:tc>
        <w:tc>
          <w:tcPr>
            <w:tcW w:type="dxa" w:w="26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Learner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Bidirectional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 messages, audio, lesson answers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 / WebSocket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web browser on broadband</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Corporate Admin</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Inbound</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Employee management, billing config</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HTTPS REST / GraphQL</w:t>
            </w:r>
          </w:p>
        </w:tc>
        <w:tc>
          <w:tcPr>
            <w:tcW w:type="dxa" w:w="26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Enterprise dashboard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Enterprise Learner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Bidirectional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Lesson data, progress queries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 / GraphQL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app, enterprise subscription</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System Admin</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Inbound</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Platform config, content management</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HTTPS (Admin Portal)</w:t>
            </w:r>
          </w:p>
        </w:tc>
        <w:tc>
          <w:tcPr>
            <w:tcW w:type="dxa" w:w="26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Internal Parakeet staff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OpenAI GPT-4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Bidirectional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Prompt + conversation history → AI 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 REST API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LLM for conversation engine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OpenAI Whisper</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Outbound request</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Audio file → transcribed text</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HTTPS REST API</w:t>
            </w:r>
          </w:p>
        </w:tc>
        <w:tc>
          <w:tcPr>
            <w:tcW w:type="dxa" w:w="26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STT; fallback to text mode if unavailable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Polly / ElevenLabs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Outbound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 synthesised audio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 REST API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TTS; latency SLA &lt;2s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Stripe</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Bidirectional</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Payment events, subscription webhooks</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HTTPS (Stripe SDK + Webhooks)</w:t>
            </w:r>
          </w:p>
        </w:tc>
        <w:tc>
          <w:tcPr>
            <w:tcW w:type="dxa" w:w="26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PCI-DSS compliant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SendGrid / SES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Inbound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delivery (welcome, streaks, 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 API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Transactional email only</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Partner APIs (Credentials)</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Bidirectional</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Certificate verification requests</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HTTPS REST</w:t>
            </w:r>
          </w:p>
        </w:tc>
        <w:tc>
          <w:tcPr>
            <w:tcW w:type="dxa" w:w="26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≥5 employer/university partners at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CloudWatch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Inbound metrics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Logs, latency, error rates, uptime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SDK / Agent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99.9% uptime monitoring</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3. Deployment Architecture</w:t>
      </w:r>
    </w:p>
    <w:p>
      <w:pPr>
        <w:pStyle w:val="Heading2"/>
        <w:pBdr>
          <w:bottom w:val="single" w:color="D6E4F0" w:sz="3"/>
        </w:pBdr>
        <w:spacing w:after="120" w:before="280"/>
      </w:pPr>
      <w:r>
        <w:rPr>
          <w:rFonts w:ascii="Arial" w:cs="Arial" w:eastAsia="Arial" w:hAnsi="Arial"/>
          <w:b/>
          <w:bCs/>
          <w:color w:val="1F4E79"/>
          <w:sz w:val="28"/>
          <w:szCs w:val="28"/>
        </w:rPr>
        <w:t xml:space="preserve">3.1 Infrastructure Overview</w:t>
      </w:r>
    </w:p>
    <w:p>
      <w:pPr>
        <w:spacing w:after="80" w:before="80"/>
      </w:pPr>
      <w:r>
        <w:rPr>
          <w:rFonts w:ascii="Arial" w:cs="Arial" w:eastAsia="Arial" w:hAnsi="Arial"/>
          <w:sz w:val="22"/>
          <w:szCs w:val="22"/>
        </w:rPr>
        <w:t xml:space="preserve">Parakeet is deployed on Amazon Web Services (AWS) using a cloud-native, containerised architecture. The platform is designed for horizontal scalability, high availability, and low-latency AI response delivery.</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3.2 Deployment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LAYER 1: CDN &amp; Edge — AWS CloudFront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Serves React.js static assets globally via CloudFront CDN</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Edge caching for static content reduces dashboard load time to &lt;3 seconds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WAF (Web Application Firewall) enabled for DDoS and injection protection</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Custom domain: app.parakeet.io (HTTPS enforced; HTTP → HTTPS redirect)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CloudFront → Routes dynamic API requests to Application Load Balancer (ALB)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1A6B3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LAYER 2: Application Tier — AWS EKS (Kubernetes)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All microservices deployed as Docker containers in Kubernetes pods (EKS)</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Horizontal Pod Autoscaler (HPA) scales pods under load (target: 70% CPU)</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Services: API Gateway, AI Engine Proxy, Curriculum Engine, Gamification Service, Subscription Service, Notification Service, Analytics Service</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AWS Application Load Balancer (ALB) distributes traffic to API pods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Inter-service communication via gRPC (internal) and GraphQL (external)</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AWS Lambda handles async workloads: session summaries, email triggers, report generation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Target: Phase 1 — 100K concurrent users; Phase 2 — 1M concurrent users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5D2E8C"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LAYER 3: AI Inference — GPU-Optimised Instances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Dedicated EC2 P3/G4dn GPU instances for LLM inference (vLLM / TensorRT)</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OpenAI API integration via secure proxy with API key rotation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Response caching (Redis) for common conversational patterns — reduces API costs</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Async inference queue (SQS) for non-real-time AI workloads (summaries, reports)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AI latency SLA: P95 ≤10 seconds end-to-end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7B4F12"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LAYER 4: Data Tier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PostgreSQL (AWS RDS Multi-AZ): User profiles, sessions, progress records, subscriptions</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Redis (AWS ElastiCache): Session state, leaderboard rankings, streak counters, AI response cache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MongoDB (AWS DocumentDB): Lesson content, AI-generated quizzes, multimedia metadata</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Automated daily snapshots; point-in-time recovery enabled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Encryption at rest (AES-256) and in transit (TLS 1.3)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4A4A6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LAYER 5: Observability &amp; DevOps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AWS CloudWatch: Metrics, logs, alarms (uptime SLA monitoring — 99.9%)</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AWS X-Ray: Distributed tracing for AI pipeline latency analysis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GitHub Actions: CI/CD pipeline — build → test → staging → production</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360"/>
              <w:bottom w:type="dxa" w:w="60"/>
              <w:right w:type="dxa" w:w="200"/>
            </w:tcMar>
          </w:tcPr>
          <w:p>
            <w:r>
              <w:rPr>
                <w:rFonts w:ascii="Arial" w:cs="Arial" w:eastAsia="Arial" w:hAnsi="Arial"/>
                <w:sz w:val="20"/>
                <w:szCs w:val="20"/>
              </w:rPr>
              <w:t xml:space="preserve">Terraform: Infrastructure-as-Code for reproducible deployments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360"/>
              <w:bottom w:type="dxa" w:w="60"/>
              <w:right w:type="dxa" w:w="200"/>
            </w:tcMar>
          </w:tcPr>
          <w:p>
            <w:r>
              <w:rPr>
                <w:rFonts w:ascii="Arial" w:cs="Arial" w:eastAsia="Arial" w:hAnsi="Arial"/>
                <w:sz w:val="20"/>
                <w:szCs w:val="20"/>
              </w:rPr>
              <w:t xml:space="preserve">PagerDuty: On-call alerting for P0/P1 incidents (RTO ≤5 minutes)</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4.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c>
          <w:tcPr>
            <w:tcW w:type="dxa" w:w="1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Subnet</w:t>
            </w:r>
          </w:p>
        </w:tc>
        <w:tc>
          <w:tcPr>
            <w:tcW w:type="dxa" w:w="25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Exposure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CloudFront CDN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Edge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Internet-facing</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Application Load Balancer</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Public Subnet (Multi-AZ)</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Internet-facing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EKS Node Groups (API /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 App Subnet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only</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Private</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AI Inference Instances (GPU)</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Private AI Subnet</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Internal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RDS PostgreSQL (Multi-AZ)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 DB Subnet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only</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Private</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ElastiCache Redis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Private Cache Subnet</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Internal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DocumentDB MongoDB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 Content Subnet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only</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External</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OpenAI API</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Internet (via NAT Gateway)</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Outbound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Internet (via NAT Gateway)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Outbound + Webhook inbound</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External</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AWS Polly / ElevenLabs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Internet (via NAT Gateway)</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Outbound only</w:t>
            </w:r>
          </w:p>
        </w:tc>
      </w:tr>
    </w:tbl>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5. Security &amp; Compliance Deployment Considerations</w:t>
      </w:r>
    </w:p>
    <w:p>
      <w:pPr>
        <w:pStyle w:val="ListParagraph"/>
        <w:numPr>
          <w:ilvl w:val="0"/>
          <w:numId w:val="2"/>
        </w:numPr>
        <w:spacing w:after="40" w:before="40"/>
      </w:pPr>
      <w:r>
        <w:rPr>
          <w:rFonts w:ascii="Arial" w:cs="Arial" w:eastAsia="Arial" w:hAnsi="Arial"/>
          <w:sz w:val="22"/>
          <w:szCs w:val="22"/>
        </w:rPr>
        <w:t xml:space="preserve">All traffic encrypted in transit via TLS 1.3; certificate management via AWS Certificate Manager (ACM)</w:t>
      </w:r>
    </w:p>
    <w:p>
      <w:pPr>
        <w:pStyle w:val="ListParagraph"/>
        <w:numPr>
          <w:ilvl w:val="0"/>
          <w:numId w:val="2"/>
        </w:numPr>
        <w:spacing w:after="40" w:before="40"/>
      </w:pPr>
      <w:r>
        <w:rPr>
          <w:rFonts w:ascii="Arial" w:cs="Arial" w:eastAsia="Arial" w:hAnsi="Arial"/>
          <w:sz w:val="22"/>
          <w:szCs w:val="22"/>
        </w:rPr>
        <w:t xml:space="preserve">VPC isolation: app, AI, DB, and cache subnets are fully isolated from public internet</w:t>
      </w:r>
    </w:p>
    <w:p>
      <w:pPr>
        <w:pStyle w:val="ListParagraph"/>
        <w:numPr>
          <w:ilvl w:val="0"/>
          <w:numId w:val="2"/>
        </w:numPr>
        <w:spacing w:after="40" w:before="40"/>
      </w:pPr>
      <w:r>
        <w:rPr>
          <w:rFonts w:ascii="Arial" w:cs="Arial" w:eastAsia="Arial" w:hAnsi="Arial"/>
          <w:sz w:val="22"/>
          <w:szCs w:val="22"/>
        </w:rPr>
        <w:t xml:space="preserve">IAM roles with least-privilege access; no hardcoded credentials — all secrets managed via AWS Secrets Manager</w:t>
      </w:r>
    </w:p>
    <w:p>
      <w:pPr>
        <w:pStyle w:val="ListParagraph"/>
        <w:numPr>
          <w:ilvl w:val="0"/>
          <w:numId w:val="2"/>
        </w:numPr>
        <w:spacing w:after="40" w:before="40"/>
      </w:pPr>
      <w:r>
        <w:rPr>
          <w:rFonts w:ascii="Arial" w:cs="Arial" w:eastAsia="Arial" w:hAnsi="Arial"/>
          <w:sz w:val="22"/>
          <w:szCs w:val="22"/>
        </w:rPr>
        <w:t xml:space="preserve">GDPR / CCPA: EU learner data stored in AWS eu-west-1 region; Data Processing Agreements in place with all vendors</w:t>
      </w:r>
    </w:p>
    <w:p>
      <w:pPr>
        <w:pStyle w:val="ListParagraph"/>
        <w:numPr>
          <w:ilvl w:val="0"/>
          <w:numId w:val="2"/>
        </w:numPr>
        <w:spacing w:after="40" w:before="40"/>
      </w:pPr>
      <w:r>
        <w:rPr>
          <w:rFonts w:ascii="Arial" w:cs="Arial" w:eastAsia="Arial" w:hAnsi="Arial"/>
          <w:sz w:val="22"/>
          <w:szCs w:val="22"/>
        </w:rPr>
        <w:t xml:space="preserve">SOC 2 Type II compliance roadmap initiated from Phase 0</w:t>
      </w:r>
    </w:p>
    <w:p>
      <w:pPr>
        <w:pStyle w:val="ListParagraph"/>
        <w:numPr>
          <w:ilvl w:val="0"/>
          <w:numId w:val="2"/>
        </w:numPr>
        <w:spacing w:after="40" w:before="40"/>
      </w:pPr>
      <w:r>
        <w:rPr>
          <w:rFonts w:ascii="Arial" w:cs="Arial" w:eastAsia="Arial" w:hAnsi="Arial"/>
          <w:sz w:val="22"/>
          <w:szCs w:val="22"/>
        </w:rPr>
        <w:t xml:space="preserve">Penetration testing scheduled before Phase 1 public launch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pBdr>
    </w:pPr>
    <w:r>
      <w:rPr>
        <w:rFonts w:ascii="Arial" w:cs="Arial" w:eastAsia="Arial" w:hAnsi="Arial"/>
        <w:color w:val="888888"/>
        <w:sz w:val="18"/>
        <w:szCs w:val="18"/>
      </w:rPr>
      <w:t xml:space="preserve">Parakeet  |  Context (Deployment) Diagram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2026-05-16T09:43:22.647Z</dcterms:created>
  <dcterms:modified xsi:type="dcterms:W3CDTF">2026-05-16T09:43:22.647Z</dcterms:modified>
</cp:coreProperties>
</file>

<file path=docProps/custom.xml><?xml version="1.0" encoding="utf-8"?>
<Properties xmlns="http://schemas.openxmlformats.org/officeDocument/2006/custom-properties" xmlns:vt="http://schemas.openxmlformats.org/officeDocument/2006/docPropsVTypes"/>
</file>