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TEST PLAN</w:t>
      </w:r>
    </w:p>
    <w:p>
      <w:pPr>
        <w:spacing w:after="80" w:before="160"/>
        <w:jc w:val="center"/>
      </w:pPr>
      <w:r>
        <w:rPr>
          <w:rFonts w:ascii="Arial" w:cs="Arial" w:eastAsia="Arial" w:hAnsi="Arial"/>
          <w:color w:val="666666"/>
          <w:sz w:val="24"/>
          <w:szCs w:val="24"/>
        </w:rPr>
        <w:t xml:space="preserve">Quality Assurance Execution Plan</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Plan Overview</w:t>
      </w:r>
    </w:p>
    <w:p>
      <w:pPr>
        <w:pStyle w:val="Heading2"/>
        <w:pBdr>
          <w:bottom w:val="single" w:color="D6E4F0" w:sz="3"/>
        </w:pBdr>
        <w:spacing w:after="120" w:before="280"/>
      </w:pPr>
      <w:r>
        <w:rPr>
          <w:rFonts w:ascii="Arial" w:cs="Arial" w:eastAsia="Arial" w:hAnsi="Arial"/>
          <w:b/>
          <w:bCs/>
          <w:color w:val="1F4E79"/>
          <w:sz w:val="28"/>
          <w:szCs w:val="28"/>
        </w:rPr>
        <w:t xml:space="preserve">1.1 Purpose</w:t>
      </w:r>
    </w:p>
    <w:p>
      <w:pPr>
        <w:spacing w:after="80" w:before="80"/>
      </w:pPr>
      <w:r>
        <w:rPr>
          <w:rFonts w:ascii="Arial" w:cs="Arial" w:eastAsia="Arial" w:hAnsi="Arial"/>
          <w:sz w:val="22"/>
          <w:szCs w:val="22"/>
        </w:rPr>
        <w:t xml:space="preserve">This Test Plan defines the schedule, resources, environments, scope, deliverables, and execution approach for testing the Parakeet (LinguaFlow) MVP. It provides actionable guidance for the QA team and serves as the primary reference for sprint-level test planning from Phase 1A through to the Phase 1 public launch in December 2026.</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1.2 Objectives</w:t>
      </w:r>
    </w:p>
    <w:p>
      <w:pPr>
        <w:pStyle w:val="ListParagraph"/>
        <w:numPr>
          <w:ilvl w:val="0"/>
          <w:numId w:val="2"/>
        </w:numPr>
        <w:spacing w:after="40" w:before="40"/>
      </w:pPr>
      <w:r>
        <w:rPr>
          <w:rFonts w:ascii="Arial" w:cs="Arial" w:eastAsia="Arial" w:hAnsi="Arial"/>
          <w:sz w:val="22"/>
          <w:szCs w:val="22"/>
        </w:rPr>
        <w:t xml:space="preserve">Ensure all 13 defined test cases are executed before Phase 1 launch</w:t>
      </w:r>
    </w:p>
    <w:p>
      <w:pPr>
        <w:pStyle w:val="ListParagraph"/>
        <w:numPr>
          <w:ilvl w:val="0"/>
          <w:numId w:val="2"/>
        </w:numPr>
        <w:spacing w:after="40" w:before="40"/>
      </w:pPr>
      <w:r>
        <w:rPr>
          <w:rFonts w:ascii="Arial" w:cs="Arial" w:eastAsia="Arial" w:hAnsi="Arial"/>
          <w:sz w:val="22"/>
          <w:szCs w:val="22"/>
        </w:rPr>
        <w:t xml:space="preserve">Validate all high-priority requirements (FR-01 through FR-09, NFR-01 through NFR-05, DSR-01 through DSR-03)</w:t>
      </w:r>
    </w:p>
    <w:p>
      <w:pPr>
        <w:pStyle w:val="ListParagraph"/>
        <w:numPr>
          <w:ilvl w:val="0"/>
          <w:numId w:val="2"/>
        </w:numPr>
        <w:spacing w:after="40" w:before="40"/>
      </w:pPr>
      <w:r>
        <w:rPr>
          <w:rFonts w:ascii="Arial" w:cs="Arial" w:eastAsia="Arial" w:hAnsi="Arial"/>
          <w:sz w:val="22"/>
          <w:szCs w:val="22"/>
        </w:rPr>
        <w:t xml:space="preserve">Achieve a defect resolution rate of 100% for Critical and High severity bugs prior to launch</w:t>
      </w:r>
    </w:p>
    <w:p>
      <w:pPr>
        <w:pStyle w:val="ListParagraph"/>
        <w:numPr>
          <w:ilvl w:val="0"/>
          <w:numId w:val="2"/>
        </w:numPr>
        <w:spacing w:after="40" w:before="40"/>
      </w:pPr>
      <w:r>
        <w:rPr>
          <w:rFonts w:ascii="Arial" w:cs="Arial" w:eastAsia="Arial" w:hAnsi="Arial"/>
          <w:sz w:val="22"/>
          <w:szCs w:val="22"/>
        </w:rPr>
        <w:t xml:space="preserve">Validate NFR performance targets: AI P95 ≤10s, FCP ≤3s, STT ≤2s</w:t>
      </w:r>
    </w:p>
    <w:p>
      <w:pPr>
        <w:pStyle w:val="ListParagraph"/>
        <w:numPr>
          <w:ilvl w:val="0"/>
          <w:numId w:val="2"/>
        </w:numPr>
        <w:spacing w:after="40" w:before="40"/>
      </w:pPr>
      <w:r>
        <w:rPr>
          <w:rFonts w:ascii="Arial" w:cs="Arial" w:eastAsia="Arial" w:hAnsi="Arial"/>
          <w:sz w:val="22"/>
          <w:szCs w:val="22"/>
        </w:rPr>
        <w:t xml:space="preserve">Obtain UAT sign-off from at least 8 of 10 beta users</w:t>
      </w:r>
    </w:p>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1.3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Case — from Parakeet Test Case Specification v1.0</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Use Case — from Parakeet use case specification (use_cases.md)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Non-Functional Requirement — from Parakeet Requirements Document v1.0</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Requirement — from Parakeet Traceability Matrix v1.0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Defect identifier tracked in GitHub Issues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P0/P1/P2/P3</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Defect severity (Critical / High / Medium / Low)</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2. Test Scope</w:t>
      </w:r>
    </w:p>
    <w:p>
      <w:pPr>
        <w:pStyle w:val="Heading2"/>
        <w:pBdr>
          <w:bottom w:val="single" w:color="D6E4F0" w:sz="3"/>
        </w:pBdr>
        <w:spacing w:after="120" w:before="280"/>
      </w:pPr>
      <w:r>
        <w:rPr>
          <w:rFonts w:ascii="Arial" w:cs="Arial" w:eastAsia="Arial" w:hAnsi="Arial"/>
          <w:b/>
          <w:bCs/>
          <w:color w:val="1F4E79"/>
          <w:sz w:val="28"/>
          <w:szCs w:val="28"/>
        </w:rP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000"/>
        <w:gridCol w:w="3860"/>
      </w:tblGrid>
      <w:tr>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Cases Assigned</w:t>
            </w:r>
          </w:p>
        </w:tc>
        <w:tc>
          <w:tcPr>
            <w:tcW w:type="dxa" w:w="38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Requirements 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&amp; Create Profile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TC-001, TC-002, TC-003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REQ-001 (partial), REQ-008, REQ-015, REQ-023</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Engage in AI Conversation</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UC-02</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TC-004, TC-005, TC-006</w:t>
            </w:r>
          </w:p>
        </w:tc>
        <w:tc>
          <w:tcPr>
            <w:tcW w:type="dxa" w:w="3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REQ-001, REQ-002, REQ-003, REQ-010, REQ-011, REQ-016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Adaptive Lessons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TC-007, TC-008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REQ-006, REQ-007, REQ-009</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Track Progress</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UC-04</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TC-009, TC-010</w:t>
            </w:r>
          </w:p>
        </w:tc>
        <w:tc>
          <w:tcPr>
            <w:tcW w:type="dxa" w:w="3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REQ-005, REQ-013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Earn Achievements &amp; Maintain Streaks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TC-011, TC-012, TC-013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REQ-012</w:t>
            </w:r>
          </w:p>
        </w:tc>
      </w:tr>
    </w:tbl>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2.2 Out of Scope</w:t>
      </w:r>
    </w:p>
    <w:p>
      <w:pPr>
        <w:pStyle w:val="ListParagraph"/>
        <w:numPr>
          <w:ilvl w:val="0"/>
          <w:numId w:val="2"/>
        </w:numPr>
        <w:spacing w:after="40" w:before="40"/>
      </w:pPr>
      <w:r>
        <w:rPr>
          <w:rFonts w:ascii="Arial" w:cs="Arial" w:eastAsia="Arial" w:hAnsi="Arial"/>
          <w:sz w:val="22"/>
          <w:szCs w:val="22"/>
        </w:rPr>
        <w:t xml:space="preserve">Admin / operations dashboard (deferred to Phase 1C final sprint)</w:t>
      </w:r>
    </w:p>
    <w:p>
      <w:pPr>
        <w:pStyle w:val="ListParagraph"/>
        <w:numPr>
          <w:ilvl w:val="0"/>
          <w:numId w:val="2"/>
        </w:numPr>
        <w:spacing w:after="40" w:before="40"/>
      </w:pPr>
      <w:r>
        <w:rPr>
          <w:rFonts w:ascii="Arial" w:cs="Arial" w:eastAsia="Arial" w:hAnsi="Arial"/>
          <w:sz w:val="22"/>
          <w:szCs w:val="22"/>
        </w:rPr>
        <w:t xml:space="preserve">Enterprise white-label branding (REQ-022 — Phase 1C)</w:t>
      </w:r>
    </w:p>
    <w:p>
      <w:pPr>
        <w:pStyle w:val="ListParagraph"/>
        <w:numPr>
          <w:ilvl w:val="0"/>
          <w:numId w:val="2"/>
        </w:numPr>
        <w:spacing w:after="40" w:before="40"/>
      </w:pPr>
      <w:r>
        <w:rPr>
          <w:rFonts w:ascii="Arial" w:cs="Arial" w:eastAsia="Arial" w:hAnsi="Arial"/>
          <w:sz w:val="22"/>
          <w:szCs w:val="22"/>
        </w:rPr>
        <w:t xml:space="preserve">Live human coaching integration (Phase 2)</w:t>
      </w:r>
    </w:p>
    <w:p>
      <w:pPr>
        <w:pStyle w:val="ListParagraph"/>
        <w:numPr>
          <w:ilvl w:val="0"/>
          <w:numId w:val="2"/>
        </w:numPr>
        <w:spacing w:after="40" w:before="40"/>
      </w:pPr>
      <w:r>
        <w:rPr>
          <w:rFonts w:ascii="Arial" w:cs="Arial" w:eastAsia="Arial" w:hAnsi="Arial"/>
          <w:sz w:val="22"/>
          <w:szCs w:val="22"/>
        </w:rPr>
        <w:t xml:space="preserve">Native iOS / Android mobile applications (Phase 2)</w:t>
      </w:r>
    </w:p>
    <w:p>
      <w:pPr>
        <w:pStyle w:val="ListParagraph"/>
        <w:numPr>
          <w:ilvl w:val="0"/>
          <w:numId w:val="2"/>
        </w:numPr>
        <w:spacing w:after="40" w:before="40"/>
      </w:pPr>
      <w:r>
        <w:rPr>
          <w:rFonts w:ascii="Arial" w:cs="Arial" w:eastAsia="Arial" w:hAnsi="Arial"/>
          <w:sz w:val="22"/>
          <w:szCs w:val="22"/>
        </w:rPr>
        <w:t xml:space="preserve">Credential marketplace partner integrations (Phase 1C — separate test plan)</w:t>
      </w:r>
    </w:p>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3. Test Execution Schedule</w:t>
      </w:r>
    </w:p>
    <w:p>
      <w:pPr>
        <w:spacing w:after="80" w:before="80"/>
      </w:pPr>
      <w:r>
        <w:rPr>
          <w:rFonts w:ascii="Arial" w:cs="Arial" w:eastAsia="Arial" w:hAnsi="Arial"/>
          <w:sz w:val="22"/>
          <w:szCs w:val="22"/>
        </w:rPr>
        <w:t xml:space="preserve">Testing is aligned to the Phase 1 project timeline defined in the Project Charter. Each sprint is two weeks. Testing begins in Phase 1A (April 2026) and culminates in UAT and final regression in Phase 1C (November 2026) prior to the December 2026 launch.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1800"/>
        <w:gridCol w:w="1400"/>
        <w:gridCol w:w="1660"/>
      </w:tblGrid>
      <w:tr>
        <w:tc>
          <w:tcPr>
            <w:tcW w:type="dxa" w:w="9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Sprint</w:t>
            </w:r>
          </w:p>
        </w:tc>
        <w:tc>
          <w:tcPr>
            <w:tcW w:type="dxa" w:w="14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Dates</w:t>
            </w:r>
          </w:p>
        </w:tc>
        <w:tc>
          <w:tcPr>
            <w:tcW w:type="dxa" w:w="22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Testing Focus</w:t>
            </w:r>
          </w:p>
        </w:tc>
        <w:tc>
          <w:tcPr>
            <w:tcW w:type="dxa" w:w="18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Test Types</w:t>
            </w:r>
          </w:p>
        </w:tc>
        <w:tc>
          <w:tcPr>
            <w:tcW w:type="dxa" w:w="140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Test Cases</w:t>
            </w:r>
          </w:p>
        </w:tc>
        <w:tc>
          <w:tcPr>
            <w:tcW w:type="dxa" w:w="1660"/>
            <w:tcBorders>
              <w:top w:val="single" w:color="2E75B6" w:sz="2"/>
              <w:left w:val="single" w:color="2E75B6" w:sz="2"/>
              <w:bottom w:val="single" w:color="2E75B6" w:sz="2"/>
              <w:right w:val="single" w:color="2E75B6" w:sz="2"/>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Exit Milestone</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Apr 7–18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Auth &amp; Registration (UC-01)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Functional, Negative, Unit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TC-001, TC-002, TC-003</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UC-01 TC complete</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S2</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Apr 21–May 2</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AI Conversation Text Mode (UC-02)</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Functional, Performance, Unit</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TC-004, TC-005</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TC-004, TC-005 Pass</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S3</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May 5–16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Voice Mode STT/TTS (UC-02)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Integration, Functional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TC-006</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Voice integration in staging</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S4</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May 19–30</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Adaptive Lessons (UC-03)</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Functional, Boundary Value</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TC-007, TC-008</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UC-03 TC complete</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Jun 2–13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Progress Tracking (UC-04)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Functional, Bug Fix (BUG-118)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TC-009, TC-010</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BUG-118 resolved &amp; verified</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S6</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Jun 16–27</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Gamification &amp; Streaks (UC-05)</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Functional, State Transition</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TC-011, TC-012, TC-013</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UC-05 TC complete</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S7</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Jul 7–18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Performance: AI Latency (NFR-01)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Load Test (k6), Spike Test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Perf-001</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P95 AI latency ≤10s at 500 users</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S8</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Jul 21–Aug 1</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Performance: Dashboard, STT (NFR-02, NFR-03)</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Lighthouse CI, STT Harness</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Perf-002, Perf-003</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FCP ≤3s; STT median ≤2s</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S9</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Aug 4–15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Security &amp; GDPR Testing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Pen Test (internal), ZAP 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Sec-001 to Sec-005</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No P0/P1 security issues open</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S10</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Aug 18–29</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AI Quality: Grammar Accuracy, BLEU</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AI Evaluation, Content Safety</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AI-001 to AI-005</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≥95% grammar correction accuracy</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Sep 1–12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Cross-browser &amp; Accessibility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Playwright × 4 browsers, Axe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UI-001 to UI-010</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WCAG 2.1 AA + 4-browser pass</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S12</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Oct 6–17</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Full Regression &amp; UAT Setup</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Full TC regression, beta setup</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All 13 TCs</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Zero P0/P1 bugs open</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UAT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Oct 20–Nov 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User Acceptance Testing (10 beta users)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Exploratory + scripted UAT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All use cases</w:t>
            </w:r>
          </w:p>
        </w:tc>
        <w:tc>
          <w:tcPr>
            <w:tcW w:type="dxa" w:w="1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8"/>
                <w:szCs w:val="18"/>
              </w:rPr>
              <w:t xml:space="preserve">≥90% task completion; NPS ≥40</w:t>
            </w:r>
          </w:p>
        </w:tc>
      </w:tr>
      <w:tr>
        <w:tc>
          <w:tcPr>
            <w:tcW w:type="dxa" w:w="9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9"/>
                <w:szCs w:val="19"/>
              </w:rPr>
              <w:t xml:space="preserve">Final</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Nov 17–Dec 5</w:t>
            </w:r>
          </w:p>
        </w:tc>
        <w:tc>
          <w:tcPr>
            <w:tcW w:type="dxa" w:w="22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Final regression + launch go/no-go</w:t>
            </w:r>
          </w:p>
        </w:tc>
        <w:tc>
          <w:tcPr>
            <w:tcW w:type="dxa" w:w="18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Full regression + performance</w:t>
            </w:r>
          </w:p>
        </w:tc>
        <w:tc>
          <w:tcPr>
            <w:tcW w:type="dxa" w:w="140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sz w:val="18"/>
                <w:szCs w:val="18"/>
              </w:rPr>
              <w:t xml:space="preserve">All 13 TCs + NFR suite</w:t>
            </w:r>
          </w:p>
        </w:tc>
        <w:tc>
          <w:tcPr>
            <w:tcW w:type="dxa" w:w="166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r>
              <w:rPr>
                <w:rFonts w:ascii="Arial" w:cs="Arial" w:eastAsia="Arial" w:hAnsi="Arial"/>
                <w:b/>
                <w:bCs/>
                <w:color w:val="2E75B6"/>
                <w:sz w:val="18"/>
                <w:szCs w:val="18"/>
              </w:rPr>
              <w:t xml:space="preserve">Launch approved by CTO + Product Lead</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4. Current Test Execution Status</w:t>
      </w:r>
    </w:p>
    <w:p>
      <w:pPr>
        <w:spacing w:after="80" w:before="80"/>
      </w:pPr>
      <w:r>
        <w:rPr>
          <w:rFonts w:ascii="Arial" w:cs="Arial" w:eastAsia="Arial" w:hAnsi="Arial"/>
          <w:sz w:val="22"/>
          <w:szCs w:val="22"/>
        </w:rPr>
        <w:t xml:space="preserve">The following table reflects the current execution status as of April 27, 2026 (Sprint 2 completion).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700"/>
        <w:gridCol w:w="900"/>
        <w:gridCol w:w="1000"/>
        <w:gridCol w:w="1160"/>
      </w:tblGrid>
      <w:tr>
        <w:tc>
          <w:tcPr>
            <w:tcW w:type="dxa" w:w="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3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7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UC</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1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 Ref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registration with valid credentials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Registration rejected — duplicate email</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UC-01</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Proficiency assessment sets correct CEFR level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TC-004</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AI conversation responds within latency SLA (≤10s)</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UC-02</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grammar correction surfaced during conversation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TC-006</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Voice mode: STT transcription + TTS spoken response</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UC-02</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Whisper staging 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lesson reduces difficulty after 3 consecutive errors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TC-008</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Spaced-repetition surfaces vocabulary at correct intervals</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UC-03</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dashboard displays accurate fluency score &amp; grammar trend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BUG-118</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TC-010</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Conversation log and error analysis accessible post-session</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UC-04</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streak incremented after qualifying activity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TC-012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Streak resets after missed day with no shield</w:t>
            </w:r>
          </w:p>
        </w:tc>
        <w:tc>
          <w:tcPr>
            <w:tcW w:type="dxa" w:w="7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UC-05</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Badge awarded on first AI conversation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4.1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Test Cases Defined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Executed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(84.6%)</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Failed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  (TC-009 — BUG-118: grammar accuracy trend rendering)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(TC-006 — Whisper STT staging integration pending)</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Critical/High Bugs Open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Bugs 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(BUG-118 — assigned, fix in Sprint 5)</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Sprint Velocity vs Plan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On track — all Sprint 1 &amp; 2 TCs executed as scheduled</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5. Defect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800"/>
        <w:gridCol w:w="800"/>
        <w:gridCol w:w="900"/>
        <w:gridCol w:w="900"/>
        <w:gridCol w:w="1160"/>
      </w:tblGrid>
      <w:tr>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 ID</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TC Ref</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Sprint 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BUG-118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Grammar accuracy trend renders as flat 0% for all sessions on Progress dashboard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5 (Jun 2–13)</w:t>
            </w:r>
          </w:p>
        </w:tc>
      </w:tr>
    </w:tbl>
    <w:p>
      <w:pPr>
        <w:spacing w:after="60" w:before="60"/>
      </w:pPr>
      <w:r>
        <w:t xml:space="preserve"/>
      </w:r>
    </w:p>
    <w:p>
      <w:pPr>
        <w:spacing w:after="80" w:before="80"/>
      </w:pPr>
      <w:r>
        <w:rPr>
          <w:rFonts w:ascii="Arial" w:cs="Arial" w:eastAsia="Arial" w:hAnsi="Arial"/>
          <w:sz w:val="22"/>
          <w:szCs w:val="22"/>
        </w:rPr>
        <w:t xml:space="preserve">No Critical (P0) or High (P1) defects are currently open. BUG-118 is isolated to the grammar accuracy chart rendering component and does not affect underlying data integrity — fluency score, vocabulary metrics, and raw session data are all accurate.</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6.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33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Strategy, planning, sign-off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(20 hrs/sprint)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sprints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QA Engineer #1</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UC-01, UC-02, UC-03 functional testing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100% (40 hrs/sprint)</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Sprints 1–6, 12, Final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Engineer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security, AI quality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(40 hrs/sprint)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Sprints 7–11, UAT</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DevOps Engineer</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Staging environments, k6 load testing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25% (10 hrs/sprint)</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Sprints 7–8,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UAT facilitation, acceptance sign-off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(8 hrs/sprint)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UAT sprint + Final</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External Pen Tester</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Security assessment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Fixed engagement</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Sprint 9</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7. Test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Strategy Document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testing philosophy, levels, and approach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2026 — COMPLETE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Test Case Specification</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All 13 test cases fully documented</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April 27, 2026 —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Test 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Per-sprint execution summary with pass/fail stats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 of each sprint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Performance Test Report (NFR)</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k6, Lighthouse, STT harness results</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August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Test Report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ZAP scan + pen test findings and remediations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September 2026</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AI Quality Evaluation Report</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BLEU/BERTScore results across 12 languages</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September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UAT Sign-off Report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 user task completion and NPS results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November 2026</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Final Regression Report</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Last pre-launch full test execution summary</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December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 Go/No-Go Checklist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CTO + Product Lead sign-off document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December 2026</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8.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CTO / Technical Lead</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Test Plan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2026-05-16T09:50:25.634Z</dcterms:created>
  <dcterms:modified xsi:type="dcterms:W3CDTF">2026-05-16T09:50:25.635Z</dcterms:modified>
</cp:coreProperties>
</file>

<file path=docProps/custom.xml><?xml version="1.0" encoding="utf-8"?>
<Properties xmlns="http://schemas.openxmlformats.org/officeDocument/2006/custom-properties" xmlns:vt="http://schemas.openxmlformats.org/officeDocument/2006/docPropsVTypes"/>
</file>