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2A44"/>
          <w:sz w:val="56"/>
          <w:szCs w:val="56"/>
        </w:rPr>
        <w:t xml:space="preserve">ASTARTER</w:t>
      </w:r>
    </w:p>
    <w:p>
      <w:pPr>
        <w:spacing w:after="400"/>
        <w:jc w:val="center"/>
      </w:pPr>
      <w:r>
        <w:rPr>
          <w:b/>
          <w:bCs/>
          <w:color w:val="6F00FF"/>
          <w:sz w:val="32"/>
          <w:szCs w:val="32"/>
        </w:rPr>
        <w:t xml:space="preserve">项目动态宣发包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5 个优先推荐动态 · 完整稿件 · 配套主图</w:t>
      </w:r>
    </w:p>
    <w:p>
      <w:pPr>
        <w:spacing w:after="400"/>
        <w:jc w:val="center"/>
      </w:pPr>
      <w:r>
        <w:rPr>
          <w:i/>
          <w:iCs/>
          <w:color w:val="888888"/>
          <w:sz w:val="16"/>
          <w:szCs w:val="16"/>
        </w:rPr>
        <w:t xml:space="preserve">飞哥媒体网络分发使用 · 2026.05.24</w:t>
      </w:r>
    </w:p>
    <w:p>
      <w:pPr>
        <w:spacing w:after="200" w:before="400"/>
        <w:jc w:val="center"/>
      </w:pPr>
      <w:r>
        <w:drawing>
          <wp:inline distT="0" distB="0" distL="0" distR="0">
            <wp:extent cx="4572000" cy="1857375"/>
            <wp:effectExtent t="0" r="0" b="0" l="0"/>
            <wp:docPr id="1" name="master-banner" descr="Astarter promo master banner" title="Master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1F2A44"/>
          <w:sz w:val="18"/>
          <w:szCs w:val="18"/>
        </w:rPr>
        <w:t xml:space="preserve">CONTENTS</w:t>
      </w:r>
    </w:p>
    <w:p>
      <w:pPr>
        <w:spacing w:after="70"/>
        <w:jc w:val="center"/>
      </w:pPr>
      <w:r>
        <w:rPr>
          <w:color w:val="555555"/>
          <w:sz w:val="16"/>
          <w:szCs w:val="16"/>
        </w:rPr>
        <w:t xml:space="preserve">1. 内容包说明</w:t>
      </w:r>
    </w:p>
    <w:p>
      <w:pPr>
        <w:spacing w:after="70"/>
        <w:jc w:val="center"/>
      </w:pPr>
      <w:r>
        <w:rPr>
          <w:color w:val="555555"/>
          <w:sz w:val="16"/>
          <w:szCs w:val="16"/>
        </w:rPr>
        <w:t xml:space="preserve">2. 5 个优先动态完整稿件（含配图）</w:t>
      </w:r>
    </w:p>
    <w:p>
      <w:pPr>
        <w:spacing w:after="70"/>
        <w:jc w:val="center"/>
      </w:pPr>
      <w:r>
        <w:rPr>
          <w:color w:val="555555"/>
          <w:sz w:val="16"/>
          <w:szCs w:val="16"/>
        </w:rPr>
        <w:t xml:space="preserve">3. 完整 12 个动态简明清单</w:t>
      </w:r>
    </w:p>
    <w:p>
      <w:pPr>
        <w:spacing w:after="70"/>
        <w:jc w:val="center"/>
      </w:pPr>
      <w:r>
        <w:rPr>
          <w:color w:val="555555"/>
          <w:sz w:val="16"/>
          <w:szCs w:val="16"/>
        </w:rPr>
        <w:t xml:space="preserve">4. 媒体分发路由建议</w:t>
      </w:r>
    </w:p>
    <w:p>
      <w:pPr>
        <w:spacing w:after="70"/>
        <w:jc w:val="center"/>
      </w:pPr>
      <w:r>
        <w:rPr>
          <w:color w:val="555555"/>
          <w:sz w:val="16"/>
          <w:szCs w:val="16"/>
        </w:rPr>
        <w:t xml:space="preserve">5. 节奏建议 + 注意事项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内容包说明</w:t>
      </w:r>
    </w:p>
    <w:p>
      <w:pPr>
        <w:spacing w:after="160" w:line="300"/>
      </w:pPr>
      <w:r>
        <w:t xml:space="preserve">本内容包用于 Cointime + 飞哥媒体网络的项目动态宣发分发。</w:t>
      </w:r>
    </w:p>
    <w:p>
      <w:pPr>
        <w:spacing w:after="160" w:line="300"/>
      </w:pPr>
      <w:r>
        <w:t xml:space="preserve">整体思路：以 12 个核心项目动态为骨架，每个动态做成独立成稿，分发到不同媒体。本文档收录推荐优先的 5 个动态，覆盖叙事强化 + 战略合作 + 类别定位 + 架构差异化 + 开发者邀请。</w:t>
      </w:r>
    </w:p>
    <w:p>
      <w:pPr>
        <w:spacing w:after="160" w:line="300"/>
      </w:pPr>
      <w:r>
        <w:t xml:space="preserve">完整 12 个动态版本可按需提供（包括长稿、多语言版本、社交渠道版本等）。</w:t>
      </w:r>
    </w:p>
    <w:p>
      <w:pPr>
        <w:spacing w:after="200"/>
      </w:pPr>
      <w:r>
        <w:rPr>
          <w:i/>
          <w:iCs/>
          <w:color w:val="555555"/>
        </w:rPr>
        <w:t xml:space="preserve">提示：每个动态都是独立成稿，可单独投放任意一家媒体。建议节奏为一周 2-3 篇，覆盖 4-6 周时间。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5 个优先动态完整稿件</w:t>
      </w:r>
    </w:p>
    <w:p>
      <w:pPr>
        <w:pStyle w:val="Heading2"/>
        <w:spacing w:after="120" w:before="280"/>
      </w:pPr>
      <w:r>
        <w:t xml:space="preserve">动态 ① — Cointime 长文重磅上线</w:t>
      </w:r>
    </w:p>
    <w:p>
      <w:pPr>
        <w:spacing w:after="200"/>
      </w:pPr>
      <w:r>
        <w:rPr>
          <w:i/>
          <w:iCs/>
          <w:color w:val="555555"/>
        </w:rPr>
        <w:t xml:space="preserve">定位：自我强化 — Cointime 已发文章的二次曝光快讯。</w:t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推荐首发：金色财经（快讯转载）+ Cointime 子站</w:t>
      </w:r>
    </w:p>
    <w:p>
      <w:pPr>
        <w:pStyle w:val="Heading3"/>
        <w:spacing w:after="100" w:before="200"/>
      </w:pPr>
      <w:r>
        <w:rPr>
          <w:color w:val="6F00FF"/>
        </w:rPr>
        <w:t xml:space="preserve">标题：Astarter 联合 Cointime 发布 Web4 AI Agent 时代深度长文</w:t>
      </w:r>
    </w:p>
    <w:p>
      <w:pPr>
        <w:spacing w:after="160" w:line="300"/>
      </w:pPr>
      <w:r>
        <w:t xml:space="preserve">2026 年 5 月 24 日，Cardano 生态基础设施平台 Astarter 联合头部加密媒体 Cointime 正式发布深度长文《ASTARTER 引领 Web4 AI Agent 时代》，系统阐述项目在自主 AI Agent 经济中的战略定位。长文首次完整呈现 Astarter 的「AI Agent 经济清算层」叙事，深入分析当前 AI Agent、DePIN 与 DeFAI 三大趋势的融合架构，并解读 Astarter 与 UXLINK 战略联盟在该结构中的角色。文章已上线 Cointime「精选」栏目，由编辑 cointime 子凡 发布。Astarter 团队表示，后续将有更多生态及合作伙伴动态陆续公布。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dynamic-01-cointime-launch.png" descr="dynamic-01-cointime-launch.png" title="dynamic-01-cointime-lau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🌐 astarter.io · @AstarterDefiHub</w:t>
      </w:r>
    </w:p>
    <w:p>
      <w:pPr>
        <w:pStyle w:val="Heading2"/>
        <w:spacing w:after="120" w:before="280"/>
      </w:pPr>
      <w:r>
        <w:t xml:space="preserve">动态 ② — Astarter × UXLINK 战略联盟</w:t>
      </w:r>
    </w:p>
    <w:p>
      <w:pPr>
        <w:spacing w:after="200"/>
      </w:pPr>
      <w:r>
        <w:rPr>
          <w:i/>
          <w:iCs/>
          <w:color w:val="555555"/>
        </w:rPr>
        <w:t xml:space="preserve">定位：5/15 公告的二次包装 — 用结构性叙事重新阐述。</w:t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推荐首发：PANews + Cointelegraph 中文</w:t>
      </w:r>
    </w:p>
    <w:p>
      <w:pPr>
        <w:pStyle w:val="Heading3"/>
        <w:spacing w:after="100" w:before="200"/>
      </w:pPr>
      <w:r>
        <w:rPr>
          <w:color w:val="6F00FF"/>
        </w:rPr>
        <w:t xml:space="preserve">标题：Astarter 与 UXLINK 达成战略联盟 共建 Web4 AI Agent 经济执行层</w:t>
      </w:r>
    </w:p>
    <w:p>
      <w:pPr>
        <w:spacing w:after="160" w:line="300"/>
      </w:pPr>
      <w:r>
        <w:t xml:space="preserve">2026 年 5 月 15 日，Cardano 原生 DeFi 基础设施平台 Astarter 宣布与 Web3 头部社交增长网络 UXLINK 达成战略联盟，共同构建自主 AI Agent 经济的执行 + 分发一体化堆栈。本次合作将 Astarter 的四大产品 DeFi 堆栈——Launchpad、DEX、Money Market、Tech Service Platform——与 UXLINK 在 Web3 中规模较大的活跃社交图谱分发面结合。Astarter 自身将该联合堆栈定义为「融合 AI Agent、DePIN 与 DeFAI」。业内分析认为，该联盟是 AI Agent 经济领域首次将执行层与分发层在同一合作框架下完整捆绑，结构性意义显著。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dynamic-02-uxlink-alliance.png" descr="dynamic-02-uxlink-alliance.png" title="dynamic-02-uxlink-alli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🌐 astarter.io · @AstarterDefiHub</w:t>
      </w:r>
    </w:p>
    <w:p>
      <w:pPr>
        <w:pStyle w:val="Heading2"/>
        <w:spacing w:after="120" w:before="280"/>
      </w:pPr>
      <w:r>
        <w:t xml:space="preserve">动态 ④ — DeFAI 类别先发占位</w:t>
      </w:r>
    </w:p>
    <w:p>
      <w:pPr>
        <w:spacing w:after="200"/>
      </w:pPr>
      <w:r>
        <w:rPr>
          <w:i/>
          <w:iCs/>
          <w:color w:val="555555"/>
        </w:rPr>
        <w:t xml:space="preserve">定位：类别 / 行业分析 — 讲整个 DeFAI 类别的结构 + 为何 Astarter 位置稀缺。</w:t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推荐首发：巴比特 + BlockBeats</w:t>
      </w:r>
    </w:p>
    <w:p>
      <w:pPr>
        <w:pStyle w:val="Heading3"/>
        <w:spacing w:after="100" w:before="200"/>
      </w:pPr>
      <w:r>
        <w:rPr>
          <w:color w:val="6F00FF"/>
        </w:rPr>
        <w:t xml:space="preserve">标题：Astarter 锁定 DeFAI 清算层 在新兴类别中占据未被竞争对手填补的关键位置</w:t>
      </w:r>
    </w:p>
    <w:p>
      <w:pPr>
        <w:spacing w:after="160" w:line="300"/>
      </w:pPr>
      <w:r>
        <w:t xml:space="preserve">随着 DeFAI（去中心化金融 × 自主 AI 执行）类别在 2026 年迅速崛起，Astarter 已锁定该类别中尚未被竞争对手完整占据的「清算层」位置。业内对比分析显示，AI Agent 经济四层架构中——行为者、部署、协调、清算——前三层已有 Olas、Virtuals、Fetch.ai 等多家头部项目布局，唯独「清算层」长期空缺。Astarter 凭借自 2021 年起持续运行的四产品 DeFi 堆栈，成为目前唯一在该层公开占位的代表项目之一。历史经验表明，金融基础设施类别中「清算层」往往捕获最大份额的长期价值——参考 Visa、Stripe、USDT、Lido 在各自周期中的角色。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dynamic-04-defai-positioning.png" descr="dynamic-04-defai-positioning.png" title="dynamic-04-defai-positio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🌐 astarter.io · @AstarterDefiHub</w:t>
      </w:r>
    </w:p>
    <w:p>
      <w:pPr>
        <w:pStyle w:val="Heading2"/>
        <w:spacing w:after="120" w:before="280"/>
      </w:pPr>
      <w:r>
        <w:t xml:space="preserve">动态 ⑨ — AI Agent × DePIN × DeFAI 三层融合架构</w:t>
      </w:r>
    </w:p>
    <w:p>
      <w:pPr>
        <w:spacing w:after="200"/>
      </w:pPr>
      <w:r>
        <w:rPr>
          <w:i/>
          <w:iCs/>
          <w:color w:val="555555"/>
        </w:rPr>
        <w:t xml:space="preserve">定位：架构差异化 — 大多数项目只覆盖一层，Astarter 覆盖三层。</w:t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推荐首发：BlockBeats + 深潮 TechFlow</w:t>
      </w:r>
    </w:p>
    <w:p>
      <w:pPr>
        <w:pStyle w:val="Heading3"/>
        <w:spacing w:after="100" w:before="200"/>
      </w:pPr>
      <w:r>
        <w:rPr>
          <w:color w:val="6F00FF"/>
        </w:rPr>
        <w:t xml:space="preserve">标题：Astarter 公开三层融合架构 协调 AI Agent + DePIN + DeFAI 三大趋势</w:t>
      </w:r>
    </w:p>
    <w:p>
      <w:pPr>
        <w:spacing w:after="160" w:line="300"/>
      </w:pPr>
      <w:r>
        <w:t xml:space="preserve">Astarter 在近期公开材料中正式发布「三层融合架构」——将 AI Agent（行为者）、DePIN（算力底层）与 DeFAI（金融层）三大独立趋势在统一堆栈中协调。项目自身将该架构概括为：「Astarter 正在构建自主 AI Agent 经济的基础设施——融合 AI Agent、DePIN 与 DeFAI。」业内分析认为，该三层架构是 AI Agent 经济领域少数公开承诺覆盖全部三层的项目方案。大多数同类项目仅覆盖其中一层，Astarter 与 UXLINK 战略联盟则是首次在同一合作框架下完整覆盖三层的公开尝试。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dynamic-09-three-layer.png" descr="dynamic-09-three-layer.png" title="dynamic-09-three-la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🌐 astarter.io · @AstarterDefiHub</w:t>
      </w:r>
    </w:p>
    <w:p>
      <w:pPr>
        <w:pStyle w:val="Heading2"/>
        <w:spacing w:after="120" w:before="280"/>
      </w:pPr>
      <w:r>
        <w:t xml:space="preserve">动态 ⑫ — 开发者生态启动信号</w:t>
      </w:r>
    </w:p>
    <w:p>
      <w:pPr>
        <w:spacing w:after="200"/>
      </w:pPr>
      <w:r>
        <w:rPr>
          <w:i/>
          <w:iCs/>
          <w:color w:val="555555"/>
        </w:rPr>
        <w:t xml:space="preserve">定位：前瞻信号 — 邀请开发者，给市场"未来 2 季度内具体产出"的预期。</w:t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推荐首发：巴比特 + 深潮 TechFlow</w:t>
      </w:r>
    </w:p>
    <w:p>
      <w:pPr>
        <w:pStyle w:val="Heading3"/>
        <w:spacing w:after="100" w:before="200"/>
      </w:pPr>
      <w:r>
        <w:rPr>
          <w:color w:val="6F00FF"/>
        </w:rPr>
        <w:t xml:space="preserve">标题：Astarter 释放开发者生态启动信号 DeFAI 执行层 Beta 预计未来两季度内落地</w:t>
      </w:r>
    </w:p>
    <w:p>
      <w:pPr>
        <w:spacing w:after="160" w:line="300"/>
      </w:pPr>
      <w:r>
        <w:t xml:space="preserve">Astarter 近期释放明确的开发者生态启动信号——其 DeFAI 执行层 Beta 与 Quickstart 开发者文档预计将在未来两个季度内落地，正式向 Web3 开发者社区开放构建。项目计划提供完整的开发者支持包，包括 Quickstart 教程、架构文档、RFC 模板、代码示例库以及专属开发者 Discord 频道。开发者可在 AI Agent 经济基础设施层上构建自主 Agent 应用，并使用 Astarter 的清算、信贷与流动性原语。具体的 SDK 发布时间与首批生态合作伙伴名单将在后续公告中公布。Astarter 邀请有兴趣的开发者通过 @AstarterDefiHub 关注后续进展。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dynamic-12-developer-eco.png" descr="dynamic-12-developer-eco.png" title="dynamic-12-developer-e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🌐 astarter.io · @AstarterDefiHub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完整 12 个动态简明清单</w:t>
      </w:r>
    </w:p>
    <w:p>
      <w:pPr>
        <w:spacing w:after="160" w:line="300"/>
      </w:pPr>
      <w:r>
        <w:t xml:space="preserve">除了上面 5 个优先动态外，下列 7 个备用动态可在第二轮分发时使用。每个动态的完整短稿可按需提供。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③ </w:t>
      </w:r>
      <w:r>
        <w:rPr>
          <w:b/>
          <w:bCs/>
        </w:rPr>
        <w:t xml:space="preserve">Web 4.0 AI Agent 经济叙事</w:t>
      </w:r>
      <w:r>
        <w:rPr>
          <w:color w:val="555555"/>
        </w:rPr>
        <w:t xml:space="preserve">  —  行业级叙事领导  ·  推荐：深潮 TechFlow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⑤ </w:t>
      </w:r>
      <w:r>
        <w:rPr>
          <w:b/>
          <w:bCs/>
        </w:rPr>
        <w:t xml:space="preserve">AA Token AA1→AA2 过渡</w:t>
      </w:r>
      <w:r>
        <w:rPr>
          <w:color w:val="555555"/>
        </w:rPr>
        <w:t xml:space="preserve">  —  代币模型升级  ·  推荐：火星财经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⑥ </w:t>
      </w:r>
      <w:r>
        <w:rPr>
          <w:b/>
          <w:bCs/>
        </w:rPr>
        <w:t xml:space="preserve">四产品堆栈重新定位</w:t>
      </w:r>
      <w:r>
        <w:rPr>
          <w:color w:val="555555"/>
        </w:rPr>
        <w:t xml:space="preserve">  —  不是转型是识别  ·  推荐：Cointelegraph 中文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⑦ </w:t>
      </w:r>
      <w:r>
        <w:rPr>
          <w:b/>
          <w:bCs/>
        </w:rPr>
        <w:t xml:space="preserve">多链扩展路线图</w:t>
      </w:r>
      <w:r>
        <w:rPr>
          <w:color w:val="555555"/>
        </w:rPr>
        <w:t xml:space="preserve">  —  跨链信号  ·  推荐：PANews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⑧ </w:t>
      </w:r>
      <w:r>
        <w:rPr>
          <w:b/>
          <w:bCs/>
        </w:rPr>
        <w:t xml:space="preserve">EMURGO 持续支持</w:t>
      </w:r>
      <w:r>
        <w:rPr>
          <w:color w:val="555555"/>
        </w:rPr>
        <w:t xml:space="preserve">  —  机构信用基础  ·  推荐：链得得 + 巴比特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⑩ </w:t>
      </w:r>
      <w:r>
        <w:rPr>
          <w:b/>
          <w:bCs/>
        </w:rPr>
        <w:t xml:space="preserve">Cardano 生态 AI 代表</w:t>
      </w:r>
      <w:r>
        <w:rPr>
          <w:color w:val="555555"/>
        </w:rPr>
        <w:t xml:space="preserve">  —  生态承载点  ·  推荐：Cardano 中文社区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⑪ </w:t>
      </w:r>
      <w:r>
        <w:rPr>
          <w:b/>
          <w:bCs/>
        </w:rPr>
        <w:t xml:space="preserve">媒体合作矩阵扩展</w:t>
      </w:r>
      <w:r>
        <w:rPr>
          <w:color w:val="555555"/>
        </w:rPr>
        <w:t xml:space="preserve">  —  自我强化  ·  推荐：Cointime 子站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媒体分发路由建议</w:t>
      </w:r>
    </w:p>
    <w:p>
      <w:pPr>
        <w:spacing w:after="160" w:line="300"/>
      </w:pPr>
      <w:r>
        <w:t xml:space="preserve">下表为各家媒体的推荐对接动态。最终路由请按飞哥实际对接的媒体名单为准。</w:t>
      </w:r>
    </w:p>
    <w:p>
      <w:pPr>
        <w:spacing w:after="80"/>
      </w:pPr>
      <w:r>
        <w:rPr>
          <w:b/>
          <w:bCs/>
        </w:rPr>
        <w:t xml:space="preserve">PANews 中文</w:t>
      </w:r>
      <w:r>
        <w:t xml:space="preserve">  →  </w:t>
      </w:r>
      <w:r>
        <w:rPr>
          <w:b/>
          <w:bCs/>
          <w:color w:val="6F00FF"/>
        </w:rPr>
        <w:t xml:space="preserve">②（UXLINK）+ ⑦（多链）</w:t>
      </w:r>
      <w:r>
        <w:rPr>
          <w:color w:val="888888"/>
        </w:rPr>
        <w:t xml:space="preserve">  （PANews 偏战略合作 + 技术路线图）</w:t>
      </w:r>
    </w:p>
    <w:p>
      <w:pPr>
        <w:spacing w:after="80"/>
      </w:pPr>
      <w:r>
        <w:rPr>
          <w:b/>
          <w:bCs/>
        </w:rPr>
        <w:t xml:space="preserve">BlockBeats 律动</w:t>
      </w:r>
      <w:r>
        <w:t xml:space="preserve">  →  </w:t>
      </w:r>
      <w:r>
        <w:rPr>
          <w:b/>
          <w:bCs/>
          <w:color w:val="6F00FF"/>
        </w:rPr>
        <w:t xml:space="preserve">⑨（三层架构）+ ④（DeFAI）</w:t>
      </w:r>
      <w:r>
        <w:rPr>
          <w:color w:val="888888"/>
        </w:rPr>
        <w:t xml:space="preserve">  （BlockBeats 偏类别定义性分析）</w:t>
      </w:r>
    </w:p>
    <w:p>
      <w:pPr>
        <w:spacing w:after="80"/>
      </w:pPr>
      <w:r>
        <w:rPr>
          <w:b/>
          <w:bCs/>
        </w:rPr>
        <w:t xml:space="preserve">深潮 TechFlow</w:t>
      </w:r>
      <w:r>
        <w:t xml:space="preserve">  →  </w:t>
      </w:r>
      <w:r>
        <w:rPr>
          <w:b/>
          <w:bCs/>
          <w:color w:val="6F00FF"/>
        </w:rPr>
        <w:t xml:space="preserve">③（Web 4.0 叙事）+ ⑫（开发者）</w:t>
      </w:r>
      <w:r>
        <w:rPr>
          <w:color w:val="888888"/>
        </w:rPr>
        <w:t xml:space="preserve">  （TechFlow 偏叙事领导 + 开发者社区）</w:t>
      </w:r>
    </w:p>
    <w:p>
      <w:pPr>
        <w:spacing w:after="80"/>
      </w:pPr>
      <w:r>
        <w:rPr>
          <w:b/>
          <w:bCs/>
        </w:rPr>
        <w:t xml:space="preserve">巴比特</w:t>
      </w:r>
      <w:r>
        <w:t xml:space="preserve">  →  </w:t>
      </w:r>
      <w:r>
        <w:rPr>
          <w:b/>
          <w:bCs/>
          <w:color w:val="6F00FF"/>
        </w:rPr>
        <w:t xml:space="preserve">⑧（EMURGO）+ ⑩（Cardano AI）</w:t>
      </w:r>
      <w:r>
        <w:rPr>
          <w:color w:val="888888"/>
        </w:rPr>
        <w:t xml:space="preserve">  （巴比特偏机构信用 + Cardano 生态）</w:t>
      </w:r>
    </w:p>
    <w:p>
      <w:pPr>
        <w:spacing w:after="80"/>
      </w:pPr>
      <w:r>
        <w:rPr>
          <w:b/>
          <w:bCs/>
        </w:rPr>
        <w:t xml:space="preserve">链得得</w:t>
      </w:r>
      <w:r>
        <w:t xml:space="preserve">  →  </w:t>
      </w:r>
      <w:r>
        <w:rPr>
          <w:b/>
          <w:bCs/>
          <w:color w:val="6F00FF"/>
        </w:rPr>
        <w:t xml:space="preserve">⑥（堆栈重定位）+ ⑪（媒体矩阵）</w:t>
      </w:r>
      <w:r>
        <w:rPr>
          <w:color w:val="888888"/>
        </w:rPr>
        <w:t xml:space="preserve">  （链得得偏运营 / 业务状态）</w:t>
      </w:r>
    </w:p>
    <w:p>
      <w:pPr>
        <w:spacing w:after="80"/>
      </w:pPr>
      <w:r>
        <w:rPr>
          <w:b/>
          <w:bCs/>
        </w:rPr>
        <w:t xml:space="preserve">火星财经</w:t>
      </w:r>
      <w:r>
        <w:t xml:space="preserve">  →  </w:t>
      </w:r>
      <w:r>
        <w:rPr>
          <w:b/>
          <w:bCs/>
          <w:color w:val="6F00FF"/>
        </w:rPr>
        <w:t xml:space="preserve">⑤（AA Token AA1→AA2）</w:t>
      </w:r>
      <w:r>
        <w:rPr>
          <w:color w:val="888888"/>
        </w:rPr>
        <w:t xml:space="preserve">  （火星偏代币 / 代币经济）</w:t>
      </w:r>
    </w:p>
    <w:p>
      <w:pPr>
        <w:spacing w:after="80"/>
      </w:pPr>
      <w:r>
        <w:rPr>
          <w:b/>
          <w:bCs/>
        </w:rPr>
        <w:t xml:space="preserve">金色财经</w:t>
      </w:r>
      <w:r>
        <w:t xml:space="preserve">  →  </w:t>
      </w:r>
      <w:r>
        <w:rPr>
          <w:b/>
          <w:bCs/>
          <w:color w:val="6F00FF"/>
        </w:rPr>
        <w:t xml:space="preserve">①（Cointime 上线快讯）</w:t>
      </w:r>
      <w:r>
        <w:rPr>
          <w:color w:val="888888"/>
        </w:rPr>
        <w:t xml:space="preserve">  （金色快讯转载强）</w:t>
      </w:r>
    </w:p>
    <w:p>
      <w:pPr>
        <w:spacing w:after="80"/>
      </w:pPr>
      <w:r>
        <w:rPr>
          <w:b/>
          <w:bCs/>
        </w:rPr>
        <w:t xml:space="preserve">Cointelegraph 中文</w:t>
      </w:r>
      <w:r>
        <w:t xml:space="preserve">  →  </w:t>
      </w:r>
      <w:r>
        <w:rPr>
          <w:b/>
          <w:bCs/>
          <w:color w:val="6F00FF"/>
        </w:rPr>
        <w:t xml:space="preserve">②/③/⑦ 任选</w:t>
      </w:r>
      <w:r>
        <w:rPr>
          <w:color w:val="888888"/>
        </w:rPr>
        <w:t xml:space="preserve">  （双语 + 国际化偏好）</w:t>
      </w:r>
    </w:p>
    <w:p>
      <w:pPr>
        <w:spacing w:after="80"/>
      </w:pPr>
      <w:r>
        <w:rPr>
          <w:b/>
          <w:bCs/>
        </w:rPr>
        <w:t xml:space="preserve">链闻 ChainNews</w:t>
      </w:r>
      <w:r>
        <w:t xml:space="preserve">  →  </w:t>
      </w:r>
      <w:r>
        <w:rPr>
          <w:b/>
          <w:bCs/>
          <w:color w:val="6F00FF"/>
        </w:rPr>
        <w:t xml:space="preserve">⑫（开发者）</w:t>
      </w:r>
      <w:r>
        <w:rPr>
          <w:color w:val="888888"/>
        </w:rPr>
        <w:t xml:space="preserve">  （开发者读者集中）</w:t>
      </w:r>
    </w:p>
    <w:p>
      <w:pPr>
        <w:spacing w:after="80"/>
      </w:pPr>
      <w:r>
        <w:rPr>
          <w:b/>
          <w:bCs/>
        </w:rPr>
        <w:t xml:space="preserve">Cardano 中文社区</w:t>
      </w:r>
      <w:r>
        <w:t xml:space="preserve">  →  </w:t>
      </w:r>
      <w:r>
        <w:rPr>
          <w:b/>
          <w:bCs/>
          <w:color w:val="6F00FF"/>
        </w:rPr>
        <w:t xml:space="preserve">⑩（Cardano AI 代表）+ ⑧（EMURGO）</w:t>
      </w:r>
      <w:r>
        <w:rPr>
          <w:color w:val="888888"/>
        </w:rPr>
        <w:t xml:space="preserve">  （生态相关）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节奏建议 + 注意事项</w:t>
      </w:r>
    </w:p>
    <w:p>
      <w:pPr>
        <w:pStyle w:val="Heading2"/>
        <w:spacing w:after="120" w:before="280"/>
      </w:pPr>
      <w:r>
        <w:t xml:space="preserve">节奏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一周 2-3 篇，覆盖 4-6 周时间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避免同一周集中推所有内容（会稀释每篇的曝光价值）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每篇稿件之间间隔 2-3 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每篇都配合对应配图发布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每篇发布后，请把链接转给我们记录</w:t>
      </w:r>
    </w:p>
    <w:p>
      <w:pPr>
        <w:pStyle w:val="Heading2"/>
        <w:spacing w:after="120" w:before="280"/>
      </w:pPr>
      <w:r>
        <w:t xml:space="preserve">注意事项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稿件字数可微调，但核心事实陈述不要修改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标题可使用本文版本或备选（每动态都准备了 3 个备选标题，按需取用）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如媒体编辑想要更长 / 更短版本，可联系我们 24 小时内出新版本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配图建议直接使用，不要二次加水印或修改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所有稿件均为第三方报道口吻，可作为非署名快讯投放</w:t>
      </w:r>
    </w:p>
    <w:p>
      <w:pPr>
        <w:pStyle w:val="Heading2"/>
        <w:spacing w:after="120" w:before="280"/>
      </w:pPr>
      <w:r>
        <w:t xml:space="preserve">暂不可披露的信息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AA Token 具体 TGE 日期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具体上线交易所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未公布的第二条公链具体名字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未公布的合作伙伴名字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内部财务数据</w:t>
      </w:r>
    </w:p>
    <w:p>
      <w:pPr>
        <w:spacing w:after="200"/>
      </w:pPr>
      <w:r>
        <w:rPr>
          <w:i/>
          <w:iCs/>
          <w:color w:val="555555"/>
        </w:rPr>
        <w:t xml:space="preserve">如媒体问到上述内容，标准答复：「将随正式代币经济白皮书一并公布。」</w:t>
      </w:r>
    </w:p>
    <w:p>
      <w:pPr>
        <w:pStyle w:val="Heading2"/>
        <w:spacing w:after="120" w:before="280"/>
      </w:pPr>
      <w:r>
        <w:t xml:space="preserve">联系</w:t>
      </w:r>
    </w:p>
    <w:p>
      <w:pPr>
        <w:spacing w:after="160" w:line="300"/>
      </w:pPr>
      <w:r>
        <w:t xml:space="preserve">如有任何修改、补充、新动态、或具体媒体的定制版本需求，请联系。24 小时内可出新版本。</w:t>
      </w:r>
    </w:p>
    <w:p>
      <w:pPr>
        <w:spacing w:after="8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astarter.io  ·  @AstarterDefiHub  ·  docs.astarter.io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 ·  astarter.io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Astarter 项目动态宣发包 · 2026.05.24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6F00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16243697fa99f18aff394a39d99faf62c156fd.png"/><Relationship Id="rId10" Type="http://schemas.openxmlformats.org/officeDocument/2006/relationships/image" Target="media/4d2541a7781620b347ed4042cda696cb5e725a92.png"/><Relationship Id="rId11" Type="http://schemas.openxmlformats.org/officeDocument/2006/relationships/image" Target="media/4fc2b7d6255d596cb851e5663dc7d9d743d90c42.png"/><Relationship Id="rId12" Type="http://schemas.openxmlformats.org/officeDocument/2006/relationships/image" Target="media/167511abe1192efbae4175651b7904b5e16bc2af.png"/><Relationship Id="rId13" Type="http://schemas.openxmlformats.org/officeDocument/2006/relationships/image" Target="media/0c251d84ec65709bdb101576bb935758dc16bbfb.png"/><Relationship Id="rId14" Type="http://schemas.openxmlformats.org/officeDocument/2006/relationships/image" Target="media/7adf2c30516aa5565e7eecd00fabdc74a8ae844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Astarter 项目动态宣发包</dc:title>
  <dc:creator>Astarter 宣发台</dc:creator>
  <cp:lastModifiedBy>Un-named</cp:lastModifiedBy>
  <cp:revision>1</cp:revision>
  <dcterms:created xsi:type="dcterms:W3CDTF">2026-05-24T10:09:05.032Z</dcterms:created>
  <dcterms:modified xsi:type="dcterms:W3CDTF">2026-05-24T10:09:05.033Z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