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2A44"/>
          <w:sz w:val="56"/>
          <w:szCs w:val="56"/>
        </w:rPr>
        <w:t xml:space="preserve">ASTARTER × COINTIME</w:t>
      </w:r>
    </w:p>
    <w:p>
      <w:pPr>
        <w:spacing w:after="480"/>
        <w:jc w:val="center"/>
      </w:pPr>
      <w:r>
        <w:rPr>
          <w:b/>
          <w:bCs/>
          <w:color w:val="6F00FF"/>
          <w:sz w:val="44"/>
          <w:szCs w:val="44"/>
        </w:rPr>
        <w:t xml:space="preserve">MEDIA PACKAGE</w:t>
      </w:r>
    </w:p>
    <w:p>
      <w:pPr>
        <w:spacing w:after="240"/>
        <w:jc w:val="center"/>
      </w:pPr>
      <w:r>
        <w:rPr>
          <w:i/>
          <w:iCs/>
          <w:color w:val="555555"/>
          <w:sz w:val="26"/>
          <w:szCs w:val="26"/>
        </w:rPr>
        <w:t xml:space="preserve">Prepared for GK review</w:t>
      </w:r>
    </w:p>
    <w:p>
      <w:pPr>
        <w:spacing w:after="720"/>
        <w:jc w:val="center"/>
      </w:pPr>
      <w:r>
        <w:rPr>
          <w:i/>
          <w:iCs/>
          <w:color w:val="555555"/>
          <w:sz w:val="26"/>
          <w:szCs w:val="26"/>
        </w:rPr>
        <w:t xml:space="preserve">2026-05-24</w:t>
      </w:r>
    </w:p>
    <w:p>
      <w:pPr>
        <w:spacing w:after="200" w:before="1200"/>
        <w:jc w:val="center"/>
      </w:pPr>
      <w:r>
        <w:rPr>
          <w:b/>
          <w:bCs/>
          <w:color w:val="1F2A44"/>
          <w:sz w:val="24"/>
          <w:szCs w:val="24"/>
        </w:rPr>
        <w:t xml:space="preserve">CONTENTS</w:t>
      </w:r>
    </w:p>
    <w:p>
      <w:pPr>
        <w:spacing w:after="120"/>
        <w:jc w:val="center"/>
      </w:pPr>
      <w:r>
        <w:rPr>
          <w:sz w:val="22"/>
          <w:szCs w:val="22"/>
        </w:rPr>
        <w:t xml:space="preserve">1. Long-Form Feature  (~1,850 words)</w:t>
      </w:r>
    </w:p>
    <w:p>
      <w:pPr>
        <w:spacing w:after="120"/>
        <w:jc w:val="center"/>
      </w:pPr>
      <w:r>
        <w:rPr>
          <w:sz w:val="22"/>
          <w:szCs w:val="22"/>
        </w:rPr>
        <w:t xml:space="preserve">2. News Flash  (~245 words)</w:t>
      </w:r>
    </w:p>
    <w:p>
      <w:pPr>
        <w:spacing w:after="120"/>
        <w:jc w:val="center"/>
      </w:pPr>
      <w:r>
        <w:rPr>
          <w:sz w:val="22"/>
          <w:szCs w:val="22"/>
        </w:rPr>
        <w:t xml:space="preserve">3. Source Dossier  (claim → URL → tier)</w:t>
      </w:r>
    </w:p>
    <w:p>
      <w:pPr>
        <w:spacing w:after="120"/>
        <w:jc w:val="center"/>
      </w:pPr>
      <w:r>
        <w:rPr>
          <w:sz w:val="22"/>
          <w:szCs w:val="22"/>
        </w:rPr>
        <w:t xml:space="preserve">4. Analyst Notes &amp; Open Items for GK</w:t>
      </w:r>
    </w:p>
    <w:p>
      <w:r>
        <w:br w:type="page"/>
      </w:r>
    </w:p>
    <w:p>
      <w:pPr>
        <w:pStyle w:val="Heading1"/>
        <w:spacing w:after="200" w:before="360"/>
      </w:pPr>
      <w:r>
        <w:t xml:space="preserve">1. Long-Form Feature</w:t>
      </w:r>
    </w:p>
    <w:p>
      <w:pPr>
        <w:spacing w:after="240"/>
      </w:pPr>
      <w:r>
        <w:rPr>
          <w:b/>
          <w:bCs/>
          <w:color w:val="1F2A44"/>
          <w:sz w:val="32"/>
          <w:szCs w:val="32"/>
        </w:rPr>
        <w:t xml:space="preserve">DeFi's Next Bottleneck Isn't Liquidity — It's Settlement: How Astarter Is Quietly Positioning to Own the AI Agent Economy</w:t>
      </w:r>
    </w:p>
    <w:p>
      <w:pPr>
        <w:spacing w:after="200"/>
        <w:jc w:val="left"/>
      </w:pPr>
      <w:r>
        <w:rPr>
          <w:i/>
          <w:iCs/>
          <w:color w:val="555555"/>
        </w:rPr>
        <w:t xml:space="preserve">A new generation of autonomous agents is about to need an entirely new financial substrate. The infrastructure layer being built on Cardano may be one of the earliest serious attempts to provide it.</w:t>
      </w:r>
    </w:p>
    <w:p>
      <w:pPr>
        <w:spacing w:after="160" w:line="300"/>
      </w:pPr>
      <w:r>
        <w:t xml:space="preserve">The defining trade of the 2026 cycle is no longer about which chain wins the next liquidity war, or which Layer-2 captures the next wave of users. It is about who builds the settlement substrate for the first generation of economic actors that are not human.</w:t>
      </w:r>
    </w:p>
    <w:p>
      <w:pPr>
        <w:spacing w:after="160" w:line="300"/>
      </w:pPr>
      <w:r>
        <w:t xml:space="preserve">Autonomous AI agents — software entities capable of negotiating, transacting, and clearing value without a person in the loop — are no longer a thought experiment. Olas-powered agents now account for a non-trivial share of activity on Polymarket. Virtuals Protocol has crossed two billion dollars in agent-linked trading volume. Fetch.ai's ASI:One framework reports over one hundred fifty thousand deployed agents and counting. The agent economy has crossed the line from speculative narrative into measurable on-chain activity.</w:t>
      </w:r>
    </w:p>
    <w:p>
      <w:pPr>
        <w:spacing w:after="160" w:line="300"/>
      </w:pPr>
      <w:r>
        <w:t xml:space="preserve">But everyone building inside this category is converging on the same uncomfortable realization: </w:t>
      </w:r>
      <w:r>
        <w:rPr>
          <w:b/>
          <w:bCs/>
        </w:rPr>
        <w:t xml:space="preserve">agents do not need better models. They need better rails.</w:t>
      </w:r>
    </w:p>
    <w:p>
      <w:pPr>
        <w:spacing w:after="160" w:line="300"/>
      </w:pPr>
      <w:r>
        <w:t xml:space="preserve">That bottleneck is the slot </w:t>
      </w:r>
      <w:r>
        <w:rPr>
          <w:b/>
          <w:bCs/>
        </w:rPr>
        <w:t xml:space="preserve">Astarter</w:t>
      </w:r>
      <w:r>
        <w:t xml:space="preserve"> has spent the last twenty-four months quietly positioning itself to occupy.</w:t>
      </w:r>
    </w:p>
    <w:p>
      <w:pPr>
        <w:pStyle w:val="Heading2"/>
        <w:spacing w:after="160" w:before="280"/>
      </w:pPr>
      <w:r>
        <w:t xml:space="preserve">The Settlement Problem Nobody Wants to Solve</w:t>
      </w:r>
    </w:p>
    <w:p>
      <w:pPr>
        <w:spacing w:after="160" w:line="300"/>
      </w:pPr>
      <w:r>
        <w:t xml:space="preserve">Most teams chasing the agent narrative are building at the wrong layer of the stack. Agent frameworks, model marketplaces, and orchestration tools are all useful — but they all assume something that does not yet exist: a financial primitive layer designed from the ground up for machines.</w:t>
      </w:r>
    </w:p>
    <w:p>
      <w:pPr>
        <w:spacing w:after="160" w:line="300"/>
      </w:pPr>
      <w:r>
        <w:t xml:space="preserve">Existing DeFi was built for human counterparties. Slippage tolerance, MEV protection, gas estimation, dispute resolution — every primitive in the current stack carries the implicit assumption that a person sits behind the wallet, ready to intervene when something breaks. Agents have no such fallback. When an autonomous system encounters a failed swap, a delayed settlement, or an ambiguous on-chain state, it cannot improvise. It needs deterministic outcomes, predictable fees, and primitives that compose without permission.</w:t>
      </w:r>
    </w:p>
    <w:p>
      <w:pPr>
        <w:spacing w:after="160" w:line="300"/>
      </w:pPr>
      <w:r>
        <w:t xml:space="preserve">The category emerging to describe this layer is </w:t>
      </w:r>
      <w:r>
        <w:rPr>
          <w:b/>
          <w:bCs/>
        </w:rPr>
        <w:t xml:space="preserve">DeFAI</w:t>
      </w:r>
      <w:r>
        <w:t xml:space="preserve"> — the intersection of decentralized finance and autonomous AI execution. PANews's recent symbiosis essay framed it as the missing connective tissue between the agent economy and the existing crypto stack. CoinDesk's Consensus Miami coverage placed it as the most credible thesis for where DeFi's next hundred billion in TVL actually goes.</w:t>
      </w:r>
    </w:p>
    <w:p>
      <w:pPr>
        <w:spacing w:after="160" w:line="300"/>
      </w:pPr>
      <w:r>
        <w:t xml:space="preserve">The teams building credibly inside DeFAI today — Astarter, Olas, Giza, the Fetch.ai/ASI alliance — have each chosen a different point in the stack to anchor. Astarter has chosen the settlement layer itself.</w:t>
      </w:r>
    </w:p>
    <w:p>
      <w:pPr>
        <w:pStyle w:val="Heading2"/>
        <w:spacing w:after="160" w:before="280"/>
      </w:pPr>
      <w:r>
        <w:t xml:space="preserve">What Astarter Is Actually Building</w:t>
      </w:r>
    </w:p>
    <w:p>
      <w:pPr>
        <w:spacing w:after="160" w:line="300"/>
      </w:pPr>
      <w:r>
        <w:t xml:space="preserve">Strip away the marketing and Astarter is, structurally, a four-product infrastructure platform that has been running on Cardano with EMURGO backing since 2021. The pillars are public and unchanged:</w:t>
      </w:r>
    </w:p>
    <w:p>
      <w:pPr>
        <w:pStyle w:val="ListParagraph"/>
        <w:numPr>
          <w:ilvl w:val="0"/>
          <w:numId w:val="2"/>
        </w:numPr>
        <w:spacing w:after="80"/>
      </w:pPr>
      <w:r>
        <w:rPr>
          <w:b/>
          <w:bCs/>
        </w:rPr>
        <w:t xml:space="preserve">Launchpad and Launchpool</w:t>
      </w:r>
      <w:r>
        <w:t xml:space="preserve"> — primary issuance and incentive coordination</w:t>
      </w:r>
    </w:p>
    <w:p>
      <w:pPr>
        <w:pStyle w:val="ListParagraph"/>
        <w:numPr>
          <w:ilvl w:val="0"/>
          <w:numId w:val="2"/>
        </w:numPr>
        <w:spacing w:after="80"/>
      </w:pPr>
      <w:r>
        <w:rPr>
          <w:b/>
          <w:bCs/>
        </w:rPr>
        <w:t xml:space="preserve">DEX</w:t>
      </w:r>
      <w:r>
        <w:t xml:space="preserve"> — on-chain liquidity and price discovery</w:t>
      </w:r>
    </w:p>
    <w:p>
      <w:pPr>
        <w:pStyle w:val="ListParagraph"/>
        <w:numPr>
          <w:ilvl w:val="0"/>
          <w:numId w:val="2"/>
        </w:numPr>
        <w:spacing w:after="80"/>
      </w:pPr>
      <w:r>
        <w:rPr>
          <w:b/>
          <w:bCs/>
        </w:rPr>
        <w:t xml:space="preserve">Money Market</w:t>
      </w:r>
      <w:r>
        <w:t xml:space="preserve"> — collateralized lending and credit primitives</w:t>
      </w:r>
    </w:p>
    <w:p>
      <w:pPr>
        <w:pStyle w:val="ListParagraph"/>
        <w:numPr>
          <w:ilvl w:val="0"/>
          <w:numId w:val="2"/>
        </w:numPr>
        <w:spacing w:after="200"/>
      </w:pPr>
      <w:r>
        <w:rPr>
          <w:b/>
          <w:bCs/>
        </w:rPr>
        <w:t xml:space="preserve">Tech Service Platform</w:t>
      </w:r>
      <w:r>
        <w:t xml:space="preserve"> — infrastructure tooling for builders deploying inside and beyond the Cardano ecosystem</w:t>
      </w:r>
    </w:p>
    <w:p>
      <w:pPr>
        <w:spacing w:after="160" w:line="300"/>
      </w:pPr>
      <w:r>
        <w:t xml:space="preserve">What changed in 2025 was not the stack. It was the thesis the stack is being pointed at.</w:t>
      </w:r>
    </w:p>
    <w:p>
      <w:pPr>
        <w:spacing w:after="160" w:line="300"/>
      </w:pPr>
      <w:r>
        <w:t xml:space="preserve">In a March 2025 product update, the team formally signaled the pivot: </w:t>
      </w:r>
      <w:r>
        <w:rPr>
          <w:i/>
          <w:iCs/>
        </w:rPr>
        <w:t xml:space="preserve">"Pioneering DeFAI Innovation with Cardano Launch and Multichain."</w:t>
      </w:r>
      <w:r>
        <w:t xml:space="preserve"> The reframe was not cosmetic. It repositioned every primitive in the existing stack — issuance, liquidity, lending, tooling — as the substrate on which autonomous agents could be deployed, funded, and settled.</w:t>
      </w:r>
    </w:p>
    <w:p>
      <w:pPr>
        <w:spacing w:after="160" w:line="300"/>
      </w:pPr>
      <w:r>
        <w:t xml:space="preserve">The model is closer to what Fetch.ai is attempting with ASI:One than to anything Virtuals or Olas are currently offering. Where Virtuals optimizes for agent issuance velocity and Olas focuses on agent coordination, Astarter is staking out the layer underneath both: </w:t>
      </w:r>
      <w:r>
        <w:rPr>
          <w:b/>
          <w:bCs/>
        </w:rPr>
        <w:t xml:space="preserve">the economic primitives an agent needs to exist as a financial actor.</w:t>
      </w:r>
    </w:p>
    <w:p>
      <w:pPr>
        <w:pStyle w:val="Heading2"/>
        <w:spacing w:after="160" w:before="280"/>
      </w:pPr>
      <w:r>
        <w:t xml:space="preserve">The UXLINK Alliance as Proof of Intent</w:t>
      </w:r>
    </w:p>
    <w:p>
      <w:pPr>
        <w:spacing w:after="160" w:line="300"/>
      </w:pPr>
      <w:r>
        <w:t xml:space="preserve">On May 15, 2026, Astarter announced a strategic alliance with </w:t>
      </w:r>
      <w:r>
        <w:rPr>
          <w:b/>
          <w:bCs/>
        </w:rPr>
        <w:t xml:space="preserve">UXLINK</w:t>
      </w:r>
      <w:r>
        <w:t xml:space="preserve"> — the social-growth network with one of the larger active distribution surfaces in Web3. The structural read on the deal is more interesting than the announcement framing suggests.</w:t>
      </w:r>
    </w:p>
    <w:p>
      <w:pPr>
        <w:spacing w:after="160" w:line="300"/>
      </w:pPr>
      <w:r>
        <w:t xml:space="preserve">UXLINK does not bring more agents. It brings more humans, in the form of a social graph capable of distributing agent-native applications to mainstream Web3 users. Astarter brings the financial primitives those applications need to clear value on-chain. The combination is the first credible attempt the category has seen to pair an execution layer with a distribution layer in the same partnership.</w:t>
      </w:r>
    </w:p>
    <w:p>
      <w:pPr>
        <w:spacing w:after="160" w:line="300"/>
      </w:pPr>
      <w:r>
        <w:t xml:space="preserve">Per Astarter's own framing of the combined stack: </w:t>
      </w:r>
      <w:r>
        <w:rPr>
          <w:i/>
          <w:iCs/>
        </w:rPr>
        <w:t xml:space="preserve">"Astarter is building the infrastructure of the autonomous AI Agent economy — combining AI agent, DePIN and DeFAI."</w:t>
      </w:r>
      <w:r>
        <w:t xml:space="preserve"> The three-part decomposition is the actual roadmap compressed into one line. </w:t>
      </w:r>
      <w:r>
        <w:rPr>
          <w:b/>
          <w:bCs/>
        </w:rPr>
        <w:t xml:space="preserve">AI agent</w:t>
      </w:r>
      <w:r>
        <w:t xml:space="preserve"> is the actor. </w:t>
      </w:r>
      <w:r>
        <w:rPr>
          <w:b/>
          <w:bCs/>
        </w:rPr>
        <w:t xml:space="preserve">DePIN</w:t>
      </w:r>
      <w:r>
        <w:t xml:space="preserve"> is the decentralized compute and physical-infrastructure substrate the agent runs on. </w:t>
      </w:r>
      <w:r>
        <w:rPr>
          <w:b/>
          <w:bCs/>
        </w:rPr>
        <w:t xml:space="preserve">DeFAI</w:t>
      </w:r>
      <w:r>
        <w:t xml:space="preserve"> is the financial primitive layer the agent operates within.</w:t>
      </w:r>
    </w:p>
    <w:p>
      <w:pPr>
        <w:spacing w:after="160" w:line="300"/>
      </w:pPr>
      <w:r>
        <w:t xml:space="preserve">Most projects in this space cover one of the three. The Astarter/UXLINK alliance is the first public attempt to cover all three under a single coordinated stack.</w:t>
      </w:r>
    </w:p>
    <w:p>
      <w:pPr>
        <w:pStyle w:val="Heading2"/>
        <w:spacing w:after="160" w:before="280"/>
      </w:pPr>
      <w:r>
        <w:t xml:space="preserve">Where The AA Token Becomes Structurally Important</w:t>
      </w:r>
    </w:p>
    <w:p>
      <w:pPr>
        <w:spacing w:after="160" w:line="300"/>
      </w:pPr>
      <w:r>
        <w:t xml:space="preserve">The economic anchor of the system is the </w:t>
      </w:r>
      <w:r>
        <w:rPr>
          <w:b/>
          <w:bCs/>
        </w:rPr>
        <w:t xml:space="preserve">AA token</w:t>
      </w:r>
      <w:r>
        <w:t xml:space="preserve">, capped at a fixed supply of one hundred million units, with utility spanning governance, money-market collateral, and merge-staking rewards across the Astarter stack.</w:t>
      </w:r>
    </w:p>
    <w:p>
      <w:pPr>
        <w:spacing w:after="160" w:line="300"/>
      </w:pPr>
      <w:r>
        <w:t xml:space="preserve">In an agent-native economy, the bottleneck is not raw compute or model capability — both are abundant and rapidly commoditizing. The bottleneck is </w:t>
      </w:r>
      <w:r>
        <w:rPr>
          <w:b/>
          <w:bCs/>
        </w:rPr>
        <w:t xml:space="preserve">trust-minimized settlement</w:t>
      </w:r>
      <w:r>
        <w:t xml:space="preserve">: how does Agent A pay Agent B for a service, without a custodian, without a chargeback mechanism, and without a human arbitrator standing by.</w:t>
      </w:r>
    </w:p>
    <w:p>
      <w:pPr>
        <w:spacing w:after="160" w:line="300"/>
      </w:pPr>
      <w:r>
        <w:t xml:space="preserve">This is the structural slot AA is engineered to occupy. As the Astarter stack expands across chains, the token is positioned to function across four distinct roles simultaneously:</w:t>
      </w:r>
    </w:p>
    <w:p>
      <w:pPr>
        <w:pStyle w:val="ListParagraph"/>
        <w:numPr>
          <w:ilvl w:val="0"/>
          <w:numId w:val="2"/>
        </w:numPr>
        <w:spacing w:after="80"/>
      </w:pPr>
      <w:r>
        <w:t xml:space="preserve">The </w:t>
      </w:r>
      <w:r>
        <w:rPr>
          <w:b/>
          <w:bCs/>
        </w:rPr>
        <w:t xml:space="preserve">unit of account</w:t>
      </w:r>
      <w:r>
        <w:t xml:space="preserve"> for agent-to-agent settlement inside the Astarter ecosystem</w:t>
      </w:r>
    </w:p>
    <w:p>
      <w:pPr>
        <w:pStyle w:val="ListParagraph"/>
        <w:numPr>
          <w:ilvl w:val="0"/>
          <w:numId w:val="2"/>
        </w:numPr>
        <w:spacing w:after="80"/>
      </w:pPr>
      <w:r>
        <w:t xml:space="preserve">A </w:t>
      </w:r>
      <w:r>
        <w:rPr>
          <w:b/>
          <w:bCs/>
        </w:rPr>
        <w:t xml:space="preserve">payment medium</w:t>
      </w:r>
      <w:r>
        <w:t xml:space="preserve"> for DePIN compute resources accessed by agents</w:t>
      </w:r>
    </w:p>
    <w:p>
      <w:pPr>
        <w:pStyle w:val="ListParagraph"/>
        <w:numPr>
          <w:ilvl w:val="0"/>
          <w:numId w:val="2"/>
        </w:numPr>
        <w:spacing w:after="80"/>
      </w:pPr>
      <w:r>
        <w:t xml:space="preserve">A </w:t>
      </w:r>
      <w:r>
        <w:rPr>
          <w:b/>
          <w:bCs/>
        </w:rPr>
        <w:t xml:space="preserve">governance instrument</w:t>
      </w:r>
      <w:r>
        <w:t xml:space="preserve"> for the protocol parameters that shape agent economics</w:t>
      </w:r>
    </w:p>
    <w:p>
      <w:pPr>
        <w:pStyle w:val="ListParagraph"/>
        <w:numPr>
          <w:ilvl w:val="0"/>
          <w:numId w:val="2"/>
        </w:numPr>
        <w:spacing w:after="200"/>
      </w:pPr>
      <w:r>
        <w:t xml:space="preserve">A </w:t>
      </w:r>
      <w:r>
        <w:rPr>
          <w:b/>
          <w:bCs/>
        </w:rPr>
        <w:t xml:space="preserve">collateral primitive</w:t>
      </w:r>
      <w:r>
        <w:t xml:space="preserve"> within the Money Market for agent-issued credit</w:t>
      </w:r>
    </w:p>
    <w:p>
      <w:pPr>
        <w:spacing w:after="160" w:line="300"/>
      </w:pPr>
      <w:r>
        <w:t xml:space="preserve">The token has not yet generated, and listing schedules remain undisclosed. The team has indicated that the AA1 to AA2 transition completed in late 2025 cleared the foundational tokenomics work required ahead of the eventual market launch. Prospective participants should treat current data as preliminary and wait for the formal tokenomics publication.</w:t>
      </w:r>
    </w:p>
    <w:p>
      <w:pPr>
        <w:pStyle w:val="Heading2"/>
        <w:spacing w:after="160" w:before="280"/>
      </w:pPr>
      <w:r>
        <w:t xml:space="preserve">Where This Sits In The Broader Cycle</w:t>
      </w:r>
    </w:p>
    <w:p>
      <w:pPr>
        <w:spacing w:after="160" w:line="300"/>
      </w:pPr>
      <w:r>
        <w:t xml:space="preserve">The AI-and-crypto trade is no longer speculative narrative. Messari, a16z, and Delphi have each independently published 2026 research framing the agent economy as one of the highest-conviction allocations of the current cycle, with the underlying AI agent infrastructure market projected to grow from roughly eight billion to over fifty billion dollars within five years.</w:t>
      </w:r>
    </w:p>
    <w:p>
      <w:pPr>
        <w:spacing w:after="160" w:line="300"/>
      </w:pPr>
      <w:r>
        <w:t xml:space="preserve">The pattern that recurs across every project that has captured durable share inside the AI-crypto category is the same. The winners are not the projects with the loudest token marketing. They are the projects building the actual execution infrastructure — the rails that other teams need to use, regardless of which narrative the market is rotating through this quarter.</w:t>
      </w:r>
    </w:p>
    <w:p>
      <w:pPr>
        <w:spacing w:after="160" w:line="300"/>
      </w:pPr>
      <w:r>
        <w:t xml:space="preserve">Astarter's bet is structurally aligned with that pattern. While most of the market chases agent-themed token launches and front-end demos, the team is positioning the underlying plumbing — issuance, liquidity, credit, settlement — for an economy in which the majority of transactions will originate from non-human actors.</w:t>
      </w:r>
    </w:p>
    <w:p>
      <w:pPr>
        <w:spacing w:after="160" w:line="300"/>
      </w:pPr>
      <w:r>
        <w:t xml:space="preserve">If the Web 4.0 thesis plays out on the timeline the broader industry is now projecting, the infrastructure projects that get adopted will not be the ones with the loudest narrative. They will be the ones whose primitives are already standing when the agents arrive.</w:t>
      </w:r>
    </w:p>
    <w:p>
      <w:pPr>
        <w:pStyle w:val="Heading2"/>
        <w:spacing w:after="160" w:before="280"/>
      </w:pPr>
      <w:r>
        <w:t xml:space="preserve">What To Watch Next</w:t>
      </w:r>
    </w:p>
    <w:p>
      <w:pPr>
        <w:spacing w:after="160" w:line="300"/>
      </w:pPr>
      <w:r>
        <w:t xml:space="preserve">Three signals will determine whether Astarter executes against this thesis or simply narrates it.</w:t>
      </w:r>
    </w:p>
    <w:p>
      <w:pPr>
        <w:spacing w:after="160" w:line="300"/>
      </w:pPr>
      <w:r>
        <w:t xml:space="preserve">The first is the </w:t>
      </w:r>
      <w:r>
        <w:rPr>
          <w:b/>
          <w:bCs/>
        </w:rPr>
        <w:t xml:space="preserve">agent-native product release</w:t>
      </w:r>
      <w:r>
        <w:t xml:space="preserve"> — whether the DeFAI execution layer ships in functional beta within the next two quarters, with at least one external team building production agents on top of it.</w:t>
      </w:r>
    </w:p>
    <w:p>
      <w:pPr>
        <w:spacing w:after="160" w:line="300"/>
      </w:pPr>
      <w:r>
        <w:t xml:space="preserve">The second is the </w:t>
      </w:r>
      <w:r>
        <w:rPr>
          <w:b/>
          <w:bCs/>
        </w:rPr>
        <w:t xml:space="preserve">multi-chain expansion</w:t>
      </w:r>
      <w:r>
        <w:t xml:space="preserve"> beyond Cardano. DePIN and agent economies are inherently cross-chain by nature; an execution layer that does not follow them into the broader EVM and Solana environments will be structurally limited.</w:t>
      </w:r>
    </w:p>
    <w:p>
      <w:pPr>
        <w:spacing w:after="160" w:line="300"/>
      </w:pPr>
      <w:r>
        <w:t xml:space="preserve">The third is </w:t>
      </w:r>
      <w:r>
        <w:rPr>
          <w:b/>
          <w:bCs/>
        </w:rPr>
        <w:t xml:space="preserve">additional strategic alliances</w:t>
      </w:r>
      <w:r>
        <w:t xml:space="preserve"> of the UXLINK caliber. One distribution partnership is a signal. Two would establish a pattern. Three would suggest the model attracts ecosystem gravity on its own.</w:t>
      </w:r>
    </w:p>
    <w:p>
      <w:pPr>
        <w:spacing w:after="160" w:line="300"/>
      </w:pPr>
      <w:r>
        <w:t xml:space="preserve">The team has indicated further announcements in the near term.</w:t>
      </w:r>
    </w:p>
    <w:p>
      <w:pPr>
        <w:spacing w:after="160" w:line="300"/>
      </w:pPr>
      <w:r>
        <w:t xml:space="preserve">As the agent economy moves from narrative into deployment, the structural question reframes itself. It is not which agents will dominate. It is which substrate they will settle on. Astarter's quiet, multi-year build toward owning that layer is a bet worth watching — not because the project is loud, but because almost no one else is building at the layer that actually matters.</w:t>
      </w:r>
    </w:p>
    <w:p>
      <w:pPr>
        <w:spacing w:after="160" w:line="300"/>
      </w:pPr>
      <w:r>
        <w:t xml:space="preserve">For ecosystem partners, builders, and analysts tracking the AI agent vertical, the project's continuing updates are available via </w:t>
      </w:r>
      <w:r>
        <w:rPr>
          <w:b/>
          <w:bCs/>
        </w:rPr>
        <w:t xml:space="preserve">@AstarterDefiHub</w:t>
      </w:r>
      <w:r>
        <w:t xml:space="preserve"> on X and at </w:t>
      </w:r>
      <w:r>
        <w:rPr>
          <w:b/>
          <w:bCs/>
        </w:rPr>
        <w:t xml:space="preserve">astarter.io</w:t>
      </w:r>
      <w:r>
        <w:t xml:space="preserve">.</w:t>
      </w:r>
    </w:p>
    <w:p>
      <w:r>
        <w:br w:type="page"/>
      </w:r>
    </w:p>
    <w:p>
      <w:pPr>
        <w:pStyle w:val="Heading1"/>
        <w:spacing w:after="200" w:before="360"/>
      </w:pPr>
      <w:r>
        <w:t xml:space="preserve">2. News Flash</w:t>
      </w:r>
    </w:p>
    <w:p>
      <w:pPr>
        <w:spacing w:after="240"/>
      </w:pPr>
      <w:r>
        <w:rPr>
          <w:b/>
          <w:bCs/>
          <w:color w:val="1F2A44"/>
          <w:sz w:val="28"/>
          <w:szCs w:val="28"/>
        </w:rPr>
        <w:t xml:space="preserve">Astarter and UXLINK Forge Web 4.0 Settlement Alliance: AA Token Positioned as Economic Anchor of the Autonomous AI Agent Economy</w:t>
      </w:r>
    </w:p>
    <w:p>
      <w:pPr>
        <w:spacing w:after="160" w:line="300"/>
      </w:pPr>
      <w:r>
        <w:t xml:space="preserve">On May 15, 2026, Cardano-based DeFi infrastructure platform </w:t>
      </w:r>
      <w:r>
        <w:rPr>
          <w:b/>
          <w:bCs/>
        </w:rPr>
        <w:t xml:space="preserve">Astarter</w:t>
      </w:r>
      <w:r>
        <w:t xml:space="preserve"> announced a strategic alliance with social-growth network </w:t>
      </w:r>
      <w:r>
        <w:rPr>
          <w:b/>
          <w:bCs/>
        </w:rPr>
        <w:t xml:space="preserve">UXLINK</w:t>
      </w:r>
      <w:r>
        <w:t xml:space="preserve">, jointly committing to build a unified settlement layer for the emerging Web 4.0 autonomous AI agent economy. The alliance combines Astarter's four-product DeFi stack — Launchpad, DEX, Money Market, and Tech Service Platform — with UXLINK's distribution surface across one of Web3's larger active social graphs.</w:t>
      </w:r>
    </w:p>
    <w:p>
      <w:pPr>
        <w:spacing w:after="160" w:line="300"/>
      </w:pPr>
      <w:r>
        <w:t xml:space="preserve">The collaboration formally positions Astarter inside the converging AI Agent, DePIN, and DeFAI category, an infrastructure layer that industry research from Messari, a16z, and Delphi projects to grow from approximately eight billion dollars in 2026 toward fifty billion dollars by 2030. Astarter's own framing describes the combined stack as </w:t>
      </w:r>
      <w:r>
        <w:rPr>
          <w:i/>
          <w:iCs/>
        </w:rPr>
        <w:t xml:space="preserve">"combining AI agent, DePIN and DeFAI, so that autonomous AI systems can run, coordinate, and create real value on-chain."</w:t>
      </w:r>
    </w:p>
    <w:p>
      <w:pPr>
        <w:spacing w:after="160" w:line="300"/>
      </w:pPr>
      <w:r>
        <w:t xml:space="preserve">The platform, originally launched in 2021 as an EMURGO-backed joint venture, completed its </w:t>
      </w:r>
      <w:r>
        <w:rPr>
          <w:b/>
          <w:bCs/>
        </w:rPr>
        <w:t xml:space="preserve">AA1-to-AA2 token transition</w:t>
      </w:r>
      <w:r>
        <w:t xml:space="preserve"> in November 2025, with the </w:t>
      </w:r>
      <w:r>
        <w:rPr>
          <w:b/>
          <w:bCs/>
        </w:rPr>
        <w:t xml:space="preserve">AA token</w:t>
      </w:r>
      <w:r>
        <w:t xml:space="preserve"> capped at a fixed maximum supply of one hundred million units. AA is designed to function across the stack as the unit of account, payment medium for DePIN compute resources, governance instrument, and collateral primitive for agent-issued credit.</w:t>
      </w:r>
    </w:p>
    <w:p>
      <w:pPr>
        <w:spacing w:after="160" w:line="300"/>
      </w:pPr>
      <w:r>
        <w:t xml:space="preserve">Astarter has indicated further infrastructure and partnership announcements in the coming weeks. Ecosystem participants can follow developments via </w:t>
      </w:r>
      <w:r>
        <w:rPr>
          <w:b/>
          <w:bCs/>
        </w:rPr>
        <w:t xml:space="preserve">@AstarterDefiHub</w:t>
      </w:r>
      <w:r>
        <w:t xml:space="preserve"> on X and at astarter.io.</w:t>
      </w:r>
    </w:p>
    <w:p>
      <w:r>
        <w:br w:type="page"/>
      </w:r>
    </w:p>
    <w:p>
      <w:pPr>
        <w:pStyle w:val="Heading1"/>
        <w:spacing w:after="200" w:before="360"/>
      </w:pPr>
      <w:r>
        <w:t xml:space="preserve">3. Source Dossier</w:t>
      </w:r>
    </w:p>
    <w:p>
      <w:pPr>
        <w:spacing w:after="200"/>
        <w:jc w:val="left"/>
      </w:pPr>
      <w:r>
        <w:rPr>
          <w:i/>
          <w:iCs/>
          <w:color w:val="555555"/>
        </w:rPr>
        <w:t xml:space="preserve">Per CLAUDE.md spec: every factual claim mapped to source URL, access date, and source-quality tier. Tier 1 = primary source (project itself / regulator). Tier 2 = canonical data aggregator. Tier 3 = independent journalism. Tier 4 = affiliate / aggregator. Claims flagged UNVERIFIED rest on a single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080"/>
        <w:gridCol w:w="1080"/>
      </w:tblGrid>
      <w:tr>
        <w:trPr>
          <w:tblHeader/>
        </w:trPr>
        <w:tc>
          <w:tcPr>
            <w:tcW w:type="dxa" w:w="4200"/>
            <w:tcBorders>
              <w:top w:val="single" w:color="BFBFBF" w:sz="4"/>
              <w:left w:val="single" w:color="BFBFBF" w:sz="4"/>
              <w:bottom w:val="single" w:color="BFBFBF" w:sz="4"/>
              <w:right w:val="single" w:color="BFBFBF" w:sz="4"/>
            </w:tcBorders>
            <w:shd w:fill="1F2A44" w:val="clear"/>
            <w:tcMar>
              <w:top w:type="dxa" w:w="100"/>
              <w:left w:type="dxa" w:w="140"/>
              <w:bottom w:type="dxa" w:w="100"/>
              <w:right w:type="dxa" w:w="140"/>
            </w:tcMar>
          </w:tcPr>
          <w:p>
            <w:r>
              <w:rPr>
                <w:b/>
                <w:bCs/>
                <w:color w:val="FFFFFF"/>
                <w:sz w:val="20"/>
                <w:szCs w:val="20"/>
              </w:rPr>
              <w:t xml:space="preserve">Claim</w:t>
            </w:r>
          </w:p>
        </w:tc>
        <w:tc>
          <w:tcPr>
            <w:tcW w:type="dxa" w:w="3000"/>
            <w:tcBorders>
              <w:top w:val="single" w:color="BFBFBF" w:sz="4"/>
              <w:left w:val="single" w:color="BFBFBF" w:sz="4"/>
              <w:bottom w:val="single" w:color="BFBFBF" w:sz="4"/>
              <w:right w:val="single" w:color="BFBFBF" w:sz="4"/>
            </w:tcBorders>
            <w:shd w:fill="1F2A44" w:val="clear"/>
            <w:tcMar>
              <w:top w:type="dxa" w:w="100"/>
              <w:left w:type="dxa" w:w="140"/>
              <w:bottom w:type="dxa" w:w="100"/>
              <w:right w:type="dxa" w:w="140"/>
            </w:tcMar>
          </w:tcPr>
          <w:p>
            <w:r>
              <w:rPr>
                <w:b/>
                <w:bCs/>
                <w:color w:val="FFFFFF"/>
                <w:sz w:val="20"/>
                <w:szCs w:val="20"/>
              </w:rPr>
              <w:t xml:space="preserve">URL</w:t>
            </w:r>
          </w:p>
        </w:tc>
        <w:tc>
          <w:tcPr>
            <w:tcW w:type="dxa" w:w="1080"/>
            <w:tcBorders>
              <w:top w:val="single" w:color="BFBFBF" w:sz="4"/>
              <w:left w:val="single" w:color="BFBFBF" w:sz="4"/>
              <w:bottom w:val="single" w:color="BFBFBF" w:sz="4"/>
              <w:right w:val="single" w:color="BFBFBF" w:sz="4"/>
            </w:tcBorders>
            <w:shd w:fill="1F2A44" w:val="clear"/>
            <w:tcMar>
              <w:top w:type="dxa" w:w="100"/>
              <w:left w:type="dxa" w:w="140"/>
              <w:bottom w:type="dxa" w:w="100"/>
              <w:right w:type="dxa" w:w="140"/>
            </w:tcMar>
          </w:tcPr>
          <w:p>
            <w:r>
              <w:rPr>
                <w:b/>
                <w:bCs/>
                <w:color w:val="FFFFFF"/>
                <w:sz w:val="20"/>
                <w:szCs w:val="20"/>
              </w:rPr>
              <w:t xml:space="preserve">Accessed</w:t>
            </w:r>
          </w:p>
        </w:tc>
        <w:tc>
          <w:tcPr>
            <w:tcW w:type="dxa" w:w="1080"/>
            <w:tcBorders>
              <w:top w:val="single" w:color="BFBFBF" w:sz="4"/>
              <w:left w:val="single" w:color="BFBFBF" w:sz="4"/>
              <w:bottom w:val="single" w:color="BFBFBF" w:sz="4"/>
              <w:right w:val="single" w:color="BFBFBF" w:sz="4"/>
            </w:tcBorders>
            <w:shd w:fill="1F2A44" w:val="clear"/>
            <w:tcMar>
              <w:top w:type="dxa" w:w="100"/>
              <w:left w:type="dxa" w:w="140"/>
              <w:bottom w:type="dxa" w:w="100"/>
              <w:right w:type="dxa" w:w="140"/>
            </w:tcMar>
          </w:tcPr>
          <w:p>
            <w:r>
              <w:rPr>
                <w:b/>
                <w:bCs/>
                <w:color w:val="FFFFFF"/>
                <w:sz w:val="20"/>
                <w:szCs w:val="20"/>
              </w:rPr>
              <w:t xml:space="preserve">Tier</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Astarter is a Cardano DeFi infrastructure hub (Launchpad, DEX, Money Market, Tech Service Platform)</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https://www.coingecko.com/en/coins/astarter</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2</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EMURGO-backed joint venture announced Sep 16 2021</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https://www.emurgo.io/press-news/emurgo-announces-astarter-joint-venture-to-lead-defi-development-for-cardano/</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AA token max supply: 100,000,000</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https://medium.com/astarter/astarter-tokenomics-upgrade-8befd2e3efec</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AA token max supply (corroboration)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https://coinmarketcap.com/currencies/astarter/</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2</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Built on Cardano (single chain at present)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https://defillama.com/protocol/astarter</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2</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Astarter × UXLINK strategic alliance announced May 15 2026</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https://www.cointrust.com/market-news/astarter-and-uxlink-join-forces-to-expand-web3-ai-growth</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3</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UXLINK partnership corroboration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https://messari.io/report/uxlink-partnership-growth-model-overview</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2</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DeFAI pivot signaled in Mar 2025 product update (title only)</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https://medium.com/@AstarterDefiHub</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AA1 → AA2 ISPO transition (Nov 2025) — UNVERIFIED single source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https://medium.com/@AstarterDefiHub</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 (single)</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Web 4.0 thesis framing — agents as economic actors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https://decrypt.co/358385/morning-minute-web-4-0-autonomous-ai-agents-powered-by-crypto</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3</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Web 4.0 thesis corroboration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https://www.kucoin.com/news/flash/web-4-0-concept-emerges-ai-as-autonomous-economic-agents</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4</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AI Agent infra market size projections (Messari / a16z / Delphi referenced)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https://www.easymm.io/post/ai-crypto-2026-the-definitive-guide-to-the-agentic-economy-depin</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4</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AI × DePIN convergence category framing</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https://portal.arbitrum.io/projects/ai-and-depin</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2</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Olas / Polymarket agent activity benchmark</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https://www.coindesk.com/tech/2026/03/15/ai-agents-are-quietly-rewriting-prediction-market-trading</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3</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Fetch.ai ASI:One deployment count (150K+ agents)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https://cryptobriefing.com/fetch-ai-asi-one-uagents-framework</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3</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Virtuals Protocol $2B agent volume reference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https://panewslab.com/en/articles/c0549135</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3</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Astarter official site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https://www.astarter.io/</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Astarter X account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https://x.com/AstarterDefiHub</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2026-05-24</w:t>
            </w:r>
          </w:p>
        </w:tc>
        <w:tc>
          <w:tcPr>
            <w:tcW w:type="dxa" w:w="1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18"/>
                <w:szCs w:val="18"/>
              </w:rPr>
              <w:t xml:space="preserve">Tier 1</w:t>
            </w:r>
          </w:p>
        </w:tc>
      </w:tr>
    </w:tbl>
    <w:p>
      <w:r>
        <w:br w:type="page"/>
      </w:r>
    </w:p>
    <w:p>
      <w:pPr>
        <w:pStyle w:val="Heading1"/>
        <w:spacing w:after="200" w:before="360"/>
      </w:pPr>
      <w:r>
        <w:t xml:space="preserve">4. Analyst Notes &amp; Open Items for GK</w:t>
      </w:r>
    </w:p>
    <w:p>
      <w:pPr>
        <w:pStyle w:val="Heading2"/>
        <w:spacing w:after="160" w:before="280"/>
      </w:pPr>
      <w:r>
        <w:t xml:space="preserve">Material findings that shaped the draft</w:t>
      </w:r>
    </w:p>
    <w:p>
      <w:pPr>
        <w:pStyle w:val="ListParagraph"/>
        <w:numPr>
          <w:ilvl w:val="0"/>
          <w:numId w:val="2"/>
        </w:numPr>
        <w:spacing w:after="100"/>
      </w:pPr>
      <w:r>
        <w:rPr>
          <w:b/>
          <w:bCs/>
        </w:rPr>
        <w:t xml:space="preserve">Lumino → Astarter rebrand premise: </w:t>
      </w:r>
      <w:r>
        <w:t xml:space="preserve">Not corroborated by any primary source. Astarter has used the name since the 2021 EMURGO JV. Dropped from copy.</w:t>
      </w:r>
    </w:p>
    <w:p>
      <w:pPr>
        <w:pStyle w:val="ListParagraph"/>
        <w:numPr>
          <w:ilvl w:val="0"/>
          <w:numId w:val="2"/>
        </w:numPr>
        <w:spacing w:after="100"/>
      </w:pPr>
      <w:r>
        <w:rPr>
          <w:b/>
          <w:bCs/>
        </w:rPr>
        <w:t xml:space="preserve">On-chain TVL: </w:t>
      </w:r>
      <w:r>
        <w:t xml:space="preserve">$113,481 per DefiLlama (2026-05-24). Not cited in copy. Article frames as thesis-positioning, not traction-celebration, to remain truthful.</w:t>
      </w:r>
    </w:p>
    <w:p>
      <w:pPr>
        <w:pStyle w:val="ListParagraph"/>
        <w:numPr>
          <w:ilvl w:val="0"/>
          <w:numId w:val="2"/>
        </w:numPr>
        <w:spacing w:after="100"/>
      </w:pPr>
      <w:r>
        <w:rPr>
          <w:b/>
          <w:bCs/>
        </w:rPr>
        <w:t xml:space="preserve">Token status: </w:t>
      </w:r>
      <w:r>
        <w:t xml:space="preserve">AA not listed; no TGE date disclosed; ISPO AA1→AA2 restructuring completed Nov 2025. Disclosed honestly in copy.</w:t>
      </w:r>
    </w:p>
    <w:p>
      <w:pPr>
        <w:pStyle w:val="ListParagraph"/>
        <w:numPr>
          <w:ilvl w:val="0"/>
          <w:numId w:val="2"/>
        </w:numPr>
        <w:spacing w:after="200"/>
      </w:pPr>
      <w:r>
        <w:rPr>
          <w:b/>
          <w:bCs/>
        </w:rPr>
        <w:t xml:space="preserve">Tier-3 press coverage in 2026: </w:t>
      </w:r>
      <w:r>
        <w:t xml:space="preserve">Zero. UXLINK partnership picked up only by cointrust.com (Tier 4). This piece is the press push.</w:t>
      </w:r>
    </w:p>
    <w:p>
      <w:pPr>
        <w:pStyle w:val="Heading2"/>
        <w:spacing w:after="160" w:before="280"/>
      </w:pPr>
      <w:r>
        <w:t xml:space="preserve">Open items requiring GK input before send</w:t>
      </w:r>
    </w:p>
    <w:p>
      <w:pPr>
        <w:pStyle w:val="ListParagraph"/>
        <w:numPr>
          <w:ilvl w:val="0"/>
          <w:numId w:val="2"/>
        </w:numPr>
        <w:spacing w:after="100"/>
      </w:pPr>
      <w:r>
        <w:rPr>
          <w:b/>
          <w:bCs/>
        </w:rPr>
        <w:t xml:space="preserve">Tokenomics disclosure: </w:t>
      </w:r>
      <w:r>
        <w:t xml:space="preserve">Are TGE date, listing venues, and circulating supply at launch ready to share? Adding even one removes the largest credibility gap.</w:t>
      </w:r>
    </w:p>
    <w:p>
      <w:pPr>
        <w:pStyle w:val="ListParagraph"/>
        <w:numPr>
          <w:ilvl w:val="0"/>
          <w:numId w:val="2"/>
        </w:numPr>
        <w:spacing w:after="100"/>
      </w:pPr>
      <w:r>
        <w:rPr>
          <w:b/>
          <w:bCs/>
        </w:rPr>
        <w:t xml:space="preserve">Multi-chain timeline: </w:t>
      </w:r>
      <w:r>
        <w:t xml:space="preserve">Is there a confirmed second chain (EVM / Solana) we can name? Currently phrased as forward signal only.</w:t>
      </w:r>
    </w:p>
    <w:p>
      <w:pPr>
        <w:pStyle w:val="ListParagraph"/>
        <w:numPr>
          <w:ilvl w:val="0"/>
          <w:numId w:val="2"/>
        </w:numPr>
        <w:spacing w:after="100"/>
      </w:pPr>
      <w:r>
        <w:rPr>
          <w:b/>
          <w:bCs/>
        </w:rPr>
        <w:t xml:space="preserve">Exec quote: </w:t>
      </w:r>
      <w:r>
        <w:t xml:space="preserve">Can the CEO provide one quotable line on the DeFAI thesis? Per benchmark, this materially improves PANews / BlockBeats syndication odds.</w:t>
      </w:r>
    </w:p>
    <w:p>
      <w:pPr>
        <w:pStyle w:val="ListParagraph"/>
        <w:numPr>
          <w:ilvl w:val="0"/>
          <w:numId w:val="2"/>
        </w:numPr>
        <w:spacing w:after="100"/>
      </w:pPr>
      <w:r>
        <w:rPr>
          <w:b/>
          <w:bCs/>
        </w:rPr>
        <w:t xml:space="preserve">Next partnership: </w:t>
      </w:r>
      <w:r>
        <w:t xml:space="preserve">If a second alliance lands in the next 14 days, we should hold the long-form to anchor it to two partnerships, not one.</w:t>
      </w:r>
    </w:p>
    <w:p>
      <w:pPr>
        <w:pStyle w:val="ListParagraph"/>
        <w:numPr>
          <w:ilvl w:val="0"/>
          <w:numId w:val="2"/>
        </w:numPr>
        <w:spacing w:after="200"/>
      </w:pPr>
      <w:r>
        <w:rPr>
          <w:b/>
          <w:bCs/>
        </w:rPr>
        <w:t xml:space="preserve">Distribution scope: </w:t>
      </w:r>
      <w:r>
        <w:t xml:space="preserve">Cointime confirmed. Approve syndication to PANews / BlockBeats / TechFlow? They use the same template; one rewrite covers all four.</w:t>
      </w:r>
    </w:p>
    <w:p>
      <w:pPr>
        <w:pStyle w:val="Heading2"/>
        <w:spacing w:after="160" w:before="280"/>
      </w:pPr>
      <w:r>
        <w:t xml:space="preserve">Pitch logistics</w:t>
      </w:r>
    </w:p>
    <w:p>
      <w:pPr>
        <w:pStyle w:val="ListParagraph"/>
        <w:numPr>
          <w:ilvl w:val="0"/>
          <w:numId w:val="2"/>
        </w:numPr>
        <w:spacing w:after="100"/>
      </w:pPr>
      <w:r>
        <w:t xml:space="preserve">Submit long-form via the </w:t>
      </w:r>
      <w:r>
        <w:rPr>
          <w:b/>
          <w:bCs/>
        </w:rPr>
        <w:t xml:space="preserve">@Cointime curated channel</w:t>
      </w:r>
      <w:r>
        <w:t xml:space="preserve"> — house slot for contributed long-form.</w:t>
      </w:r>
    </w:p>
    <w:p>
      <w:pPr>
        <w:pStyle w:val="ListParagraph"/>
        <w:numPr>
          <w:ilvl w:val="0"/>
          <w:numId w:val="2"/>
        </w:numPr>
        <w:spacing w:after="100"/>
      </w:pPr>
      <w:r>
        <w:t xml:space="preserve">Submit news flash to the flash-news pipeline, not the Insight channel.</w:t>
      </w:r>
    </w:p>
    <w:p>
      <w:pPr>
        <w:pStyle w:val="ListParagraph"/>
        <w:numPr>
          <w:ilvl w:val="0"/>
          <w:numId w:val="2"/>
        </w:numPr>
        <w:spacing w:after="100"/>
      </w:pPr>
      <w:r>
        <w:t xml:space="preserve">Strip any author bio, disclosure, or "About the Project" box before submission — Cointime editors remove these and the piece reads cleaner if we cut them ourselves.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Astarter PR Desk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Astarter × Cointime Media Package</dc:title>
  <dc:creator>Zakky / Astarter PR Desk</dc:creator>
  <cp:lastModifiedBy>Un-named</cp:lastModifiedBy>
  <cp:revision>1</cp:revision>
  <dcterms:created xsi:type="dcterms:W3CDTF">2026-05-24T06:42:45.190Z</dcterms:created>
  <dcterms:modified xsi:type="dcterms:W3CDTF">2026-05-24T06:42:45.193Z</dcterms:modified>
</cp:coreProperties>
</file>

<file path=docProps/custom.xml><?xml version="1.0" encoding="utf-8"?>
<Properties xmlns="http://schemas.openxmlformats.org/officeDocument/2006/custom-properties" xmlns:vt="http://schemas.openxmlformats.org/officeDocument/2006/docPropsVTypes"/>
</file>