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40"/>
        <w:jc w:val="center"/>
      </w:pPr>
      <w:r>
        <w:rPr>
          <w:b/>
          <w:bCs/>
          <w:color w:val="1F2A44"/>
          <w:sz w:val="56"/>
          <w:szCs w:val="56"/>
        </w:rPr>
        <w:t xml:space="preserve">ASTARTER</w:t>
      </w:r>
    </w:p>
    <w:p>
      <w:pPr>
        <w:spacing w:after="480"/>
        <w:jc w:val="center"/>
      </w:pPr>
      <w:r>
        <w:rPr>
          <w:b/>
          <w:bCs/>
          <w:color w:val="6F00FF"/>
          <w:sz w:val="36"/>
          <w:szCs w:val="36"/>
        </w:rPr>
        <w:t xml:space="preserve">项目动态宣发内容包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Promotional Content Pack</w:t>
      </w:r>
    </w:p>
    <w:p>
      <w:pPr>
        <w:spacing w:after="480"/>
        <w:jc w:val="center"/>
      </w:pPr>
      <w:r>
        <w:rPr>
          <w:i/>
          <w:iCs/>
          <w:color w:val="555555"/>
          <w:sz w:val="18"/>
          <w:szCs w:val="18"/>
        </w:rPr>
        <w:t xml:space="preserve">For Cointime + 飞哥 媒体网络分发 · 2026.05.24</w:t>
      </w:r>
    </w:p>
    <w:p>
      <w:pPr>
        <w:spacing w:after="120" w:before="720"/>
        <w:jc w:val="center"/>
      </w:pPr>
      <w:r>
        <w:rPr>
          <w:b/>
          <w:bCs/>
          <w:color w:val="1F2A44"/>
          <w:sz w:val="20"/>
          <w:szCs w:val="20"/>
        </w:rPr>
        <w:t xml:space="preserve">CONTENTS</w:t>
      </w:r>
    </w:p>
    <w:p>
      <w:pPr>
        <w:spacing w:after="100"/>
        <w:jc w:val="center"/>
      </w:pPr>
      <w:r>
        <w:rPr>
          <w:sz w:val="18"/>
          <w:szCs w:val="18"/>
        </w:rPr>
        <w:t xml:space="preserve">1. 简要说明 / Brief</w:t>
      </w:r>
    </w:p>
    <w:p>
      <w:pPr>
        <w:spacing w:after="100"/>
        <w:jc w:val="center"/>
      </w:pPr>
      <w:r>
        <w:rPr>
          <w:sz w:val="18"/>
          <w:szCs w:val="18"/>
        </w:rPr>
        <w:t xml:space="preserve">2. 12 个项目动态 — 中文短稿</w:t>
      </w:r>
    </w:p>
    <w:p>
      <w:pPr>
        <w:spacing w:after="100"/>
        <w:jc w:val="center"/>
      </w:pPr>
      <w:r>
        <w:rPr>
          <w:sz w:val="18"/>
          <w:szCs w:val="18"/>
        </w:rPr>
        <w:t xml:space="preserve">3. 12 项目动态 — 英文短稿</w:t>
      </w:r>
    </w:p>
    <w:p>
      <w:pPr>
        <w:spacing w:after="100"/>
        <w:jc w:val="center"/>
      </w:pPr>
      <w:r>
        <w:rPr>
          <w:sz w:val="18"/>
          <w:szCs w:val="18"/>
        </w:rPr>
        <w:t xml:space="preserve">4. 标题备选 + 配图说明 + 分发协调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简要说明 / Brief</w:t>
      </w:r>
    </w:p>
    <w:p>
      <w:pPr>
        <w:spacing w:after="160" w:line="300"/>
      </w:pPr>
      <w:r>
        <w:t xml:space="preserve">用途：本内容包用于 Cointime 与飞哥媒体网络的项目动态宣发分发，覆盖 Astarter 自主 AI Agent 经济基础设施战略下的 12 个核心动态角度。</w:t>
      </w:r>
    </w:p>
    <w:p>
      <w:pPr>
        <w:spacing w:after="160" w:line="300"/>
      </w:pPr>
      <w:r>
        <w:t xml:space="preserve">Purpose: This content pack supports Cointime and Fei-ge media network in distributing 12 core project-dynamic angles under Astarter autonomous AI Agent economy infrastructure strategy.</w:t>
      </w:r>
    </w:p>
    <w:p>
      <w:pPr>
        <w:spacing w:after="160" w:line="300"/>
      </w:pPr>
      <w:r>
        <w:t xml:space="preserve">使用方式：每个动态独立成稿，可分发到不同媒体。建议按一周一篇的节奏分发，避免同一周集中推所有内容稀释每篇曝光。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12 个项目动态 — 中文短稿</w:t>
      </w:r>
    </w:p>
    <w:p>
      <w:pPr>
        <w:pStyle w:val="Heading2"/>
        <w:spacing w:after="120" w:before="240"/>
      </w:pPr>
      <w:r>
        <w:t xml:space="preserve">动态 01 — Cointime 长文重磅上线</w:t>
      </w:r>
    </w:p>
    <w:p>
      <w:pPr>
        <w:spacing w:after="160" w:line="300"/>
      </w:pPr>
      <w:r>
        <w:t xml:space="preserve">2026 年 5 月 24 日，Cardano 生态基础设施平台 Astarter 联合头部加密媒体 Cointime 正式发布深度长文《ASTARTER 引领 Web4 AI Agent 时代》，系统阐述项目在自主 AI Agent 经济中的战略定位。长文首次完整呈现 Astarter 的「AI Agent 经济清算层」叙事，深入分析当前 AI Agent、DePIN 与 DeFAI 三大趋势的融合架构。</w:t>
      </w:r>
    </w:p>
    <w:p>
      <w:pPr>
        <w:pStyle w:val="Heading2"/>
        <w:spacing w:after="120" w:before="240"/>
      </w:pPr>
      <w:r>
        <w:t xml:space="preserve">动态 02 — Astarter × UXLINK 战略联盟</w:t>
      </w:r>
    </w:p>
    <w:p>
      <w:pPr>
        <w:spacing w:after="160" w:line="300"/>
      </w:pPr>
      <w:r>
        <w:t xml:space="preserve">2026 年 5 月 15 日，Astarter 宣布与 UXLINK 达成战略联盟，共建 AI Agent 经济执行 + 分发一体化堆栈。Astarter 自身将该联合堆栈定义为「融合 AI Agent、DePIN 与 DeFAI」。业内分析认为，该联盟是 AI Agent 经济领域首次将执行层与分发层在同一合作框架下完整捆绑。</w:t>
      </w:r>
    </w:p>
    <w:p>
      <w:pPr>
        <w:pStyle w:val="Heading2"/>
        <w:spacing w:after="120" w:before="240"/>
      </w:pPr>
      <w:r>
        <w:t xml:space="preserve">动态 03 — Web 4.0 AI Agent 经济叙事确立</w:t>
      </w:r>
    </w:p>
    <w:p>
      <w:pPr>
        <w:spacing w:after="160" w:line="300"/>
      </w:pPr>
      <w:r>
        <w:t xml:space="preserve">Astarter 率先在中文加密媒体语境中系统阐述 Web 4.0 AI Agent 经济完整论点。文章指出，2026 周期的核心叙事不再围绕哪条公链赢得流动性，而是聚焦于谁为第一代非人类经济行为者构建清算底层。</w:t>
      </w:r>
    </w:p>
    <w:p>
      <w:pPr>
        <w:pStyle w:val="Heading2"/>
        <w:spacing w:after="120" w:before="240"/>
      </w:pPr>
      <w:r>
        <w:t xml:space="preserve">动态 04 — DeFAI 类别先发占位</w:t>
      </w:r>
    </w:p>
    <w:p>
      <w:pPr>
        <w:spacing w:after="160" w:line="300"/>
      </w:pPr>
      <w:r>
        <w:t xml:space="preserve">Astarter 已锁定 DeFAI 类别中尚未被竞争对手完整占据的「清算层」位置。AI Agent 经济四层架构中，前三层已有 Olas、Virtuals、Fetch.ai 等多家头部项目布局，唯独「清算层」长期空缺。</w:t>
      </w:r>
    </w:p>
    <w:p>
      <w:pPr>
        <w:pStyle w:val="Heading2"/>
        <w:spacing w:after="120" w:before="240"/>
      </w:pPr>
      <w:r>
        <w:t xml:space="preserve">动态 05 — AA Token 完成 AA1→AA2 过渡</w:t>
      </w:r>
    </w:p>
    <w:p>
      <w:pPr>
        <w:spacing w:after="160" w:line="300"/>
      </w:pPr>
      <w:r>
        <w:t xml:space="preserve">Astarter 已于 2025 年 11 月完成 AA Token 经济模型 AA1→AA2 升级过渡。AA Token 固定上限为 1 亿枚，将在 Astarter 堆栈中同时承担四种角色：Agent 间清算的记账单位、DePIN 算力的支付媒介、治理工具、以及为 Agent 信贷提供的抵押原语。</w:t>
      </w:r>
    </w:p>
    <w:p>
      <w:pPr>
        <w:pStyle w:val="Heading2"/>
        <w:spacing w:after="120" w:before="240"/>
      </w:pPr>
      <w:r>
        <w:t xml:space="preserve">动态 06 — 四产品 DeFi 堆栈重新定位</w:t>
      </w:r>
    </w:p>
    <w:p>
      <w:pPr>
        <w:spacing w:after="160" w:line="300"/>
      </w:pPr>
      <w:r>
        <w:t xml:space="preserve">Astarter 旗下 Launchpad、DEX、Money Market、Tech Service Platform 四款产品正在集体完成战略重新定位，从传统 DeFi 基础设施转向自主 AI Agent 经济的金融原语层。本次重新定位并非产品重构，而是将既有四年生产级堆栈重新指向更大的 AI Agent 市场。</w:t>
      </w:r>
    </w:p>
    <w:p>
      <w:pPr>
        <w:pStyle w:val="Heading2"/>
        <w:spacing w:after="120" w:before="240"/>
      </w:pPr>
      <w:r>
        <w:t xml:space="preserve">动态 07 — 多链扩展路线图释放信号</w:t>
      </w:r>
    </w:p>
    <w:p>
      <w:pPr>
        <w:spacing w:after="160" w:line="300"/>
      </w:pPr>
      <w:r>
        <w:t xml:space="preserve">Astarter 已在公开材料中释放多链扩展路线图信号，将逐步将其清算层基础设施延伸至 EVM 与 Solana 等主流公链生态。AI Agent 经济与 DePIN 网络本质上跨链运行，仅锚定单一公链的执行层在结构上受限。</w:t>
      </w:r>
    </w:p>
    <w:p>
      <w:pPr>
        <w:pStyle w:val="Heading2"/>
        <w:spacing w:after="120" w:before="240"/>
      </w:pPr>
      <w:r>
        <w:t xml:space="preserve">动态 08 — EMURGO 持续支持</w:t>
      </w:r>
    </w:p>
    <w:p>
      <w:pPr>
        <w:spacing w:after="160" w:line="300"/>
      </w:pPr>
      <w:r>
        <w:t xml:space="preserve">作为 Cardano 协议三大基石机构之一 EMURGO 的合资项目，Astarter 持续获得 EMURGO 在生态、技术与机构层面的支持。EMURGO 自 2021 年 9 月与 Astarter 达成合资协议以来持续为项目提供生态支持。</w:t>
      </w:r>
    </w:p>
    <w:p>
      <w:pPr>
        <w:pStyle w:val="Heading2"/>
        <w:spacing w:after="120" w:before="240"/>
      </w:pPr>
      <w:r>
        <w:t xml:space="preserve">动态 09 — 三层融合架构</w:t>
      </w:r>
    </w:p>
    <w:p>
      <w:pPr>
        <w:spacing w:after="160" w:line="300"/>
      </w:pPr>
      <w:r>
        <w:t xml:space="preserve">Astarter 正式发布「三层融合架构」——将 AI Agent（行为者）、DePIN（算力底层）与 DeFAI（金融层）三大独立趋势在统一堆栈中协调。这是 AI Agent 经济领域少数公开承诺覆盖全部三层的项目方案。</w:t>
      </w:r>
    </w:p>
    <w:p>
      <w:pPr>
        <w:pStyle w:val="Heading2"/>
        <w:spacing w:after="120" w:before="240"/>
      </w:pPr>
      <w:r>
        <w:t xml:space="preserve">动态 10 — Cardano 生态 AI 基础设施代表项目</w:t>
      </w:r>
    </w:p>
    <w:p>
      <w:pPr>
        <w:spacing w:after="160" w:line="300"/>
      </w:pPr>
      <w:r>
        <w:t xml:space="preserve">Astarter 凭借其完整的四产品 DeFi 堆栈、EMURGO 背书以及在 AI Agent 经济的清晰定位，已成为 Cardano 生态 AI 基础设施的代表性项目之一。该定位为 Cardano 在 AI × Crypto 大趋势中提供了具体的生态承载点。</w:t>
      </w:r>
    </w:p>
    <w:p>
      <w:pPr>
        <w:pStyle w:val="Heading2"/>
        <w:spacing w:after="120" w:before="240"/>
      </w:pPr>
      <w:r>
        <w:t xml:space="preserve">动态 11 — 媒体合作矩阵扩展</w:t>
      </w:r>
    </w:p>
    <w:p>
      <w:pPr>
        <w:spacing w:after="160" w:line="300"/>
      </w:pPr>
      <w:r>
        <w:t xml:space="preserve">继 Cointime 长文上线之后，PANews、BlockBeats、TechFlow、巴比特、链得得 等多家头部中文加密媒体相继启动跟进报道，Astarter 媒体合作矩阵进入快速扩展期。</w:t>
      </w:r>
    </w:p>
    <w:p>
      <w:pPr>
        <w:pStyle w:val="Heading2"/>
        <w:spacing w:after="120" w:before="240"/>
      </w:pPr>
      <w:r>
        <w:t xml:space="preserve">动态 12 — 开发者生态启动信号</w:t>
      </w:r>
    </w:p>
    <w:p>
      <w:pPr>
        <w:spacing w:after="160" w:line="300"/>
      </w:pPr>
      <w:r>
        <w:t xml:space="preserve">Astarter 近期释放明确的开发者生态启动信号——DeFAI 执行层 Beta 与 Quickstart 开发者文档预计将在未来两个季度内落地。项目计划提供完整的开发者支持包，包括 Quickstart 教程、架构文档、RFC 模板、代码示例库以及专属开发者 Discord 频道。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12 Project Dynamics — English Flashes</w:t>
      </w:r>
    </w:p>
    <w:p>
      <w:pPr>
        <w:pStyle w:val="Heading2"/>
        <w:spacing w:after="120" w:before="240"/>
      </w:pPr>
      <w:r>
        <w:t xml:space="preserve">FLASH 01 — Cointime Feature Publication</w:t>
      </w:r>
    </w:p>
    <w:p>
      <w:pPr>
        <w:spacing w:after="160" w:line="300"/>
      </w:pPr>
      <w:r>
        <w:t xml:space="preserve">On May 24 2026, Astarter published a long-form analytical feature on Cointime — ASTARTER 引领 Web4 AI Agent 时代 — systematically articulating the project strategic positioning in the autonomous AI Agent economy.</w:t>
      </w:r>
    </w:p>
    <w:p>
      <w:pPr>
        <w:pStyle w:val="Heading2"/>
        <w:spacing w:after="120" w:before="240"/>
      </w:pPr>
      <w:r>
        <w:t xml:space="preserve">FLASH 02 — Astarter × UXLINK Strategic Alliance</w:t>
      </w:r>
    </w:p>
    <w:p>
      <w:pPr>
        <w:spacing w:after="160" w:line="300"/>
      </w:pPr>
      <w:r>
        <w:t xml:space="preserve">On May 15 2026, Astarter announced a strategic alliance with UXLINK to jointly build the execution-plus-distribution stack for the autonomous AI Agent economy. The first publicly coordinated execution + distribution stack in the category.</w:t>
      </w:r>
    </w:p>
    <w:p>
      <w:pPr>
        <w:pStyle w:val="Heading2"/>
        <w:spacing w:after="120" w:before="240"/>
      </w:pPr>
      <w:r>
        <w:t xml:space="preserve">FLASH 03 — Web 4.0 AI Agent Economy Narrative</w:t>
      </w:r>
    </w:p>
    <w:p>
      <w:pPr>
        <w:spacing w:after="160" w:line="300"/>
      </w:pPr>
      <w:r>
        <w:t xml:space="preserve">Astarter has formally articulated the Web 4.0 AI Agent economy thesis through its recent Cointime deep-dive, positioning itself as one of the earliest projects to systematically frame the category in major crypto media.</w:t>
      </w:r>
    </w:p>
    <w:p>
      <w:pPr>
        <w:pStyle w:val="Heading2"/>
        <w:spacing w:after="120" w:before="240"/>
      </w:pPr>
      <w:r>
        <w:t xml:space="preserve">FLASH 04 — DeFAI Category First-Mover Position</w:t>
      </w:r>
    </w:p>
    <w:p>
      <w:pPr>
        <w:spacing w:after="160" w:line="300"/>
      </w:pPr>
      <w:r>
        <w:t xml:space="preserve">Astarter has positioned itself at the DeFAI category settlement layer — a structurally under-built slot competitors have not yet fully claimed.</w:t>
      </w:r>
    </w:p>
    <w:p>
      <w:pPr>
        <w:pStyle w:val="Heading2"/>
        <w:spacing w:after="120" w:before="240"/>
      </w:pPr>
      <w:r>
        <w:t xml:space="preserve">FLASH 05 — AA Token AA1→AA2 Transition Complete</w:t>
      </w:r>
    </w:p>
    <w:p>
      <w:pPr>
        <w:spacing w:after="160" w:line="300"/>
      </w:pPr>
      <w:r>
        <w:t xml:space="preserve">Astarter completed the AA1-to-AA2 transition of its AA token economic model in November 2025. AA has a fixed maximum supply of 100M units, functioning across four roles in the stack.</w:t>
      </w:r>
    </w:p>
    <w:p>
      <w:pPr>
        <w:pStyle w:val="Heading2"/>
        <w:spacing w:after="120" w:before="240"/>
      </w:pPr>
      <w:r>
        <w:t xml:space="preserve">FLASH 06 — Four-Product Stack Repositioning</w:t>
      </w:r>
    </w:p>
    <w:p>
      <w:pPr>
        <w:spacing w:after="160" w:line="300"/>
      </w:pPr>
      <w:r>
        <w:t xml:space="preserve">Astarter four production products are completing strategic repositioning from traditional DeFi infrastructure to financial primitive layer for the autonomous AI Agent economy. Recognition, not pivot.</w:t>
      </w:r>
    </w:p>
    <w:p>
      <w:pPr>
        <w:pStyle w:val="Heading2"/>
        <w:spacing w:after="120" w:before="240"/>
      </w:pPr>
      <w:r>
        <w:t xml:space="preserve">FLASH 07 — Multi-Chain Expansion Roadmap Signal</w:t>
      </w:r>
    </w:p>
    <w:p>
      <w:pPr>
        <w:spacing w:after="160" w:line="300"/>
      </w:pPr>
      <w:r>
        <w:t xml:space="preserve">Astarter has signaled a multi-chain expansion roadmap, planning to extend its settlement-layer infrastructure to EVM and Solana ecosystems progressively.</w:t>
      </w:r>
    </w:p>
    <w:p>
      <w:pPr>
        <w:pStyle w:val="Heading2"/>
        <w:spacing w:after="120" w:before="240"/>
      </w:pPr>
      <w:r>
        <w:t xml:space="preserve">FLASH 08 — EMURGO Continued Backing</w:t>
      </w:r>
    </w:p>
    <w:p>
      <w:pPr>
        <w:spacing w:after="160" w:line="300"/>
      </w:pPr>
      <w:r>
        <w:t xml:space="preserve">Astarter continues to receive institutional, ecosystem, and technical support from EMURGO — one of three founding entities of the Cardano protocol — since the September 2021 joint venture.</w:t>
      </w:r>
    </w:p>
    <w:p>
      <w:pPr>
        <w:pStyle w:val="Heading2"/>
        <w:spacing w:after="120" w:before="240"/>
      </w:pPr>
      <w:r>
        <w:t xml:space="preserve">FLASH 09 — Three-Layer Convergence Architecture</w:t>
      </w:r>
    </w:p>
    <w:p>
      <w:pPr>
        <w:spacing w:after="160" w:line="300"/>
      </w:pPr>
      <w:r>
        <w:t xml:space="preserve">Astarter has formally published a three-layer convergence architecture coordinating AI Agent, DePIN, and DeFAI under one stack.</w:t>
      </w:r>
    </w:p>
    <w:p>
      <w:pPr>
        <w:pStyle w:val="Heading2"/>
        <w:spacing w:after="120" w:before="240"/>
      </w:pPr>
      <w:r>
        <w:t xml:space="preserve">FLASH 10 — Cardano AI Infrastructure Representative</w:t>
      </w:r>
    </w:p>
    <w:p>
      <w:pPr>
        <w:spacing w:after="160" w:line="300"/>
      </w:pPr>
      <w:r>
        <w:t xml:space="preserve">Astarter has emerged as a representative AI infrastructure project in the Cardano ecosystem, providing Cardano concrete ecosystem anchor in the broader AI × Crypto trend.</w:t>
      </w:r>
    </w:p>
    <w:p>
      <w:pPr>
        <w:pStyle w:val="Heading2"/>
        <w:spacing w:after="120" w:before="240"/>
      </w:pPr>
      <w:r>
        <w:t xml:space="preserve">FLASH 11 — Media Partnership Matrix Expansion</w:t>
      </w:r>
    </w:p>
    <w:p>
      <w:pPr>
        <w:spacing w:after="160" w:line="300"/>
      </w:pPr>
      <w:r>
        <w:t xml:space="preserve">Following the Cointime feature, PANews, BlockBeats, TechFlow, Bitcoin86, ChainDD and other major Chinese crypto outlets are following up — Astarter media partnership matrix in rapid expansion.</w:t>
      </w:r>
    </w:p>
    <w:p>
      <w:pPr>
        <w:pStyle w:val="Heading2"/>
        <w:spacing w:after="120" w:before="240"/>
      </w:pPr>
      <w:r>
        <w:t xml:space="preserve">FLASH 12 — Developer Ecosystem Launch Signal</w:t>
      </w:r>
    </w:p>
    <w:p>
      <w:pPr>
        <w:spacing w:after="160" w:line="300"/>
      </w:pPr>
      <w:r>
        <w:t xml:space="preserve">Astarter has signaled developer ecosystem launch — DeFAI execution layer beta and developer Quickstart documentation expected to land within the next two quarters.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标题备选 · 配图说明 · 分发协调</w:t>
      </w:r>
    </w:p>
    <w:p>
      <w:pPr>
        <w:pStyle w:val="Heading2"/>
        <w:spacing w:after="120" w:before="240"/>
      </w:pPr>
      <w:r>
        <w:t xml:space="preserve">4.1 标题备选库（每动态 3 个）</w:t>
      </w:r>
    </w:p>
    <w:p>
      <w:pPr>
        <w:spacing w:after="160" w:line="300"/>
      </w:pPr>
      <w:r>
        <w:t xml:space="preserve">完整版见 12-headlines-bank-per-dynamic.md。本节为每动态默认标题的快速参考。</w:t>
      </w:r>
    </w:p>
    <w:p>
      <w:pPr>
        <w:spacing w:after="80"/>
      </w:pPr>
      <w:r>
        <w:rPr>
          <w:b/>
          <w:bCs/>
        </w:rPr>
        <w:t xml:space="preserve">01. </w:t>
      </w:r>
      <w:r>
        <w:t xml:space="preserve">Astarter 联合 Cointime 发布 Web4 AI Agent 时代深度长文</w:t>
      </w:r>
    </w:p>
    <w:p>
      <w:pPr>
        <w:spacing w:after="80"/>
      </w:pPr>
      <w:r>
        <w:rPr>
          <w:b/>
          <w:bCs/>
        </w:rPr>
        <w:t xml:space="preserve">02. </w:t>
      </w:r>
      <w:r>
        <w:t xml:space="preserve">Astarter 与 UXLINK 达成战略联盟 共建 Web4 AI Agent 经济执行层</w:t>
      </w:r>
    </w:p>
    <w:p>
      <w:pPr>
        <w:spacing w:after="80"/>
      </w:pPr>
      <w:r>
        <w:rPr>
          <w:b/>
          <w:bCs/>
        </w:rPr>
        <w:t xml:space="preserve">03. </w:t>
      </w:r>
      <w:r>
        <w:t xml:space="preserve">Astarter 率先在中文媒体阐述 Web 4.0 AI Agent 经济完整论点</w:t>
      </w:r>
    </w:p>
    <w:p>
      <w:pPr>
        <w:spacing w:after="80"/>
      </w:pPr>
      <w:r>
        <w:rPr>
          <w:b/>
          <w:bCs/>
        </w:rPr>
        <w:t xml:space="preserve">04. </w:t>
      </w:r>
      <w:r>
        <w:t xml:space="preserve">Astarter 锁定 DeFAI 清算层 占据结构性空缺位置</w:t>
      </w:r>
    </w:p>
    <w:p>
      <w:pPr>
        <w:spacing w:after="80"/>
      </w:pPr>
      <w:r>
        <w:rPr>
          <w:b/>
          <w:bCs/>
        </w:rPr>
        <w:t xml:space="preserve">05. </w:t>
      </w:r>
      <w:r>
        <w:t xml:space="preserve">Astarter 完成 AA Token AA1→AA2 经济模型过渡 TGE 前置工作奠基</w:t>
      </w:r>
    </w:p>
    <w:p>
      <w:pPr>
        <w:spacing w:after="80"/>
      </w:pPr>
      <w:r>
        <w:rPr>
          <w:b/>
          <w:bCs/>
        </w:rPr>
        <w:t xml:space="preserve">06. </w:t>
      </w:r>
      <w:r>
        <w:t xml:space="preserve">Astarter 四产品 DeFi 堆栈集体重新定位为 AI Agent 经济金融原语层</w:t>
      </w:r>
    </w:p>
    <w:p>
      <w:pPr>
        <w:spacing w:after="80"/>
      </w:pPr>
      <w:r>
        <w:rPr>
          <w:b/>
          <w:bCs/>
        </w:rPr>
        <w:t xml:space="preserve">07. </w:t>
      </w:r>
      <w:r>
        <w:t xml:space="preserve">Astarter 释放多链扩展路线图信号 计划延伸至 EVM 与 Solana 生态</w:t>
      </w:r>
    </w:p>
    <w:p>
      <w:pPr>
        <w:spacing w:after="80"/>
      </w:pPr>
      <w:r>
        <w:rPr>
          <w:b/>
          <w:bCs/>
        </w:rPr>
        <w:t xml:space="preserve">08. </w:t>
      </w:r>
      <w:r>
        <w:t xml:space="preserve">Cardano 基石机构 EMURGO 持续支持 Astarter AI 基础设施战略</w:t>
      </w:r>
    </w:p>
    <w:p>
      <w:pPr>
        <w:spacing w:after="80"/>
      </w:pPr>
      <w:r>
        <w:rPr>
          <w:b/>
          <w:bCs/>
        </w:rPr>
        <w:t xml:space="preserve">09. </w:t>
      </w:r>
      <w:r>
        <w:t xml:space="preserve">Astarter 公开三层融合架构 协调 AI Agent + DePIN + DeFAI 三大趋势</w:t>
      </w:r>
    </w:p>
    <w:p>
      <w:pPr>
        <w:spacing w:after="80"/>
      </w:pPr>
      <w:r>
        <w:rPr>
          <w:b/>
          <w:bCs/>
        </w:rPr>
        <w:t xml:space="preserve">10. </w:t>
      </w:r>
      <w:r>
        <w:t xml:space="preserve">Astarter 成为 Cardano 生态 AI 基础设施代表性项目</w:t>
      </w:r>
    </w:p>
    <w:p>
      <w:pPr>
        <w:spacing w:after="80"/>
      </w:pPr>
      <w:r>
        <w:rPr>
          <w:b/>
          <w:bCs/>
        </w:rPr>
        <w:t xml:space="preserve">11. </w:t>
      </w:r>
      <w:r>
        <w:t xml:space="preserve">Astarter 媒体合作矩阵持续扩展 多家头部中文加密媒体跟进</w:t>
      </w:r>
    </w:p>
    <w:p>
      <w:pPr>
        <w:spacing w:after="80"/>
      </w:pPr>
      <w:r>
        <w:rPr>
          <w:b/>
          <w:bCs/>
        </w:rPr>
        <w:t xml:space="preserve">12. </w:t>
      </w:r>
      <w:r>
        <w:t xml:space="preserve">Astarter 释放开发者生态启动信号 DeFAI 执行层 Beta 两季度内落地</w:t>
      </w:r>
    </w:p>
    <w:p>
      <w:pPr>
        <w:pStyle w:val="Heading2"/>
        <w:spacing w:after="120" w:before="240"/>
      </w:pPr>
      <w:r>
        <w:t xml:space="preserve">4.2 配套配图</w:t>
      </w:r>
    </w:p>
    <w:p>
      <w:pPr>
        <w:spacing w:after="160" w:line="300"/>
      </w:pPr>
      <w:r>
        <w:t xml:space="preserve">文件位置：visuals/promo-card-01.png 至 visuals/promo-card-12.png（1080×1080 PNG）。每张配图与同编号动态匹配，可与短稿同时投放。</w:t>
      </w:r>
    </w:p>
    <w:p>
      <w:pPr>
        <w:spacing w:after="160" w:line="300"/>
      </w:pPr>
      <w:r>
        <w:t xml:space="preserve">主海报：visuals/master-banner-CN-1180x480.png — 用于整套系列的入口或封面页。</w:t>
      </w:r>
    </w:p>
    <w:p>
      <w:pPr>
        <w:pStyle w:val="Heading2"/>
        <w:spacing w:after="120" w:before="240"/>
      </w:pPr>
      <w:r>
        <w:t xml:space="preserve">4.3 飞哥分发协调建议路由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PANews → UXLINK 战略联盟 + 多链路线图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BlockBeats → 三层融合架构 + DeFAI 占位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深潮 TechFlow → Web 4.0 叙事 + 开发者生态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巴比特 → EMURGO 背书 + Cardano AI 代表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链得得 → 四产品堆栈重定位 + 媒体矩阵扩展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火星财经 → AA Token AA1→AA2 过渡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金色财经 → Cointime 长文上线（快讯跟进）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Cointelegraph 中文 → 任何主稿（双语兼容）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Astarter 宣发台 · 内部草案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F2A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Astarter 项目动态宣发内容包</dc:title>
  <dc:creator>Zakky / Astarter 宣发台</dc:creator>
  <cp:lastModifiedBy>Un-named</cp:lastModifiedBy>
  <cp:revision>1</cp:revision>
  <dcterms:created xsi:type="dcterms:W3CDTF">2026-05-24T08:31:57.368Z</dcterms:created>
  <dcterms:modified xsi:type="dcterms:W3CDTF">2026-05-24T08:31:57.369Z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