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b/>
          <w:bCs/>
          <w:color w:val="1F2A44"/>
          <w:sz w:val="56"/>
          <w:szCs w:val="56"/>
        </w:rPr>
        <w:t xml:space="preserve">ASTARTER</w:t>
      </w:r>
    </w:p>
    <w:p>
      <w:pPr>
        <w:spacing w:after="400"/>
        <w:jc w:val="center"/>
      </w:pPr>
      <w:r>
        <w:rPr>
          <w:b/>
          <w:bCs/>
          <w:color w:val="6F00FF"/>
          <w:sz w:val="32"/>
          <w:szCs w:val="32"/>
        </w:rPr>
        <w:t xml:space="preserve">项目动态宣发内容</w:t>
      </w:r>
    </w:p>
    <w:p>
      <w:pPr>
        <w:spacing w:after="160"/>
        <w:jc w:val="center"/>
      </w:pPr>
      <w:r>
        <w:rPr>
          <w:i/>
          <w:iCs/>
          <w:color w:val="555555"/>
          <w:sz w:val="22"/>
          <w:szCs w:val="22"/>
        </w:rPr>
        <w:t xml:space="preserve">17 个项目动态 · 项目简介 · 9 项核心优势</w:t>
      </w:r>
    </w:p>
    <w:p>
      <w:pPr>
        <w:spacing w:after="400"/>
        <w:jc w:val="center"/>
      </w:pPr>
      <w:r>
        <w:rPr>
          <w:i/>
          <w:iCs/>
          <w:color w:val="888888"/>
          <w:sz w:val="16"/>
          <w:szCs w:val="16"/>
        </w:rPr>
        <w:t xml:space="preserve">v13.1 · 2026.05.25</w:t>
      </w:r>
    </w:p>
    <w:p>
      <w:pPr>
        <w:spacing w:after="200" w:before="400"/>
        <w:jc w:val="center"/>
      </w:pPr>
      <w:r>
        <w:drawing>
          <wp:inline distT="0" distB="0" distL="0" distR="0">
            <wp:extent cx="4572000" cy="1857375"/>
            <wp:effectExtent t="0" r="0" b="0" l="0"/>
            <wp:docPr id="1" name="banner" descr="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57375"/>
                    </a:xfrm>
                    <a:prstGeom prst="rect">
                      <a:avLst/>
                    </a:prstGeom>
                  </pic:spPr>
                </pic:pic>
              </a:graphicData>
            </a:graphic>
          </wp:inline>
        </w:drawing>
      </w:r>
    </w:p>
    <w:p>
      <w:r>
        <w:br w:type="page"/>
      </w:r>
    </w:p>
    <w:p>
      <w:pPr>
        <w:pStyle w:val="Heading1"/>
        <w:spacing w:after="180" w:before="360"/>
      </w:pPr>
      <w:r>
        <w:t xml:space="preserve">一、Astarter 项目简介</w:t>
      </w:r>
    </w:p>
    <w:p>
      <w:pPr>
        <w:spacing w:after="160" w:line="300"/>
      </w:pPr>
      <w:r>
        <w:t xml:space="preserve">Astarter 是为自主 AI 经济打造的基础设施 —— Web4 DePIN AI 原生网络。</w:t>
      </w:r>
    </w:p>
    <w:p>
      <w:pPr>
        <w:spacing w:after="160" w:line="300"/>
      </w:pPr>
      <w:r>
        <w:t xml:space="preserve">Astarter 将去中心化的 AI 智能体网络、DePIN 算力层与链上执行能力整合到一个统一堆栈，使自主 AI 智能体能够在链上独立运行、协调，并产生真实经济价值。</w:t>
      </w:r>
    </w:p>
    <w:p>
      <w:pPr>
        <w:spacing w:after="160" w:line="300"/>
      </w:pPr>
      <w:r>
        <w:t xml:space="preserve">项目核心产品 ABox 节点是 Astarter 网络的 AI 节点设备，让任何人都能运行 AI 智能体并加入全球 AI 经济。ABox 节点提供 AI Agent 执行所需的算力与执行环境，支持多智能体并行运行，并通过协议收入分享机制为节点运营者提供回报。</w:t>
      </w:r>
    </w:p>
    <w:p>
      <w:pPr>
        <w:spacing w:after="160" w:line="300"/>
      </w:pPr>
      <w:r>
        <w:t xml:space="preserve">Astarter 已获 OKX Ventures、EMURGO、Adaverse、MH Ventures、Avatar Capital、316VC、CRT Capital、Megala Ventures 等 8 家机构投资，由 OKX Ventures 与 EMURGO 共同领投。顾问团队包括 EMURGO 产品负责人 Sergio Sanchez、IOHK 非洲业务负责人 John O'Connor、IPOR Labs CEO Darren Camas。</w:t>
      </w:r>
    </w:p>
    <w:p>
      <w:pPr>
        <w:spacing w:after="160" w:line="300"/>
      </w:pPr>
      <w:r>
        <w:t xml:space="preserve">当前阶段（2026 Q3）核心里程碑：Mainnet 主网上线 + TGE 代币生成事件 + 代币经济模型落地 + ABox 节点计划 + Astarter Grant Program 启动。后续 Q4 将推出 AI DEX、ABox Agent App Store 与多链集成。</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二、Astarter 项目核心优势</w:t>
      </w:r>
    </w:p>
    <w:p>
      <w:pPr>
        <w:spacing w:after="160" w:line="300"/>
      </w:pPr>
      <w:r>
        <w:t xml:space="preserve">以下 9 项核心优势均基于 Astarter 官方公开资料（官网、项目手册、X 公告等已验证来源）整理。</w:t>
      </w:r>
    </w:p>
    <w:p>
      <w:pPr>
        <w:pStyle w:val="Heading3"/>
        <w:spacing w:after="100" w:before="200"/>
      </w:pPr>
      <w:r>
        <w:rPr>
          <w:color w:val="6F00FF"/>
        </w:rPr>
        <w:t xml:space="preserve">01 · Web4 AI DePIN 基础设施定位</w:t>
      </w:r>
    </w:p>
    <w:p>
      <w:pPr>
        <w:spacing w:after="160" w:line="300"/>
      </w:pPr>
      <w:r>
        <w:t xml:space="preserve">去中心化 AI 网络，将 DePIN 算力与链上执行结合，使自主 AI 智能体能够在 Cardano 及更多公链生态中运行、协调、产生真实经济价值。这是当前 AI × Crypto 类别中少数将 AI + DePIN + 链上执行整合到单一堆栈的项目方案。</w:t>
      </w:r>
    </w:p>
    <w:p>
      <w:pPr>
        <w:pStyle w:val="Heading3"/>
        <w:spacing w:after="100" w:before="200"/>
      </w:pPr>
      <w:r>
        <w:rPr>
          <w:color w:val="6F00FF"/>
        </w:rPr>
        <w:t xml:space="preserve">02 · 8 家机构资本背书</w:t>
      </w:r>
    </w:p>
    <w:p>
      <w:pPr>
        <w:spacing w:after="160" w:line="300"/>
      </w:pPr>
      <w:r>
        <w:t xml:space="preserve">OKX Ventures 与 EMURGO 共同领投，Adaverse、MH Ventures、Avatar Capital、316VC、CRT Capital、Megala Ventures 跟投。其中 OKX Ventures 代表头部交易所风投机构的认可，EMURGO 作为 Cardano 协议三大基石机构之一持续支持项目。多元化资本结构覆盖风险投资、交易所生态与战略合作伙伴三个维度。</w:t>
      </w:r>
    </w:p>
    <w:p>
      <w:pPr>
        <w:pStyle w:val="Heading3"/>
        <w:spacing w:after="100" w:before="200"/>
      </w:pPr>
      <w:r>
        <w:rPr>
          <w:color w:val="6F00FF"/>
        </w:rPr>
        <w:t xml:space="preserve">03 · 权威顾问团队</w:t>
      </w:r>
    </w:p>
    <w:p>
      <w:pPr>
        <w:spacing w:after="160" w:line="300"/>
      </w:pPr>
      <w:r>
        <w:t xml:space="preserve">项目由三位 Web3 行业资深领袖出任顾问：Sergio Sanchez（EMURGO 产品负责人，与 Cardano 生态 Yoroi Wallet 相关联）、John O'Connor（IOHK 非洲业务负责人）、Darren Camas（IPOR Labs 首席执行官）。顾问团队为项目提供战略指导、行业资源与全球网络支持。</w:t>
      </w:r>
    </w:p>
    <w:p>
      <w:pPr>
        <w:pStyle w:val="Heading3"/>
        <w:spacing w:after="100" w:before="200"/>
      </w:pPr>
      <w:r>
        <w:rPr>
          <w:color w:val="6F00FF"/>
        </w:rPr>
        <w:t xml:space="preserve">04 · 四层 AI 经济架构</w:t>
      </w:r>
    </w:p>
    <w:p>
      <w:pPr>
        <w:spacing w:after="160" w:line="300"/>
      </w:pPr>
      <w:r>
        <w:t xml:space="preserve">Astarter 公开「四层 AI 经济架构」：L4 应用层（AI DEX、预测市场、智能体应用商店）、L3 智能体层（自主 AI 智能体）、L2 节点层（ABox DePIN 节点）、L1 基础设施层（高性能区块链 + AI 原生执行环境）。L1 是基础，L4 是用户直接接触的层级。</w:t>
      </w:r>
    </w:p>
    <w:p>
      <w:pPr>
        <w:pStyle w:val="Heading3"/>
        <w:spacing w:after="100" w:before="200"/>
      </w:pPr>
      <w:r>
        <w:rPr>
          <w:color w:val="6F00FF"/>
        </w:rPr>
        <w:t xml:space="preserve">05 · ABox 节点产品就绪</w:t>
      </w:r>
    </w:p>
    <w:p>
      <w:pPr>
        <w:spacing w:after="160" w:line="300"/>
      </w:pPr>
      <w:r>
        <w:t xml:space="preserve">ABox 是 Astarter 网络的核心 AI 节点设备，已开放三档预售：LITE ($500，12,000 名额)、PRO ($1,000，最受欢迎，4,137 名额)、MAX ($3,000，1,142 名额)。所有节点均包含收入分享与 ABox 预售白名单。节点收入来源：AI Agent 执行费、ABox 算力奖励、Agent Marketplace 收入、AI DEX 费用、预测市场费用。</w:t>
      </w:r>
    </w:p>
    <w:p>
      <w:pPr>
        <w:pStyle w:val="Heading3"/>
        <w:spacing w:after="100" w:before="200"/>
      </w:pPr>
      <w:r>
        <w:rPr>
          <w:color w:val="6F00FF"/>
        </w:rPr>
        <w:t xml:space="preserve">06 · 2026 Q3 Mainnet 主网与 TGE 即将到来</w:t>
      </w:r>
    </w:p>
    <w:p>
      <w:pPr>
        <w:spacing w:after="160" w:line="300"/>
      </w:pPr>
      <w:r>
        <w:t xml:space="preserve">2026 Q3 当前阶段核心里程碑包括：Mainnet 主网上线、TGE 代币生成事件、代币经济模型落地、ABox 节点计划、Astarter Grant Program 启动、Native AI ↔ DePIN 原生交互。具备如此明确、可验证的近期里程碑在 AI Agent 类别中相对稀缺。</w:t>
      </w:r>
    </w:p>
    <w:p>
      <w:pPr>
        <w:pStyle w:val="Heading3"/>
        <w:spacing w:after="100" w:before="200"/>
      </w:pPr>
      <w:r>
        <w:rPr>
          <w:color w:val="6F00FF"/>
        </w:rPr>
        <w:t xml:space="preserve">07 · $AA 代币经济模型清晰</w:t>
      </w:r>
    </w:p>
    <w:p>
      <w:pPr>
        <w:spacing w:after="160" w:line="300"/>
      </w:pPr>
      <w:r>
        <w:t xml:space="preserve">$AA 代币总量固定为 10 亿枚，分配涵盖生态社区、生态发展、团队、市值管理、机构投资、节点空投、社区激励七大维度。其中生态与社区占比最大（42% / 4.2 亿枚）。质押挖矿机制为每日 250,000 $AA，每 6 个月减少 10%。</w:t>
      </w:r>
    </w:p>
    <w:p>
      <w:pPr>
        <w:pStyle w:val="Heading3"/>
        <w:spacing w:after="100" w:before="200"/>
      </w:pPr>
      <w:r>
        <w:rPr>
          <w:color w:val="6F00FF"/>
        </w:rPr>
        <w:t xml:space="preserve">08 · 持续的中文加密媒体覆盖</w:t>
      </w:r>
    </w:p>
    <w:p>
      <w:pPr>
        <w:spacing w:after="160" w:line="300"/>
      </w:pPr>
      <w:r>
        <w:t xml:space="preserve">已完成三个关键媒体节点：5 月 12 日联合 Cointime 举办 Twitter Space「AI Agents as the Autonomous Execution Layer of Web4」、5 月 14 日由芒果财经网发布完整项目报道、5 月 24 日 Cointime 上线 Web4 AI Agent 时代深度长文。三次连续出现奠定了项目在中文加密媒体的叙事位置。</w:t>
      </w:r>
    </w:p>
    <w:p>
      <w:pPr>
        <w:pStyle w:val="Heading3"/>
        <w:spacing w:after="100" w:before="200"/>
      </w:pPr>
      <w:r>
        <w:rPr>
          <w:color w:val="6F00FF"/>
        </w:rPr>
        <w:t xml:space="preserve">09 · 经济飞轮模型自我强化</w:t>
      </w:r>
    </w:p>
    <w:p>
      <w:pPr>
        <w:spacing w:after="160" w:line="300"/>
      </w:pPr>
      <w:r>
        <w:t xml:space="preserve">Astarter 公开「链上经济飞轮」四阶段循环：应用产生需求 → AI 智能体执行任务 → ABox 节点提供算力 → 收入回流至节点与网络。这一循环使每一次执行都强化整个网络，是项目长期可持续性的结构性基础。</w:t>
      </w:r>
    </w:p>
    <w:p>
      <w:r>
        <w:br w:type="page"/>
      </w:r>
    </w:p>
    <w:p>
      <w:pPr>
        <w:pStyle w:val="Heading1"/>
        <w:spacing w:after="180" w:before="360"/>
      </w:pPr>
      <w:r>
        <w:t xml:space="preserve">三、近期项目动态（17 条）</w:t>
      </w:r>
    </w:p>
    <w:p>
      <w:pPr>
        <w:spacing w:after="160" w:line="300"/>
      </w:pPr>
      <w:r>
        <w:t xml:space="preserve">以下 17 条项目动态可独立投放任意中文加密媒体，每条均包含 3 个标题备选与短稿。所有事实均来自 Astarter 官方公开材料、芒果财经网 5/14 文章、Cointime 5/24 长文等已验证来源。</w:t>
      </w:r>
    </w:p>
    <w:p>
      <w:r>
        <w:br w:type="page"/>
      </w:r>
    </w:p>
    <w:p>
      <w:pPr>
        <w:pStyle w:val="Heading1"/>
        <w:spacing w:after="180" w:before="360"/>
      </w:pPr>
      <w:r>
        <w:t xml:space="preserve">动态 01 — Astarter 官方定位：Web4 AI DePIN 基础设施</w:t>
      </w:r>
    </w:p>
    <w:p>
      <w:pPr>
        <w:pStyle w:val="Heading3"/>
        <w:spacing w:after="100" w:before="200"/>
      </w:pPr>
      <w:r>
        <w:rPr>
          <w:color w:val="6F00FF"/>
        </w:rPr>
        <w:t xml:space="preserve">标题备选</w:t>
      </w:r>
    </w:p>
    <w:p>
      <w:pPr>
        <w:spacing w:after="60"/>
      </w:pPr>
      <w:r>
        <w:rPr>
          <w:b/>
          <w:bCs/>
        </w:rPr>
        <w:t xml:space="preserve">1. </w:t>
      </w:r>
      <w:r>
        <w:t xml:space="preserve">Astarter 正式定位 Web4 AI DePIN 基础设施</w:t>
      </w:r>
    </w:p>
    <w:p>
      <w:pPr>
        <w:spacing w:after="60"/>
      </w:pPr>
      <w:r>
        <w:rPr>
          <w:b/>
          <w:bCs/>
        </w:rPr>
        <w:t xml:space="preserve">2. </w:t>
      </w:r>
      <w:r>
        <w:t xml:space="preserve">为自主 AI 经济打造的基础设施 — Astarter 公开核心定位</w:t>
      </w:r>
    </w:p>
    <w:p>
      <w:pPr>
        <w:spacing w:after="60"/>
      </w:pPr>
      <w:r>
        <w:rPr>
          <w:b/>
          <w:bCs/>
        </w:rPr>
        <w:t xml:space="preserve">3. </w:t>
      </w:r>
      <w:r>
        <w:t xml:space="preserve">Web4 DePIN AI 原生网络 Astarter 完整定位解读</w:t>
      </w:r>
    </w:p>
    <w:p>
      <w:pPr>
        <w:pStyle w:val="Heading3"/>
        <w:spacing w:after="100" w:before="200"/>
      </w:pPr>
      <w:r>
        <w:rPr>
          <w:color w:val="6F00FF"/>
        </w:rPr>
        <w:t xml:space="preserve">短稿</w:t>
      </w:r>
    </w:p>
    <w:p>
      <w:pPr>
        <w:spacing w:after="160" w:line="300"/>
      </w:pPr>
      <w:r>
        <w:t xml:space="preserve">Astarter 正式确立项目核心定位：为自主 AI 经济打造的基础设施 —— Web4 DePIN AI 原生网络。项目将去中心化 AI 智能体网络、DePIN 算力层与链上执行能力整合到统一堆栈，使自主 AI 智能体能够在 Cardano 及更多公链生态中独立运行、协调，并产生真实经济价值。这是当前 AI × Crypto 类别中少数将 AI + DePIN + 链上执行整合到单一堆栈的项目方案。</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02 — $AA 代币经济模型公布</w:t>
      </w:r>
    </w:p>
    <w:p>
      <w:pPr>
        <w:pStyle w:val="Heading3"/>
        <w:spacing w:after="100" w:before="200"/>
      </w:pPr>
      <w:r>
        <w:rPr>
          <w:color w:val="6F00FF"/>
        </w:rPr>
        <w:t xml:space="preserve">标题备选</w:t>
      </w:r>
    </w:p>
    <w:p>
      <w:pPr>
        <w:spacing w:after="60"/>
      </w:pPr>
      <w:r>
        <w:rPr>
          <w:b/>
          <w:bCs/>
        </w:rPr>
        <w:t xml:space="preserve">1. </w:t>
      </w:r>
      <w:r>
        <w:t xml:space="preserve">Astarter 公布 $AA 代币经济模型 总量 10 亿枚 生态社区占 42%</w:t>
      </w:r>
    </w:p>
    <w:p>
      <w:pPr>
        <w:spacing w:after="60"/>
      </w:pPr>
      <w:r>
        <w:rPr>
          <w:b/>
          <w:bCs/>
        </w:rPr>
        <w:t xml:space="preserve">2. </w:t>
      </w:r>
      <w:r>
        <w:t xml:space="preserve">$AA 代币分配解读：4.2 亿枚生态社区 + 1.2 亿团队 + 4 千万节点空投</w:t>
      </w:r>
    </w:p>
    <w:p>
      <w:pPr>
        <w:spacing w:after="60"/>
      </w:pPr>
      <w:r>
        <w:rPr>
          <w:b/>
          <w:bCs/>
        </w:rPr>
        <w:t xml:space="preserve">3. </w:t>
      </w:r>
      <w:r>
        <w:t xml:space="preserve">Astarter $AA 代币 10 亿总量 七大分配维度 + 质押挖矿机制</w:t>
      </w:r>
    </w:p>
    <w:p>
      <w:pPr>
        <w:pStyle w:val="Heading3"/>
        <w:spacing w:after="100" w:before="200"/>
      </w:pPr>
      <w:r>
        <w:rPr>
          <w:color w:val="6F00FF"/>
        </w:rPr>
        <w:t xml:space="preserve">短稿</w:t>
      </w:r>
    </w:p>
    <w:p>
      <w:pPr>
        <w:spacing w:after="160" w:line="300"/>
      </w:pPr>
      <w:r>
        <w:t xml:space="preserve">Astarter 官方公布 $AA 代币经济模型。总量固定为 10 亿枚（1,000,000,000 $AA），分配涵盖七大维度：生态与社区 42%（4.2 亿枚）、生态发展 26%（2.6 亿枚）、ASTARTER 团队 12%（1.2 亿枚，1 年悬崖 + 4 年线性解锁）、市值管理 10%（1 亿枚）、机构投资 5%（5 千万枚，1 年悬崖 + 4 年线性解锁）、节点空投 4%（4 千万枚）、社区激励 1%（1 千万枚）。</w:t>
      </w:r>
    </w:p>
    <w:p>
      <w:pPr>
        <w:spacing w:after="160" w:line="300"/>
      </w:pPr>
      <w:r>
        <w:t xml:space="preserve">质押挖矿机制：每日 ABF 节点与质押奖励合计 250,000 $AA，每 6 个月减少 10%。</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03 — ABox 节点产品开放预售（三档）</w:t>
      </w:r>
    </w:p>
    <w:p>
      <w:pPr>
        <w:pStyle w:val="Heading3"/>
        <w:spacing w:after="100" w:before="200"/>
      </w:pPr>
      <w:r>
        <w:rPr>
          <w:color w:val="6F00FF"/>
        </w:rPr>
        <w:t xml:space="preserve">标题备选</w:t>
      </w:r>
    </w:p>
    <w:p>
      <w:pPr>
        <w:spacing w:after="60"/>
      </w:pPr>
      <w:r>
        <w:rPr>
          <w:b/>
          <w:bCs/>
        </w:rPr>
        <w:t xml:space="preserve">1. </w:t>
      </w:r>
      <w:r>
        <w:t xml:space="preserve">Astarter ABox 节点开放三档预售 LITE / PRO / MAX 全面登场</w:t>
      </w:r>
    </w:p>
    <w:p>
      <w:pPr>
        <w:spacing w:after="60"/>
      </w:pPr>
      <w:r>
        <w:rPr>
          <w:b/>
          <w:bCs/>
        </w:rPr>
        <w:t xml:space="preserve">2. </w:t>
      </w:r>
      <w:r>
        <w:t xml:space="preserve">ABox 节点：Astarter 网络核心 AI 节点设备 即插即用支持多智能体并行</w:t>
      </w:r>
    </w:p>
    <w:p>
      <w:pPr>
        <w:spacing w:after="60"/>
      </w:pPr>
      <w:r>
        <w:rPr>
          <w:b/>
          <w:bCs/>
        </w:rPr>
        <w:t xml:space="preserve">3. </w:t>
      </w:r>
      <w:r>
        <w:t xml:space="preserve">ABox 节点预售开启 节点收入涵盖 Agent 执行费、DEX 费用、预测市场费用等</w:t>
      </w:r>
    </w:p>
    <w:p>
      <w:pPr>
        <w:pStyle w:val="Heading3"/>
        <w:spacing w:after="100" w:before="200"/>
      </w:pPr>
      <w:r>
        <w:rPr>
          <w:color w:val="6F00FF"/>
        </w:rPr>
        <w:t xml:space="preserve">短稿</w:t>
      </w:r>
    </w:p>
    <w:p>
      <w:pPr>
        <w:spacing w:after="160" w:line="300"/>
      </w:pPr>
      <w:r>
        <w:t xml:space="preserve">Astarter 核心产品 ABox 节点已开放三档预售：LITE（500 美元，12,000 名额）、PRO（1,000 美元，最受欢迎，4,137 名额）、MAX（3,000 美元，1,142 名额）。</w:t>
      </w:r>
    </w:p>
    <w:p>
      <w:pPr>
        <w:spacing w:after="160" w:line="300"/>
      </w:pPr>
      <w:r>
        <w:t xml:space="preserve">ABox 是 Astarter 网络的核心 AI 节点设备，具备：开放协议（兼容主流开源 Agent 框架）、链上执行能力（智能体可直接调用智能合约执行交易/策略）、即插即用、多智能体并行运行时。</w:t>
      </w:r>
    </w:p>
    <w:p>
      <w:pPr>
        <w:spacing w:after="160" w:line="300"/>
      </w:pPr>
      <w:r>
        <w:t xml:space="preserve">所有节点均包含收入分享与 ABox 预售白名单。节点收入涵盖 AI Agent 执行费、ABox 算力奖励、Agent Marketplace 收入、AI DEX 费用、预测市场费用。</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04 — 2026 Q3 Mainnet 主网与 TGE 即将到来</w:t>
      </w:r>
    </w:p>
    <w:p>
      <w:pPr>
        <w:pStyle w:val="Heading3"/>
        <w:spacing w:after="100" w:before="200"/>
      </w:pPr>
      <w:r>
        <w:rPr>
          <w:color w:val="6F00FF"/>
        </w:rPr>
        <w:t xml:space="preserve">标题备选</w:t>
      </w:r>
    </w:p>
    <w:p>
      <w:pPr>
        <w:spacing w:after="60"/>
      </w:pPr>
      <w:r>
        <w:rPr>
          <w:b/>
          <w:bCs/>
        </w:rPr>
        <w:t xml:space="preserve">1. </w:t>
      </w:r>
      <w:r>
        <w:t xml:space="preserve">Astarter 2026 Q3 Mainnet 主网上线 + TGE 代币生成事件即将到来</w:t>
      </w:r>
    </w:p>
    <w:p>
      <w:pPr>
        <w:spacing w:after="60"/>
      </w:pPr>
      <w:r>
        <w:rPr>
          <w:b/>
          <w:bCs/>
        </w:rPr>
        <w:t xml:space="preserve">2. </w:t>
      </w:r>
      <w:r>
        <w:t xml:space="preserve">路线图重磅 | Astarter 进入 Q3 阶段：Mainnet + TGE + ABox 节点计划 + Grant Program 同期启动</w:t>
      </w:r>
    </w:p>
    <w:p>
      <w:pPr>
        <w:spacing w:after="60"/>
      </w:pPr>
      <w:r>
        <w:rPr>
          <w:b/>
          <w:bCs/>
        </w:rPr>
        <w:t xml:space="preserve">3. </w:t>
      </w:r>
      <w:r>
        <w:t xml:space="preserve">Astarter 第二阶段路线图启动 7 大里程碑同步落地</w:t>
      </w:r>
    </w:p>
    <w:p>
      <w:pPr>
        <w:pStyle w:val="Heading3"/>
        <w:spacing w:after="100" w:before="200"/>
      </w:pPr>
      <w:r>
        <w:rPr>
          <w:color w:val="6F00FF"/>
        </w:rPr>
        <w:t xml:space="preserve">短稿</w:t>
      </w:r>
    </w:p>
    <w:p>
      <w:pPr>
        <w:spacing w:after="160" w:line="300"/>
      </w:pPr>
      <w:r>
        <w:t xml:space="preserve">Astarter 进入 2026 Q3 第二阶段路线图，多项关键里程碑同步推进：Mainnet 主网上线、TGE 代币生成事件（$AA 代币上线）、代币经济模型正式落地、战略合作伙伴持续扩展、ABox 节点计划全面启动、Astarter Grant Program 启动、Native AI ↔ DePIN 原生交互上线。</w:t>
      </w:r>
    </w:p>
    <w:p>
      <w:pPr>
        <w:spacing w:after="160" w:line="300"/>
      </w:pPr>
      <w:r>
        <w:t xml:space="preserve">具备如此明确、近期且可验证执行里程碑的项目在 AI Agent 类别中相对稀缺。</w:t>
      </w:r>
    </w:p>
    <w:p>
      <w:pPr>
        <w:spacing w:after="100" w:before="100"/>
        <w:jc w:val="center"/>
      </w:pPr>
      <w:r>
        <w:drawing>
          <wp:inline distT="0" distB="0" distL="0" distR="0">
            <wp:extent cx="4572000" cy="1857375"/>
            <wp:effectExtent t="0" r="0" b="0" l="0"/>
            <wp:docPr id="1" name="banner-roadmap-1180x480.png" descr="banner-roadmap-1180x480.png" title="banner-roadmap-1180x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57375"/>
                    </a:xfrm>
                    <a:prstGeom prst="rect">
                      <a:avLst/>
                    </a:prstGeom>
                  </pic:spPr>
                </pic:pic>
              </a:graphicData>
            </a:graphic>
          </wp:inline>
        </w:drawing>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05 — 8 大机构资本结构</w:t>
      </w:r>
    </w:p>
    <w:p>
      <w:pPr>
        <w:pStyle w:val="Heading3"/>
        <w:spacing w:after="100" w:before="200"/>
      </w:pPr>
      <w:r>
        <w:rPr>
          <w:color w:val="6F00FF"/>
        </w:rPr>
        <w:t xml:space="preserve">标题备选</w:t>
      </w:r>
    </w:p>
    <w:p>
      <w:pPr>
        <w:spacing w:after="60"/>
      </w:pPr>
      <w:r>
        <w:rPr>
          <w:b/>
          <w:bCs/>
        </w:rPr>
        <w:t xml:space="preserve">1. </w:t>
      </w:r>
      <w:r>
        <w:t xml:space="preserve">Astarter 获 8 大机构投资 OKX Ventures + EMURGO 共同领投</w:t>
      </w:r>
    </w:p>
    <w:p>
      <w:pPr>
        <w:spacing w:after="60"/>
      </w:pPr>
      <w:r>
        <w:rPr>
          <w:b/>
          <w:bCs/>
        </w:rPr>
        <w:t xml:space="preserve">2. </w:t>
      </w:r>
      <w:r>
        <w:t xml:space="preserve">重磅资本结构 | Astarter 完整投资人名单：OKX、EMURGO、Adaverse、MH、Avatar、316VC、CRT、Megala</w:t>
      </w:r>
    </w:p>
    <w:p>
      <w:pPr>
        <w:spacing w:after="60"/>
      </w:pPr>
      <w:r>
        <w:rPr>
          <w:b/>
          <w:bCs/>
        </w:rPr>
        <w:t xml:space="preserve">3. </w:t>
      </w:r>
      <w:r>
        <w:t xml:space="preserve">OKX Ventures 与 Cardano 基石机构 EMURGO 共同押注 Astarter</w:t>
      </w:r>
    </w:p>
    <w:p>
      <w:pPr>
        <w:pStyle w:val="Heading3"/>
        <w:spacing w:after="100" w:before="200"/>
      </w:pPr>
      <w:r>
        <w:rPr>
          <w:color w:val="6F00FF"/>
        </w:rPr>
        <w:t xml:space="preserve">短稿</w:t>
      </w:r>
    </w:p>
    <w:p>
      <w:pPr>
        <w:spacing w:after="160" w:line="300"/>
      </w:pPr>
      <w:r>
        <w:t xml:space="preserve">Astarter 项目已获 8 家机构投资，构建覆盖风险投资、交易所生态与战略合作伙伴的多元化资本结构：</w:t>
      </w:r>
    </w:p>
    <w:p>
      <w:pPr>
        <w:spacing w:after="160" w:line="300"/>
      </w:pPr>
      <w:r>
        <w:t xml:space="preserve">领投：OKX Ventures、EMURGO（Cardano 协议三大基石机构之一）。</w:t>
      </w:r>
    </w:p>
    <w:p>
      <w:pPr>
        <w:spacing w:after="160" w:line="300"/>
      </w:pPr>
      <w:r>
        <w:t xml:space="preserve">跟投：Adaverse、MH Ventures、Avatar Capital、316VC、CRT Capital、Megala Ventures。</w:t>
      </w:r>
    </w:p>
    <w:p>
      <w:pPr>
        <w:spacing w:after="160" w:line="300"/>
      </w:pPr>
      <w:r>
        <w:t xml:space="preserve">OKX Ventures 代表头部交易所风投机构的认可，EMURGO 持续支持项目自 2021 年起的生态发展。这一资本结构在 AI Agent 基础设施类别中具备显著的机构信用基础。</w:t>
      </w:r>
    </w:p>
    <w:p>
      <w:pPr>
        <w:spacing w:after="100" w:before="100"/>
        <w:jc w:val="center"/>
      </w:pPr>
      <w:r>
        <w:drawing>
          <wp:inline distT="0" distB="0" distL="0" distR="0">
            <wp:extent cx="4572000" cy="1857375"/>
            <wp:effectExtent t="0" r="0" b="0" l="0"/>
            <wp:docPr id="1" name="banner-investors-1180x480.png" descr="banner-investors-1180x480.png" title="banner-investors-1180x4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57375"/>
                    </a:xfrm>
                    <a:prstGeom prst="rect">
                      <a:avLst/>
                    </a:prstGeom>
                  </pic:spPr>
                </pic:pic>
              </a:graphicData>
            </a:graphic>
          </wp:inline>
        </w:drawing>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06 — 权威顾问团队亮相</w:t>
      </w:r>
    </w:p>
    <w:p>
      <w:pPr>
        <w:pStyle w:val="Heading3"/>
        <w:spacing w:after="100" w:before="200"/>
      </w:pPr>
      <w:r>
        <w:rPr>
          <w:color w:val="6F00FF"/>
        </w:rPr>
        <w:t xml:space="preserve">标题备选</w:t>
      </w:r>
    </w:p>
    <w:p>
      <w:pPr>
        <w:spacing w:after="60"/>
      </w:pPr>
      <w:r>
        <w:rPr>
          <w:b/>
          <w:bCs/>
        </w:rPr>
        <w:t xml:space="preserve">1. </w:t>
      </w:r>
      <w:r>
        <w:t xml:space="preserve">Astarter 公布权威顾问团队 EMURGO + IOHK + IPOR Labs 三大行业领袖坐镇</w:t>
      </w:r>
    </w:p>
    <w:p>
      <w:pPr>
        <w:spacing w:after="60"/>
      </w:pPr>
      <w:r>
        <w:rPr>
          <w:b/>
          <w:bCs/>
        </w:rPr>
        <w:t xml:space="preserve">2. </w:t>
      </w:r>
      <w:r>
        <w:t xml:space="preserve">顾问阵容 | Sergio Sanchez (EMURGO) + John O'Connor (IOHK) + Darren Camas (IPOR Labs)</w:t>
      </w:r>
    </w:p>
    <w:p>
      <w:pPr>
        <w:spacing w:after="60"/>
      </w:pPr>
      <w:r>
        <w:rPr>
          <w:b/>
          <w:bCs/>
        </w:rPr>
        <w:t xml:space="preserve">3. </w:t>
      </w:r>
      <w:r>
        <w:t xml:space="preserve">Cardano 生态资深力量加持 Astarter 顾问团队解读</w:t>
      </w:r>
    </w:p>
    <w:p>
      <w:pPr>
        <w:pStyle w:val="Heading3"/>
        <w:spacing w:after="100" w:before="200"/>
      </w:pPr>
      <w:r>
        <w:rPr>
          <w:color w:val="6F00FF"/>
        </w:rPr>
        <w:t xml:space="preserve">短稿</w:t>
      </w:r>
    </w:p>
    <w:p>
      <w:pPr>
        <w:spacing w:after="160" w:line="300"/>
      </w:pPr>
      <w:r>
        <w:t xml:space="preserve">Astarter 公布项目顾问团队，由三位 Web3 行业资深领袖出任：Sergio Sanchez（EMURGO 产品负责人，与 Cardano 生态 Yoroi Wallet 相关联）、John O'Connor（IOHK 非洲业务负责人，IOHK 是 Cardano 的核心开发实体）、Darren Camas（IPOR Labs 首席执行官）。</w:t>
      </w:r>
    </w:p>
    <w:p>
      <w:pPr>
        <w:spacing w:after="160" w:line="300"/>
      </w:pPr>
      <w:r>
        <w:t xml:space="preserve">顾问团队为项目提供战略指导、行业资源与全球网络支持，特别强化了 Astarter 在 Cardano 生态中的根基与机构信用基础。</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07 — 四层 AI 经济架构</w:t>
      </w:r>
    </w:p>
    <w:p>
      <w:pPr>
        <w:pStyle w:val="Heading3"/>
        <w:spacing w:after="100" w:before="200"/>
      </w:pPr>
      <w:r>
        <w:rPr>
          <w:color w:val="6F00FF"/>
        </w:rPr>
        <w:t xml:space="preserve">标题备选</w:t>
      </w:r>
    </w:p>
    <w:p>
      <w:pPr>
        <w:spacing w:after="60"/>
      </w:pPr>
      <w:r>
        <w:rPr>
          <w:b/>
          <w:bCs/>
        </w:rPr>
        <w:t xml:space="preserve">1. </w:t>
      </w:r>
      <w:r>
        <w:t xml:space="preserve">Astarter 公开四层 AI 经济架构 从基础设施到应用全栈覆盖</w:t>
      </w:r>
    </w:p>
    <w:p>
      <w:pPr>
        <w:spacing w:after="60"/>
      </w:pPr>
      <w:r>
        <w:rPr>
          <w:b/>
          <w:bCs/>
        </w:rPr>
        <w:t xml:space="preserve">2. </w:t>
      </w:r>
      <w:r>
        <w:t xml:space="preserve">应用层 + 智能体层 + 节点层 + 基础设施层 | Astarter 四层架构详解</w:t>
      </w:r>
    </w:p>
    <w:p>
      <w:pPr>
        <w:spacing w:after="60"/>
      </w:pPr>
      <w:r>
        <w:rPr>
          <w:b/>
          <w:bCs/>
        </w:rPr>
        <w:t xml:space="preserve">3. </w:t>
      </w:r>
      <w:r>
        <w:t xml:space="preserve">L1 到 L4 完整堆栈 Astarter 如何构建端到端 AI 经济基础设施</w:t>
      </w:r>
    </w:p>
    <w:p>
      <w:pPr>
        <w:pStyle w:val="Heading3"/>
        <w:spacing w:after="100" w:before="200"/>
      </w:pPr>
      <w:r>
        <w:rPr>
          <w:color w:val="6F00FF"/>
        </w:rPr>
        <w:t xml:space="preserve">短稿</w:t>
      </w:r>
    </w:p>
    <w:p>
      <w:pPr>
        <w:spacing w:after="160" w:line="300"/>
      </w:pPr>
      <w:r>
        <w:t xml:space="preserve">Astarter 公开其「四层 AI 经济架构」，每一层都建立在下一层之上：L4 应用层（AI DEX、预测市场、智能体应用商店）、L3 智能体层（自主 AI 智能体在执行交易、策略和预测的同时产生收入）、L2 节点层（ABox DePIN 节点提供算力与执行）、L1 基础设施层（高性能区块链 + AI 原生执行环境）。</w:t>
      </w:r>
    </w:p>
    <w:p>
      <w:pPr>
        <w:spacing w:after="160" w:line="300"/>
      </w:pPr>
      <w:r>
        <w:t xml:space="preserve">L1 是基础，L4 是用户直接接触的层级。这一架构使 Astarter 成为 AI Agent 经济类别中少数从底层基础设施到上层应用提供完整端到端方案的项目之一。</w:t>
      </w:r>
    </w:p>
    <w:p>
      <w:pPr>
        <w:spacing w:after="100" w:before="100"/>
        <w:jc w:val="center"/>
      </w:pPr>
      <w:r>
        <w:drawing>
          <wp:inline distT="0" distB="0" distL="0" distR="0">
            <wp:extent cx="3048000" cy="3048000"/>
            <wp:effectExtent t="0" r="0" b="0" l="0"/>
            <wp:docPr id="1" name="dynamic-09-three-layer.png" descr="dynamic-09-three-layer.png" title="dynamic-09-three-lay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048000"/>
                    </a:xfrm>
                    <a:prstGeom prst="rect">
                      <a:avLst/>
                    </a:prstGeom>
                  </pic:spPr>
                </pic:pic>
              </a:graphicData>
            </a:graphic>
          </wp:inline>
        </w:drawing>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08 — 核心应用场景矩阵</w:t>
      </w:r>
    </w:p>
    <w:p>
      <w:pPr>
        <w:pStyle w:val="Heading3"/>
        <w:spacing w:after="100" w:before="200"/>
      </w:pPr>
      <w:r>
        <w:rPr>
          <w:color w:val="6F00FF"/>
        </w:rPr>
        <w:t xml:space="preserve">标题备选</w:t>
      </w:r>
    </w:p>
    <w:p>
      <w:pPr>
        <w:spacing w:after="60"/>
      </w:pPr>
      <w:r>
        <w:rPr>
          <w:b/>
          <w:bCs/>
        </w:rPr>
        <w:t xml:space="preserve">1. </w:t>
      </w:r>
      <w:r>
        <w:t xml:space="preserve">Astarter 公开核心应用场景 AI DEX + 预测市场 + 智能体应用商店 + 数据市场</w:t>
      </w:r>
    </w:p>
    <w:p>
      <w:pPr>
        <w:spacing w:after="60"/>
      </w:pPr>
      <w:r>
        <w:rPr>
          <w:b/>
          <w:bCs/>
        </w:rPr>
        <w:t xml:space="preserve">2. </w:t>
      </w:r>
      <w:r>
        <w:t xml:space="preserve">AI Agent 经济四大用例 | Astarter 应用矩阵详解</w:t>
      </w:r>
    </w:p>
    <w:p>
      <w:pPr>
        <w:spacing w:after="60"/>
      </w:pPr>
      <w:r>
        <w:rPr>
          <w:b/>
          <w:bCs/>
        </w:rPr>
        <w:t xml:space="preserve">3. </w:t>
      </w:r>
      <w:r>
        <w:t xml:space="preserve">从 AI DEX 到数据市场 Astarter 如何承接自主 AI 智能体的真实需求</w:t>
      </w:r>
    </w:p>
    <w:p>
      <w:pPr>
        <w:pStyle w:val="Heading3"/>
        <w:spacing w:after="100" w:before="200"/>
      </w:pPr>
      <w:r>
        <w:rPr>
          <w:color w:val="6F00FF"/>
        </w:rPr>
        <w:t xml:space="preserve">短稿</w:t>
      </w:r>
    </w:p>
    <w:p>
      <w:pPr>
        <w:spacing w:after="160" w:line="300"/>
      </w:pPr>
      <w:r>
        <w:t xml:space="preserve">Astarter 公开核心应用场景矩阵，覆盖 AI Agent 经济的四大用例：AI DEX（智能体执行交易、做市与套利）、预测市场（分析数据加入预测市场）、Agent Marketplace 智能体市场（用户购买/部署/租赁 AI 智能体）、数据市场（智能体生成、处理与交易数据）。</w:t>
      </w:r>
    </w:p>
    <w:p>
      <w:pPr>
        <w:spacing w:after="160" w:line="300"/>
      </w:pPr>
      <w:r>
        <w:t xml:space="preserve">应用矩阵的多元化覆盖使 Astarter 能够承接自主 AI 智能体在不同场景的真实需求，并通过经济飞轮回流网络价值。</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09 — 经济飞轮模型</w:t>
      </w:r>
    </w:p>
    <w:p>
      <w:pPr>
        <w:pStyle w:val="Heading3"/>
        <w:spacing w:after="100" w:before="200"/>
      </w:pPr>
      <w:r>
        <w:rPr>
          <w:color w:val="6F00FF"/>
        </w:rPr>
        <w:t xml:space="preserve">标题备选</w:t>
      </w:r>
    </w:p>
    <w:p>
      <w:pPr>
        <w:spacing w:after="60"/>
      </w:pPr>
      <w:r>
        <w:rPr>
          <w:b/>
          <w:bCs/>
        </w:rPr>
        <w:t xml:space="preserve">1. </w:t>
      </w:r>
      <w:r>
        <w:t xml:space="preserve">Astarter 经济飞轮模型公开 应用 → 智能体 → 节点 → 价值的自我强化循环</w:t>
      </w:r>
    </w:p>
    <w:p>
      <w:pPr>
        <w:spacing w:after="60"/>
      </w:pPr>
      <w:r>
        <w:rPr>
          <w:b/>
          <w:bCs/>
        </w:rPr>
        <w:t xml:space="preserve">2. </w:t>
      </w:r>
      <w:r>
        <w:t xml:space="preserve">四阶段经济飞轮 | Astarter 如何让每次执行都强化整个网络</w:t>
      </w:r>
    </w:p>
    <w:p>
      <w:pPr>
        <w:spacing w:after="60"/>
      </w:pPr>
      <w:r>
        <w:rPr>
          <w:b/>
          <w:bCs/>
        </w:rPr>
        <w:t xml:space="preserve">3. </w:t>
      </w:r>
      <w:r>
        <w:t xml:space="preserve">On-Chain Economic Flywheel | Astarter 长期可持续性的结构性基础</w:t>
      </w:r>
    </w:p>
    <w:p>
      <w:pPr>
        <w:pStyle w:val="Heading3"/>
        <w:spacing w:after="100" w:before="200"/>
      </w:pPr>
      <w:r>
        <w:rPr>
          <w:color w:val="6F00FF"/>
        </w:rPr>
        <w:t xml:space="preserve">短稿</w:t>
      </w:r>
    </w:p>
    <w:p>
      <w:pPr>
        <w:spacing w:after="160" w:line="300"/>
      </w:pPr>
      <w:r>
        <w:t xml:space="preserve">Astarter 公开「链上经济飞轮」四阶段循环模型：(1) 需求 - 应用层：DEX、预测市场、数据市场等应用产生真实需求；(2) 生产者 - AI 智能体：执行交易、预测、分析等任务；(3) 基础设施 - ABox 节点：提供算力、部署与执行环境；(4) 价值 - 收入与激励：执行费用、交易利润、协议收入分享回流至节点与网络。</w:t>
      </w:r>
    </w:p>
    <w:p>
      <w:pPr>
        <w:spacing w:after="160" w:line="300"/>
      </w:pPr>
      <w:r>
        <w:t xml:space="preserve">每一次执行都强化整个网络，循环复利累积。这是 Astarter 长期可持续性的结构性基础。</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10 — Astarter Grant Program 启动</w:t>
      </w:r>
    </w:p>
    <w:p>
      <w:pPr>
        <w:pStyle w:val="Heading3"/>
        <w:spacing w:after="100" w:before="200"/>
      </w:pPr>
      <w:r>
        <w:rPr>
          <w:color w:val="6F00FF"/>
        </w:rPr>
        <w:t xml:space="preserve">标题备选</w:t>
      </w:r>
    </w:p>
    <w:p>
      <w:pPr>
        <w:spacing w:after="60"/>
      </w:pPr>
      <w:r>
        <w:rPr>
          <w:b/>
          <w:bCs/>
        </w:rPr>
        <w:t xml:space="preserve">1. </w:t>
      </w:r>
      <w:r>
        <w:t xml:space="preserve">Astarter Grant Program 即将启动 邀请开发者共建 Web4 AI Agent 生态</w:t>
      </w:r>
    </w:p>
    <w:p>
      <w:pPr>
        <w:spacing w:after="60"/>
      </w:pPr>
      <w:r>
        <w:rPr>
          <w:b/>
          <w:bCs/>
        </w:rPr>
        <w:t xml:space="preserve">2. </w:t>
      </w:r>
      <w:r>
        <w:t xml:space="preserve">重磅 | Astarter 2026 Q3 Grant Program 启动 加速生态建设</w:t>
      </w:r>
    </w:p>
    <w:p>
      <w:pPr>
        <w:spacing w:after="60"/>
      </w:pPr>
      <w:r>
        <w:rPr>
          <w:b/>
          <w:bCs/>
        </w:rPr>
        <w:t xml:space="preserve">3. </w:t>
      </w:r>
      <w:r>
        <w:t xml:space="preserve">Astarter 开放生态资助计划 与全球 Web4 AI Agent 开发者共建</w:t>
      </w:r>
    </w:p>
    <w:p>
      <w:pPr>
        <w:pStyle w:val="Heading3"/>
        <w:spacing w:after="100" w:before="200"/>
      </w:pPr>
      <w:r>
        <w:rPr>
          <w:color w:val="6F00FF"/>
        </w:rPr>
        <w:t xml:space="preserve">短稿</w:t>
      </w:r>
    </w:p>
    <w:p>
      <w:pPr>
        <w:spacing w:after="160" w:line="300"/>
      </w:pPr>
      <w:r>
        <w:t xml:space="preserve">作为 2026 Q3 路线图的重要组成部分，Astarter Grant Program 即将启动。该计划将作为项目生态扩展的关键加速器，邀请全球 Web4 AI Agent 开发者、ABox 节点运营者、应用构建者参与生态建设。</w:t>
      </w:r>
    </w:p>
    <w:p>
      <w:pPr>
        <w:spacing w:after="160" w:line="300"/>
      </w:pPr>
      <w:r>
        <w:t xml:space="preserve">Grant Program 与 Mainnet 主网上线、TGE 代币生成事件、ABox 节点计划同期推进，构成 Astarter 在 2026 Q3 的完整生态启动组合。具体申请通道、资助方向、首批资助项目名单将在后续公告中公布。</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11 — Cointime 长文重磅上线</w:t>
      </w:r>
    </w:p>
    <w:p>
      <w:pPr>
        <w:pStyle w:val="Heading3"/>
        <w:spacing w:after="100" w:before="200"/>
      </w:pPr>
      <w:r>
        <w:rPr>
          <w:color w:val="6F00FF"/>
        </w:rPr>
        <w:t xml:space="preserve">标题备选</w:t>
      </w:r>
    </w:p>
    <w:p>
      <w:pPr>
        <w:spacing w:after="60"/>
      </w:pPr>
      <w:r>
        <w:rPr>
          <w:b/>
          <w:bCs/>
        </w:rPr>
        <w:t xml:space="preserve">1. </w:t>
      </w:r>
      <w:r>
        <w:t xml:space="preserve">Astarter Web4 × DeFAI 基础设施平台获 OKX Ventures 与 EMURGO 双领投 — Cointime 长文上线</w:t>
      </w:r>
    </w:p>
    <w:p>
      <w:pPr>
        <w:spacing w:after="60"/>
      </w:pPr>
      <w:r>
        <w:rPr>
          <w:b/>
          <w:bCs/>
        </w:rPr>
        <w:t xml:space="preserve">2. </w:t>
      </w:r>
      <w:r>
        <w:t xml:space="preserve">重磅 | Cointime 上线 Astarter 万字长文 完整阐述 Web4 AI DePIN 基础设施</w:t>
      </w:r>
    </w:p>
    <w:p>
      <w:pPr>
        <w:spacing w:after="60"/>
      </w:pPr>
      <w:r>
        <w:rPr>
          <w:b/>
          <w:bCs/>
        </w:rPr>
        <w:t xml:space="preserve">3. </w:t>
      </w:r>
      <w:r>
        <w:t xml:space="preserve">Cardano 生态首个 Web4 AI DePIN 基础设施完整论点 Astarter 长文上线 Cointime</w:t>
      </w:r>
    </w:p>
    <w:p>
      <w:pPr>
        <w:pStyle w:val="Heading3"/>
        <w:spacing w:after="100" w:before="200"/>
      </w:pPr>
      <w:r>
        <w:rPr>
          <w:color w:val="6F00FF"/>
        </w:rPr>
        <w:t xml:space="preserve">短稿</w:t>
      </w:r>
    </w:p>
    <w:p>
      <w:pPr>
        <w:spacing w:after="160" w:line="300"/>
      </w:pPr>
      <w:r>
        <w:t xml:space="preserve">2026 年 5 月 24 日，Cardano 生态基础设施平台 Astarter 联合头部加密媒体 Cointime 正式发布深度长文《Astarter Web4 × DeFAI 基础设施平台 获 OKX Ventures 与 EMURGO 双领投》，系统阐述项目作为 Web4 AI DePIN 基础设施的战略定位、资本结构与执行路径。文章首次完整呈现 Astarter 的四层 AI 经济架构、ABox 节点产品方案、$AA 代币经济模型与 2026 Q3 路线图。</w:t>
      </w:r>
    </w:p>
    <w:p>
      <w:pPr>
        <w:spacing w:after="160" w:line="300"/>
      </w:pPr>
      <w:r>
        <w:t xml:space="preserve">📰 完整长文：https://cn.cointime.ai/news/astarter-web4-x-defai-ji-chu-she-shi-ping-tai-huo-okx-ventures-yu-emurgo-shuang-ling-tou-71920</w:t>
      </w:r>
    </w:p>
    <w:p>
      <w:pPr>
        <w:spacing w:after="100" w:before="100"/>
        <w:jc w:val="center"/>
      </w:pPr>
      <w:r>
        <w:drawing>
          <wp:inline distT="0" distB="0" distL="0" distR="0">
            <wp:extent cx="3048000" cy="3048000"/>
            <wp:effectExtent t="0" r="0" b="0" l="0"/>
            <wp:docPr id="1" name="dynamic-01-cointime-launch.png" descr="dynamic-01-cointime-launch.png" title="dynamic-01-cointime-lau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048000"/>
                    </a:xfrm>
                    <a:prstGeom prst="rect">
                      <a:avLst/>
                    </a:prstGeom>
                  </pic:spPr>
                </pic:pic>
              </a:graphicData>
            </a:graphic>
          </wp:inline>
        </w:drawing>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12 — Cointime × Astarter Twitter Space (5/12)</w:t>
      </w:r>
    </w:p>
    <w:p>
      <w:pPr>
        <w:pStyle w:val="Heading3"/>
        <w:spacing w:after="100" w:before="200"/>
      </w:pPr>
      <w:r>
        <w:rPr>
          <w:color w:val="6F00FF"/>
        </w:rPr>
        <w:t xml:space="preserve">标题备选</w:t>
      </w:r>
    </w:p>
    <w:p>
      <w:pPr>
        <w:spacing w:after="60"/>
      </w:pPr>
      <w:r>
        <w:rPr>
          <w:b/>
          <w:bCs/>
        </w:rPr>
        <w:t xml:space="preserve">1. </w:t>
      </w:r>
      <w:r>
        <w:t xml:space="preserve">Cointime × Astarter Twitter Space 集结 AI Agent × Web4 多项目深度对话</w:t>
      </w:r>
    </w:p>
    <w:p>
      <w:pPr>
        <w:spacing w:after="60"/>
      </w:pPr>
      <w:r>
        <w:rPr>
          <w:b/>
          <w:bCs/>
        </w:rPr>
        <w:t xml:space="preserve">2. </w:t>
      </w:r>
      <w:r>
        <w:t xml:space="preserve">AI Agents as the Autonomous Execution Layer of Web4 — Cointime × Astarter 联合 AMA 全程回顾</w:t>
      </w:r>
    </w:p>
    <w:p>
      <w:pPr>
        <w:spacing w:after="60"/>
      </w:pPr>
      <w:r>
        <w:rPr>
          <w:b/>
          <w:bCs/>
        </w:rPr>
        <w:t xml:space="preserve">3. </w:t>
      </w:r>
      <w:r>
        <w:t xml:space="preserve">5/12 Cointime × Astarter Space：多项目联合探讨 AI Agent 演进路径</w:t>
      </w:r>
    </w:p>
    <w:p>
      <w:pPr>
        <w:pStyle w:val="Heading3"/>
        <w:spacing w:after="100" w:before="200"/>
      </w:pPr>
      <w:r>
        <w:rPr>
          <w:color w:val="6F00FF"/>
        </w:rPr>
        <w:t xml:space="preserve">短稿</w:t>
      </w:r>
    </w:p>
    <w:p>
      <w:pPr>
        <w:spacing w:after="160" w:line="300"/>
      </w:pPr>
      <w:r>
        <w:t xml:space="preserve">2026 年 5 月 12 日 20:00 (UTC+8)，Cointime 与 Astarter 联合举办 Twitter Space，主题为「AI Agents as the Autonomous Execution Layer of Web4」。本次 Space 由 Ayelle (@ayelleley) 主持，集结多位 AI Agent × Web4 领域的关键项目代表：Batman（AstarterDefiHub）、Jakob（SumPlusReal 联合创始人）、Sofija（BrcToTheMoon CMO）、Austin（Global Ambassador）、Darkan（OriginsNetwork 核心团队）。</w:t>
      </w:r>
    </w:p>
    <w:p>
      <w:pPr>
        <w:spacing w:after="160" w:line="300"/>
      </w:pPr>
      <w:r>
        <w:t xml:space="preserve">讨论聚焦三大议题：AI Agent × Web4 领域的项目侧重、AI Agent 首先颠覆的领域（DeFi / 交易 / 链上资产管理）、未来 6-12 个月最具行动力的机会。</w:t>
      </w:r>
    </w:p>
    <w:p>
      <w:pPr>
        <w:spacing w:after="160" w:line="300"/>
      </w:pPr>
      <w:r>
        <w:t xml:space="preserve">🔗 Space 回放：https://x.com/i/spaces/1akbd/i/spaces/1KbdbAWnBkJX</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13 — Astarter × UXLINK 战略合作</w:t>
      </w:r>
    </w:p>
    <w:p>
      <w:pPr>
        <w:pStyle w:val="Heading3"/>
        <w:spacing w:after="100" w:before="200"/>
      </w:pPr>
      <w:r>
        <w:rPr>
          <w:color w:val="6F00FF"/>
        </w:rPr>
        <w:t xml:space="preserve">标题备选</w:t>
      </w:r>
    </w:p>
    <w:p>
      <w:pPr>
        <w:spacing w:after="60"/>
      </w:pPr>
      <w:r>
        <w:rPr>
          <w:b/>
          <w:bCs/>
        </w:rPr>
        <w:t xml:space="preserve">1. </w:t>
      </w:r>
      <w:r>
        <w:t xml:space="preserve">Astarter 与 UXLINK 达成战略合作 推动 Web4 AI Agent 经济社交化采用</w:t>
      </w:r>
    </w:p>
    <w:p>
      <w:pPr>
        <w:spacing w:after="60"/>
      </w:pPr>
      <w:r>
        <w:rPr>
          <w:b/>
          <w:bCs/>
        </w:rPr>
        <w:t xml:space="preserve">2. </w:t>
      </w:r>
      <w:r>
        <w:t xml:space="preserve">重磅合作 | Astarter × UXLINK 整合 AI 原生基础设施与社交驱动生态</w:t>
      </w:r>
    </w:p>
    <w:p>
      <w:pPr>
        <w:spacing w:after="60"/>
      </w:pPr>
      <w:r>
        <w:rPr>
          <w:b/>
          <w:bCs/>
        </w:rPr>
        <w:t xml:space="preserve">3. </w:t>
      </w:r>
      <w:r>
        <w:t xml:space="preserve">AI Agent 需要网络 互联网需要人 — Astarter × UXLINK 共探 Web3 下一阶段进化</w:t>
      </w:r>
    </w:p>
    <w:p>
      <w:pPr>
        <w:pStyle w:val="Heading3"/>
        <w:spacing w:after="100" w:before="200"/>
      </w:pPr>
      <w:r>
        <w:rPr>
          <w:color w:val="6F00FF"/>
        </w:rPr>
        <w:t xml:space="preserve">短稿</w:t>
      </w:r>
    </w:p>
    <w:p>
      <w:pPr>
        <w:spacing w:after="160" w:line="300"/>
      </w:pPr>
      <w:r>
        <w:t xml:space="preserve">Astarter 宣布与 Web3 头部社交平台 UXLINK 建立战略合作。Astarter 团队对该合作的官方表述为：「Astarter 正在构建自主 AI Agent 经济的基础设施 —— 融合 AI Agent、DePIN 与 DeFAI，使自主 AI 系统能够在链上运行、协调并创造真实经济价值。」</w:t>
      </w:r>
    </w:p>
    <w:p>
      <w:pPr>
        <w:spacing w:after="160" w:line="300"/>
      </w:pPr>
      <w:r>
        <w:t xml:space="preserve">UXLINK 作为全球领先的 Web3 社交平台之一，通过其强大的社交增长层推动大规模社交采用，连接全球用户、社区与构建者。双方将共同探索如何整合 AI 原生基础设施与社交驱动生态，加速 Web3 参与、自主协调与链上增长的下一阶段进化。</w:t>
      </w:r>
    </w:p>
    <w:p>
      <w:pPr>
        <w:spacing w:after="160" w:line="300"/>
      </w:pPr>
      <w:r>
        <w:t xml:space="preserve">「AI Agent 需要网络。互联网需要人。未来将是自主——而且是社交的。」</w:t>
      </w:r>
    </w:p>
    <w:p>
      <w:pPr>
        <w:spacing w:after="100" w:before="100"/>
        <w:jc w:val="center"/>
      </w:pPr>
      <w:r>
        <w:drawing>
          <wp:inline distT="0" distB="0" distL="0" distR="0">
            <wp:extent cx="3048000" cy="3048000"/>
            <wp:effectExtent t="0" r="0" b="0" l="0"/>
            <wp:docPr id="1" name="dynamic-02-uxlink-alliance.png" descr="dynamic-02-uxlink-alliance.png" title="dynamic-02-uxlink-alli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48000"/>
                    </a:xfrm>
                    <a:prstGeom prst="rect">
                      <a:avLst/>
                    </a:prstGeom>
                  </pic:spPr>
                </pic:pic>
              </a:graphicData>
            </a:graphic>
          </wp:inline>
        </w:drawing>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14 — Astarter × AntFun 战略合作（社交 DEX）</w:t>
      </w:r>
    </w:p>
    <w:p>
      <w:pPr>
        <w:pStyle w:val="Heading3"/>
        <w:spacing w:after="100" w:before="200"/>
      </w:pPr>
      <w:r>
        <w:rPr>
          <w:color w:val="6F00FF"/>
        </w:rPr>
        <w:t xml:space="preserve">标题备选</w:t>
      </w:r>
    </w:p>
    <w:p>
      <w:pPr>
        <w:spacing w:after="60"/>
      </w:pPr>
      <w:r>
        <w:rPr>
          <w:b/>
          <w:bCs/>
        </w:rPr>
        <w:t xml:space="preserve">1. </w:t>
      </w:r>
      <w:r>
        <w:t xml:space="preserve">Astarter 与下一代社交 DEX AntFun 达成战略合作 共建智能化社交链上交易生态</w:t>
      </w:r>
    </w:p>
    <w:p>
      <w:pPr>
        <w:spacing w:after="60"/>
      </w:pPr>
      <w:r>
        <w:rPr>
          <w:b/>
          <w:bCs/>
        </w:rPr>
        <w:t xml:space="preserve">2. </w:t>
      </w:r>
      <w:r>
        <w:t xml:space="preserve">重磅 | Astarter × AntFun：AI 原生 DeFAI × 超低费率社交 DEX × AI 智能交易工具</w:t>
      </w:r>
    </w:p>
    <w:p>
      <w:pPr>
        <w:spacing w:after="60"/>
      </w:pPr>
      <w:r>
        <w:rPr>
          <w:b/>
          <w:bCs/>
        </w:rPr>
        <w:t xml:space="preserve">3. </w:t>
      </w:r>
      <w:r>
        <w:t xml:space="preserve">DeFi × AI Agent × Social | Astarter × AntFun 共同推动 DeFi 下一阶段</w:t>
      </w:r>
    </w:p>
    <w:p>
      <w:pPr>
        <w:pStyle w:val="Heading3"/>
        <w:spacing w:after="100" w:before="200"/>
      </w:pPr>
      <w:r>
        <w:rPr>
          <w:color w:val="6F00FF"/>
        </w:rPr>
        <w:t xml:space="preserve">短稿</w:t>
      </w:r>
    </w:p>
    <w:p>
      <w:pPr>
        <w:spacing w:after="160" w:line="300"/>
      </w:pPr>
      <w:r>
        <w:t xml:space="preserve">Astarter 宣布与下一代社交 DEX AntFun (@ant_fun_trade) 达成战略合作。Astarter 的 AI 原生基础设施与自主 AI Agent 执行能力，结合 AntFun 的超低费率社交 DEX 与 AI 智能交易工具，将为用户打造更智能、更高效、更具社交属性的链上交易与质押生态。双方将共同推动 DeFi × AI Agent × Social 的下一阶段，期待后续联合公关与生态整合的细节公布。</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15 — Astarter × SumPlus 战略合作（MCP DeFi 数据层）</w:t>
      </w:r>
    </w:p>
    <w:p>
      <w:pPr>
        <w:pStyle w:val="Heading3"/>
        <w:spacing w:after="100" w:before="200"/>
      </w:pPr>
      <w:r>
        <w:rPr>
          <w:color w:val="6F00FF"/>
        </w:rPr>
        <w:t xml:space="preserve">标题备选</w:t>
      </w:r>
    </w:p>
    <w:p>
      <w:pPr>
        <w:spacing w:after="60"/>
      </w:pPr>
      <w:r>
        <w:rPr>
          <w:b/>
          <w:bCs/>
        </w:rPr>
        <w:t xml:space="preserve">1. </w:t>
      </w:r>
      <w:r>
        <w:t xml:space="preserve">Astarter × SumPlus 战略合作：AI Agent 通过 MCP 一键调用全球顶级 DeFi 实时数据</w:t>
      </w:r>
    </w:p>
    <w:p>
      <w:pPr>
        <w:spacing w:after="60"/>
      </w:pPr>
      <w:r>
        <w:rPr>
          <w:b/>
          <w:bCs/>
        </w:rPr>
        <w:t xml:space="preserve">2. </w:t>
      </w:r>
      <w:r>
        <w:t xml:space="preserve">DeFi Data Layer × AI Agent Execution Layer | Astarter × SumPlus 共建 Web4 去中心化金融操作系统</w:t>
      </w:r>
    </w:p>
    <w:p>
      <w:pPr>
        <w:spacing w:after="60"/>
      </w:pPr>
      <w:r>
        <w:rPr>
          <w:b/>
          <w:bCs/>
        </w:rPr>
        <w:t xml:space="preserve">3. </w:t>
      </w:r>
      <w:r>
        <w:t xml:space="preserve">重磅 | AI Agent 数据视野 + 链上执行能力 — Astarter 与 SumPlus 完成关键基础设施握手</w:t>
      </w:r>
    </w:p>
    <w:p>
      <w:pPr>
        <w:pStyle w:val="Heading3"/>
        <w:spacing w:after="100" w:before="200"/>
      </w:pPr>
      <w:r>
        <w:rPr>
          <w:color w:val="6F00FF"/>
        </w:rPr>
        <w:t xml:space="preserve">短稿</w:t>
      </w:r>
    </w:p>
    <w:p>
      <w:pPr>
        <w:spacing w:after="160" w:line="300"/>
      </w:pPr>
      <w:r>
        <w:t xml:space="preserve">Astarter 宣布与 SumPlus (@SumPlusReal) 达成战略合作。通过 MCP（Model Context Protocol），AI Agent 现在可以一键调用全球顶级权威 DeFi 实时数据：TVL、协议核心指标、异构链生态、跨链全景分析全面覆盖。</w:t>
      </w:r>
    </w:p>
    <w:p>
      <w:pPr>
        <w:spacing w:after="160" w:line="300"/>
      </w:pPr>
      <w:r>
        <w:t xml:space="preserve">这正是 Astarter 长期布局的 AI 原生金融基础设施 —— 为链上自主代理补齐核心的「数据视野」与「链上执行能力」，真正实现链上 7×24 小时不间断捕捉、创造真实价值。</w:t>
      </w:r>
    </w:p>
    <w:p>
      <w:pPr>
        <w:spacing w:after="160" w:line="300"/>
      </w:pPr>
      <w:r>
        <w:t xml:space="preserve">DeFi Data Layer × AI Agent Execution Layer × Astarter DePIN 底层，共同打造 Web4 的下一代去中心化金融操作系统。</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16 — Astarter × PayGo 战略合作（AI 原生支付）</w:t>
      </w:r>
    </w:p>
    <w:p>
      <w:pPr>
        <w:pStyle w:val="Heading3"/>
        <w:spacing w:after="100" w:before="200"/>
      </w:pPr>
      <w:r>
        <w:rPr>
          <w:color w:val="6F00FF"/>
        </w:rPr>
        <w:t xml:space="preserve">标题备选</w:t>
      </w:r>
    </w:p>
    <w:p>
      <w:pPr>
        <w:spacing w:after="60"/>
      </w:pPr>
      <w:r>
        <w:rPr>
          <w:b/>
          <w:bCs/>
        </w:rPr>
        <w:t xml:space="preserve">1. </w:t>
      </w:r>
      <w:r>
        <w:t xml:space="preserve">Astarter 与 PayGo 达成战略合作 AI 原生支付 × 多链 DeFi 推动下一代机器经济</w:t>
      </w:r>
    </w:p>
    <w:p>
      <w:pPr>
        <w:spacing w:after="60"/>
      </w:pPr>
      <w:r>
        <w:rPr>
          <w:b/>
          <w:bCs/>
        </w:rPr>
        <w:t xml:space="preserve">2. </w:t>
      </w:r>
      <w:r>
        <w:t xml:space="preserve">重磅 | Astarter × PayGo：让链上效用真正落地的 AI 机器经济组合</w:t>
      </w:r>
    </w:p>
    <w:p>
      <w:pPr>
        <w:spacing w:after="60"/>
      </w:pPr>
      <w:r>
        <w:rPr>
          <w:b/>
          <w:bCs/>
        </w:rPr>
        <w:t xml:space="preserve">3. </w:t>
      </w:r>
      <w:r>
        <w:t xml:space="preserve">Astarter 携手 PayGo 探索跨链支付与用户增长</w:t>
      </w:r>
    </w:p>
    <w:p>
      <w:pPr>
        <w:pStyle w:val="Heading3"/>
        <w:spacing w:after="100" w:before="200"/>
      </w:pPr>
      <w:r>
        <w:rPr>
          <w:color w:val="6F00FF"/>
        </w:rPr>
        <w:t xml:space="preserve">短稿</w:t>
      </w:r>
    </w:p>
    <w:p>
      <w:pPr>
        <w:spacing w:after="160" w:line="300"/>
      </w:pPr>
      <w:r>
        <w:t xml:space="preserve">Astarter 宣布与 PayGo (@PayGo) 达成战略合作。AI 原生支付与多链 DeFi 的结合，将为下一代机器经济打开新的可能性。双方将深度整合质押、交易、收益与真实支付场景，让链上效用真正落地。期待共同探索更多跨链机会与用户增长路径。</w:t>
      </w:r>
    </w:p>
    <w:p>
      <w:pPr>
        <w:spacing w:after="160" w:line="300"/>
      </w:pPr>
      <w:r>
        <w:t xml:space="preserve">#Astarter #PayGo #DeFi #Cardano #AIMachineEconomy</w:t>
      </w:r>
    </w:p>
    <w:p>
      <w:pPr>
        <w:spacing w:after="80"/>
      </w:pPr>
      <w:r>
        <w:rPr>
          <w:rFonts w:ascii="Consolas" w:cs="Consolas" w:eastAsia="Consolas" w:hAnsi="Consolas"/>
          <w:color w:val="888888"/>
          <w:sz w:val="18"/>
          <w:szCs w:val="18"/>
        </w:rPr>
        <w:t xml:space="preserve">astarter.io · @AstarterDefiHub</w:t>
      </w:r>
    </w:p>
    <w:p>
      <w:r>
        <w:br w:type="page"/>
      </w:r>
    </w:p>
    <w:p>
      <w:pPr>
        <w:pStyle w:val="Heading1"/>
        <w:spacing w:after="180" w:before="360"/>
      </w:pPr>
      <w:r>
        <w:t xml:space="preserve">动态 17 — Astarter × ENI 公链战略合作</w:t>
      </w:r>
    </w:p>
    <w:p>
      <w:pPr>
        <w:pStyle w:val="Heading3"/>
        <w:spacing w:after="100" w:before="200"/>
      </w:pPr>
      <w:r>
        <w:rPr>
          <w:color w:val="6F00FF"/>
        </w:rPr>
        <w:t xml:space="preserve">标题备选</w:t>
      </w:r>
    </w:p>
    <w:p>
      <w:pPr>
        <w:spacing w:after="60"/>
      </w:pPr>
      <w:r>
        <w:rPr>
          <w:b/>
          <w:bCs/>
        </w:rPr>
        <w:t xml:space="preserve">1. </w:t>
      </w:r>
      <w:r>
        <w:t xml:space="preserve">重磅 | Astarter 与 ENI 公链达成战略合作 全面整合 DeFi 基础设施优势与公链核心技术能力</w:t>
      </w:r>
    </w:p>
    <w:p>
      <w:pPr>
        <w:spacing w:after="60"/>
      </w:pPr>
      <w:r>
        <w:rPr>
          <w:b/>
          <w:bCs/>
        </w:rPr>
        <w:t xml:space="preserve">2. </w:t>
      </w:r>
      <w:r>
        <w:t xml:space="preserve">Astarter × ENI：跨链流动性桥 + 一站式 DeFi 服务门户 + 早期项目联合孵化</w:t>
      </w:r>
    </w:p>
    <w:p>
      <w:pPr>
        <w:spacing w:after="60"/>
      </w:pPr>
      <w:r>
        <w:rPr>
          <w:b/>
          <w:bCs/>
        </w:rPr>
        <w:t xml:space="preserve">3. </w:t>
      </w:r>
      <w:r>
        <w:t xml:space="preserve">推动 Web4.0 发展 | Astarter 携 ENI 公链共建 Web3 生态</w:t>
      </w:r>
    </w:p>
    <w:p>
      <w:pPr>
        <w:pStyle w:val="Heading3"/>
        <w:spacing w:after="100" w:before="200"/>
      </w:pPr>
      <w:r>
        <w:rPr>
          <w:color w:val="6F00FF"/>
        </w:rPr>
        <w:t xml:space="preserve">短稿</w:t>
      </w:r>
    </w:p>
    <w:p>
      <w:pPr>
        <w:spacing w:after="160" w:line="300"/>
      </w:pPr>
      <w:r>
        <w:t xml:space="preserve">Astarter 宣布与 ENI 公链 (@ENI__Official) 正式达成战略合作。本次合作将全面整合 Astarter 在 DeFi 基础设施方面的优势与 ENI 公链的核心技术能力，共同推动 Web3 生态发展。</w:t>
      </w:r>
    </w:p>
    <w:p>
      <w:pPr>
        <w:spacing w:after="160" w:line="300"/>
      </w:pPr>
      <w:r>
        <w:t xml:space="preserve">关键合作要点：
1. Astarter 将为 ENI 生态提供全面的一站式 DeFi 服务门户
2. 双方将共同建设跨链流动性桥
3. 联合孵化高质量早期项目，赋能 Web4.0</w:t>
      </w:r>
    </w:p>
    <w:p>
      <w:pPr>
        <w:spacing w:after="160" w:line="300"/>
      </w:pPr>
      <w:r>
        <w:t xml:space="preserve">#AI #Web4 #DeFi #Blockchain #CointimeSpace</w:t>
      </w:r>
    </w:p>
    <w:p>
      <w:pPr>
        <w:spacing w:after="80"/>
      </w:pPr>
      <w:r>
        <w:rPr>
          <w:rFonts w:ascii="Consolas" w:cs="Consolas" w:eastAsia="Consolas" w:hAnsi="Consolas"/>
          <w:color w:val="888888"/>
          <w:sz w:val="18"/>
          <w:szCs w:val="18"/>
        </w:rPr>
        <w:t xml:space="preserve">astarter.io · @AstarterDefiHub</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astarter.io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Astarter 项目动态宣发内容 · v13.1 · 2026.05.25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2A44"/>
      <w:sz w:val="32"/>
      <w:szCs w:val="32"/>
    </w:rPr>
  </w:style>
  <w:style w:type="paragraph" w:styleId="Heading3">
    <w:name w:val="Heading 3"/>
    <w:basedOn w:val="Normal"/>
    <w:next w:val="Normal"/>
    <w:qFormat/>
    <w:pPr>
      <w:spacing w:after="100" w:before="200"/>
      <w:outlineLvl w:val="2"/>
    </w:pPr>
    <w:rPr>
      <w:rFonts w:ascii="Microsoft YaHei" w:cs="Microsoft YaHei" w:eastAsia="Microsoft YaHei" w:hAnsi="Microsoft YaHei"/>
      <w:b/>
      <w:bCs/>
      <w:color w:val="6F00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16243697fa99f18aff394a39d99faf62c156fd.png"/><Relationship Id="rId10" Type="http://schemas.openxmlformats.org/officeDocument/2006/relationships/image" Target="media/c113404e52e8bcb1cdf339b9764b3c58506ee101.png"/><Relationship Id="rId11" Type="http://schemas.openxmlformats.org/officeDocument/2006/relationships/image" Target="media/b24c6ab22c6a45fe3fd137f7c70e0144e1590bc8.png"/><Relationship Id="rId12" Type="http://schemas.openxmlformats.org/officeDocument/2006/relationships/image" Target="media/0c251d84ec65709bdb101576bb935758dc16bbfb.png"/><Relationship Id="rId13" Type="http://schemas.openxmlformats.org/officeDocument/2006/relationships/image" Target="media/4d2541a7781620b347ed4042cda696cb5e725a92.png"/><Relationship Id="rId14" Type="http://schemas.openxmlformats.org/officeDocument/2006/relationships/image" Target="media/4fc2b7d6255d596cb851e5663dc7d9d743d90c4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Astarter 项目动态宣发内容 v13.1</dc:title>
  <dc:creator>Astarter</dc:creator>
  <cp:lastModifiedBy>Un-named</cp:lastModifiedBy>
  <cp:revision>1</cp:revision>
  <dcterms:created xsi:type="dcterms:W3CDTF">2026-05-25T03:37:14.092Z</dcterms:created>
  <dcterms:modified xsi:type="dcterms:W3CDTF">2026-05-25T03:37:14.093Z</dcterms:modified>
</cp:coreProperties>
</file>

<file path=docProps/custom.xml><?xml version="1.0" encoding="utf-8"?>
<Properties xmlns="http://schemas.openxmlformats.org/officeDocument/2006/custom-properties" xmlns:vt="http://schemas.openxmlformats.org/officeDocument/2006/docPropsVTypes"/>
</file>