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Napisite equivalence partitioning i boundary value analysis prema sledecim zahtevima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Plata u Eurima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Procenat poreza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Do i ukljucujuci 500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Vise od  500, ali manje od 1300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1300 ili vise, ali manje od 5000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Kao dodatni domaci za vezbanje na narednom linku: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https://www.guru99.com/equivalence-partitioning-boundary-value-analysis.html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procitajte o Boundary value i Equivalence partitioning. Imate i polja da malo provezbate.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Slika - primer dodatnog objasnjenja.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290042" cy="23957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042" cy="2395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21B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A21BF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uru99.com/equivalence-partitioning-boundary-value-analysi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MvYiUSL4ckRrn0DzD0UVO4N+fw==">AMUW2mVFRfOfoF3gWeFIaKALpL9/FZxaxN6HPeJDMFkT6nN3J8fHCozUj5NcONzZUTLmYqjzs2v8jEpfJY73GUBG1FwwT4dlfHomtobypHrQ6gqUB7FDqiTCNMBUksf5lvBqvx5S5wxW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2023-04-06T21:14:00Z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9c3c7994a4ff4d47e1befec247b6be24f1eb9c875e70f21df73edca1d92d7963</vt:lpwstr>
  </property>
</Properties>
</file>