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7D38" w14:textId="3AD340DF" w:rsidR="000A26A6" w:rsidRPr="008F7EE6" w:rsidRDefault="78A17466" w:rsidP="005477F5">
      <w:pPr>
        <w:pStyle w:val="Heading3"/>
        <w:spacing w:before="0"/>
        <w:ind w:right="-720" w:hanging="720"/>
        <w:rPr>
          <w:rFonts w:asciiTheme="minorHAnsi" w:eastAsiaTheme="minorEastAsia" w:hAnsiTheme="minorHAnsi" w:cstheme="minorBidi"/>
          <w:color w:val="auto"/>
          <w:sz w:val="20"/>
          <w:szCs w:val="20"/>
        </w:rPr>
      </w:pPr>
      <w:r w:rsidRPr="09FD2DF3">
        <w:rPr>
          <w:rFonts w:asciiTheme="minorHAnsi" w:eastAsiaTheme="minorEastAsia" w:hAnsiTheme="minorHAnsi" w:cstheme="minorBidi"/>
          <w:b/>
          <w:bCs/>
          <w:color w:val="auto"/>
          <w:sz w:val="20"/>
          <w:szCs w:val="20"/>
        </w:rPr>
        <w:t>Re:</w:t>
      </w:r>
      <w:r w:rsidR="5EEB9193" w:rsidRPr="09FD2DF3">
        <w:rPr>
          <w:rFonts w:asciiTheme="minorHAnsi" w:eastAsiaTheme="minorEastAsia" w:hAnsiTheme="minorHAnsi" w:cstheme="minorBidi"/>
          <w:b/>
          <w:bCs/>
          <w:color w:val="auto"/>
          <w:sz w:val="20"/>
          <w:szCs w:val="20"/>
        </w:rPr>
        <w:t xml:space="preserve"> </w:t>
      </w:r>
      <w:r w:rsidR="005477F5">
        <w:rPr>
          <w:rFonts w:asciiTheme="minorHAnsi" w:eastAsiaTheme="minorEastAsia" w:hAnsiTheme="minorHAnsi" w:cstheme="minorBidi"/>
          <w:b/>
          <w:bCs/>
          <w:color w:val="auto"/>
          <w:sz w:val="20"/>
          <w:szCs w:val="20"/>
        </w:rPr>
        <w:tab/>
      </w:r>
      <w:r w:rsidR="005477F5">
        <w:rPr>
          <w:rFonts w:asciiTheme="minorHAnsi" w:eastAsiaTheme="minorEastAsia" w:hAnsiTheme="minorHAnsi" w:cstheme="minorBidi"/>
          <w:b/>
          <w:bCs/>
          <w:color w:val="auto"/>
          <w:sz w:val="20"/>
          <w:szCs w:val="20"/>
        </w:rPr>
        <w:tab/>
      </w:r>
      <w:r w:rsidR="00317582">
        <w:rPr>
          <w:rFonts w:asciiTheme="minorHAnsi" w:eastAsiaTheme="minorEastAsia" w:hAnsiTheme="minorHAnsi" w:cstheme="minorBidi"/>
          <w:color w:val="auto"/>
          <w:sz w:val="20"/>
          <w:szCs w:val="20"/>
        </w:rPr>
        <w:t>Covid-19: Excess Mortality in US</w:t>
      </w:r>
    </w:p>
    <w:p w14:paraId="2ADA2F31" w14:textId="7EF009B7" w:rsidR="4E0D69F3" w:rsidRDefault="4E0D69F3" w:rsidP="005477F5">
      <w:pPr>
        <w:ind w:hanging="720"/>
        <w:rPr>
          <w:rFonts w:eastAsiaTheme="minorEastAsia"/>
          <w:sz w:val="20"/>
          <w:szCs w:val="20"/>
        </w:rPr>
      </w:pPr>
      <w:r w:rsidRPr="09FD2DF3">
        <w:rPr>
          <w:rFonts w:eastAsiaTheme="minorEastAsia"/>
          <w:b/>
          <w:bCs/>
          <w:sz w:val="20"/>
          <w:szCs w:val="20"/>
        </w:rPr>
        <w:t>Date:</w:t>
      </w:r>
      <w:r w:rsidRPr="09FD2DF3">
        <w:rPr>
          <w:rFonts w:eastAsiaTheme="minorEastAsia"/>
          <w:sz w:val="20"/>
          <w:szCs w:val="20"/>
        </w:rPr>
        <w:t xml:space="preserve"> </w:t>
      </w:r>
      <w:r w:rsidR="005477F5">
        <w:rPr>
          <w:rFonts w:eastAsiaTheme="minorEastAsia"/>
          <w:sz w:val="20"/>
          <w:szCs w:val="20"/>
        </w:rPr>
        <w:tab/>
      </w:r>
      <w:r w:rsidR="005477F5">
        <w:rPr>
          <w:rFonts w:eastAsiaTheme="minorEastAsia"/>
          <w:sz w:val="20"/>
          <w:szCs w:val="20"/>
        </w:rPr>
        <w:tab/>
      </w:r>
      <w:r w:rsidRPr="09FD2DF3">
        <w:rPr>
          <w:rFonts w:eastAsiaTheme="minorEastAsia"/>
          <w:sz w:val="20"/>
          <w:szCs w:val="20"/>
        </w:rPr>
        <w:t>5/13/2020</w:t>
      </w:r>
    </w:p>
    <w:p w14:paraId="442A2B08" w14:textId="335E1BDD" w:rsidR="4E0D69F3" w:rsidRDefault="4E0D69F3" w:rsidP="003F488D">
      <w:pPr>
        <w:ind w:hanging="720"/>
        <w:rPr>
          <w:rFonts w:eastAsiaTheme="minorEastAsia"/>
          <w:sz w:val="20"/>
          <w:szCs w:val="20"/>
        </w:rPr>
      </w:pPr>
      <w:r w:rsidRPr="09FD2DF3">
        <w:rPr>
          <w:rFonts w:eastAsiaTheme="minorEastAsia"/>
          <w:b/>
          <w:bCs/>
          <w:sz w:val="20"/>
          <w:szCs w:val="20"/>
        </w:rPr>
        <w:t xml:space="preserve">Authors: </w:t>
      </w:r>
      <w:r w:rsidR="005477F5">
        <w:rPr>
          <w:rFonts w:eastAsiaTheme="minorEastAsia"/>
          <w:b/>
          <w:bCs/>
          <w:sz w:val="20"/>
          <w:szCs w:val="20"/>
        </w:rPr>
        <w:tab/>
      </w:r>
      <w:r w:rsidRPr="09FD2DF3">
        <w:rPr>
          <w:rFonts w:eastAsiaTheme="minorEastAsia"/>
          <w:sz w:val="20"/>
          <w:szCs w:val="20"/>
        </w:rPr>
        <w:t>Zak Raicik</w:t>
      </w:r>
      <w:r w:rsidR="2A471D08" w:rsidRPr="09FD2DF3">
        <w:rPr>
          <w:rFonts w:eastAsiaTheme="minorEastAsia"/>
          <w:sz w:val="20"/>
          <w:szCs w:val="20"/>
        </w:rPr>
        <w:t>,</w:t>
      </w:r>
      <w:r w:rsidR="6A5FFB65" w:rsidRPr="09FD2DF3">
        <w:rPr>
          <w:rFonts w:eastAsiaTheme="minorEastAsia"/>
          <w:sz w:val="20"/>
          <w:szCs w:val="20"/>
        </w:rPr>
        <w:t xml:space="preserve"> </w:t>
      </w:r>
      <w:r w:rsidR="006E46F5" w:rsidRPr="09FD2DF3">
        <w:rPr>
          <w:rFonts w:eastAsiaTheme="minorEastAsia"/>
          <w:sz w:val="20"/>
          <w:szCs w:val="20"/>
        </w:rPr>
        <w:t>FSA,</w:t>
      </w:r>
      <w:r w:rsidR="003F488D">
        <w:rPr>
          <w:rFonts w:eastAsiaTheme="minorEastAsia"/>
          <w:sz w:val="20"/>
          <w:szCs w:val="20"/>
        </w:rPr>
        <w:t xml:space="preserve"> </w:t>
      </w:r>
      <w:r w:rsidRPr="09FD2DF3">
        <w:rPr>
          <w:rFonts w:eastAsiaTheme="minorEastAsia"/>
          <w:sz w:val="20"/>
          <w:szCs w:val="20"/>
        </w:rPr>
        <w:t>Junaid Bhatti</w:t>
      </w:r>
      <w:r w:rsidR="6496946E" w:rsidRPr="09FD2DF3">
        <w:rPr>
          <w:rFonts w:eastAsiaTheme="minorEastAsia"/>
          <w:sz w:val="20"/>
          <w:szCs w:val="20"/>
        </w:rPr>
        <w:t>,</w:t>
      </w:r>
      <w:r w:rsidR="6F4DEF1A" w:rsidRPr="09FD2DF3">
        <w:rPr>
          <w:rFonts w:eastAsiaTheme="minorEastAsia"/>
          <w:sz w:val="20"/>
          <w:szCs w:val="20"/>
        </w:rPr>
        <w:t xml:space="preserve"> </w:t>
      </w:r>
      <w:r w:rsidR="33D125DE" w:rsidRPr="09FD2DF3">
        <w:rPr>
          <w:rFonts w:eastAsiaTheme="minorEastAsia"/>
          <w:sz w:val="20"/>
          <w:szCs w:val="20"/>
        </w:rPr>
        <w:t>Ph.D.</w:t>
      </w:r>
      <w:r w:rsidR="003F488D">
        <w:rPr>
          <w:rFonts w:eastAsiaTheme="minorEastAsia"/>
          <w:sz w:val="20"/>
          <w:szCs w:val="20"/>
        </w:rPr>
        <w:t xml:space="preserve">, </w:t>
      </w:r>
      <w:r w:rsidRPr="09FD2DF3">
        <w:rPr>
          <w:rFonts w:eastAsiaTheme="minorEastAsia"/>
          <w:sz w:val="20"/>
          <w:szCs w:val="20"/>
        </w:rPr>
        <w:t>Matt Gabriel</w:t>
      </w:r>
      <w:r w:rsidR="6C0A6DA9" w:rsidRPr="09FD2DF3">
        <w:rPr>
          <w:rFonts w:eastAsiaTheme="minorEastAsia"/>
          <w:sz w:val="20"/>
          <w:szCs w:val="20"/>
        </w:rPr>
        <w:t>,</w:t>
      </w:r>
      <w:r w:rsidR="15B8296F" w:rsidRPr="09FD2DF3">
        <w:rPr>
          <w:rFonts w:eastAsiaTheme="minorEastAsia"/>
          <w:sz w:val="20"/>
          <w:szCs w:val="20"/>
        </w:rPr>
        <w:t xml:space="preserve"> FSA</w:t>
      </w:r>
    </w:p>
    <w:p w14:paraId="33DD6B5D" w14:textId="4EC029B8" w:rsidR="4B82A5AE" w:rsidRDefault="4B82A5AE" w:rsidP="005477F5">
      <w:pPr>
        <w:ind w:hanging="720"/>
        <w:rPr>
          <w:rFonts w:eastAsiaTheme="minorEastAsia"/>
          <w:b/>
          <w:bCs/>
          <w:sz w:val="20"/>
          <w:szCs w:val="20"/>
        </w:rPr>
      </w:pPr>
    </w:p>
    <w:p w14:paraId="3A93951A" w14:textId="14933DB1" w:rsidR="02BA6073" w:rsidRPr="00717AB4" w:rsidRDefault="02BA6073" w:rsidP="00717AB4">
      <w:pPr>
        <w:ind w:right="-810" w:hanging="720"/>
        <w:rPr>
          <w:rFonts w:eastAsiaTheme="minorEastAsia"/>
          <w:b/>
          <w:bCs/>
          <w:sz w:val="20"/>
          <w:szCs w:val="20"/>
          <w:u w:val="single"/>
        </w:rPr>
      </w:pPr>
      <w:r w:rsidRPr="00717AB4">
        <w:rPr>
          <w:rFonts w:eastAsiaTheme="minorEastAsia"/>
          <w:b/>
          <w:bCs/>
          <w:sz w:val="20"/>
          <w:szCs w:val="20"/>
          <w:u w:val="single"/>
        </w:rPr>
        <w:t>Overview</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3E3FE88C" w14:textId="5BFCBAC0" w:rsidR="003F488D" w:rsidRDefault="623BE107" w:rsidP="003F488D">
      <w:pPr>
        <w:ind w:left="-720" w:right="-720"/>
        <w:rPr>
          <w:rFonts w:eastAsiaTheme="minorEastAsia"/>
          <w:sz w:val="20"/>
          <w:szCs w:val="20"/>
        </w:rPr>
      </w:pPr>
      <w:r w:rsidRPr="09FD2DF3">
        <w:rPr>
          <w:rFonts w:eastAsiaTheme="minorEastAsia"/>
          <w:sz w:val="20"/>
          <w:szCs w:val="20"/>
        </w:rPr>
        <w:t xml:space="preserve">COVID-19 </w:t>
      </w:r>
      <w:r w:rsidR="00EC2DF0">
        <w:rPr>
          <w:rFonts w:eastAsiaTheme="minorEastAsia"/>
          <w:sz w:val="20"/>
          <w:szCs w:val="20"/>
        </w:rPr>
        <w:t>is spreading around the globe at a rapid rate.</w:t>
      </w:r>
      <w:r w:rsidR="41723BAF" w:rsidRPr="09FD2DF3">
        <w:rPr>
          <w:rFonts w:eastAsiaTheme="minorEastAsia"/>
          <w:sz w:val="20"/>
          <w:szCs w:val="20"/>
        </w:rPr>
        <w:t xml:space="preserve"> The death toll in US on May 12 (just three months) after </w:t>
      </w:r>
      <w:r w:rsidR="00EC2DF0">
        <w:rPr>
          <w:rFonts w:eastAsiaTheme="minorEastAsia"/>
          <w:sz w:val="20"/>
          <w:szCs w:val="20"/>
        </w:rPr>
        <w:t xml:space="preserve">the </w:t>
      </w:r>
      <w:r w:rsidR="41723BAF" w:rsidRPr="09FD2DF3">
        <w:rPr>
          <w:rFonts w:eastAsiaTheme="minorEastAsia"/>
          <w:sz w:val="20"/>
          <w:szCs w:val="20"/>
        </w:rPr>
        <w:t xml:space="preserve">report of first case stands over </w:t>
      </w:r>
      <w:r w:rsidR="00EC2DF0">
        <w:rPr>
          <w:rFonts w:eastAsiaTheme="minorEastAsia"/>
          <w:sz w:val="20"/>
          <w:szCs w:val="20"/>
        </w:rPr>
        <w:t>80,000</w:t>
      </w:r>
      <w:r w:rsidR="41723BAF" w:rsidRPr="09FD2DF3">
        <w:rPr>
          <w:rFonts w:eastAsiaTheme="minorEastAsia"/>
          <w:sz w:val="20"/>
          <w:szCs w:val="20"/>
        </w:rPr>
        <w:t xml:space="preserve"> deaths.</w:t>
      </w:r>
      <w:r w:rsidR="58AE9ACB" w:rsidRPr="09FD2DF3">
        <w:rPr>
          <w:rFonts w:eastAsiaTheme="minorEastAsia"/>
          <w:sz w:val="20"/>
          <w:szCs w:val="20"/>
        </w:rPr>
        <w:t xml:space="preserve"> The continued spread of</w:t>
      </w:r>
      <w:r w:rsidR="424E1B60" w:rsidRPr="09FD2DF3">
        <w:rPr>
          <w:rFonts w:eastAsiaTheme="minorEastAsia"/>
          <w:sz w:val="20"/>
          <w:szCs w:val="20"/>
        </w:rPr>
        <w:t xml:space="preserve"> COVID-19 in the US </w:t>
      </w:r>
      <w:r w:rsidR="002870B9">
        <w:rPr>
          <w:rFonts w:eastAsiaTheme="minorEastAsia"/>
          <w:sz w:val="20"/>
          <w:szCs w:val="20"/>
        </w:rPr>
        <w:t xml:space="preserve">will create excess deaths. </w:t>
      </w:r>
      <w:r w:rsidR="00D22E36">
        <w:rPr>
          <w:rFonts w:eastAsiaTheme="minorEastAsia"/>
          <w:sz w:val="20"/>
          <w:szCs w:val="20"/>
        </w:rPr>
        <w:t xml:space="preserve">The </w:t>
      </w:r>
      <w:r w:rsidR="002870B9">
        <w:rPr>
          <w:rFonts w:eastAsiaTheme="minorEastAsia"/>
          <w:sz w:val="20"/>
          <w:szCs w:val="20"/>
        </w:rPr>
        <w:t xml:space="preserve">purpose of this memorandum is </w:t>
      </w:r>
      <w:r w:rsidR="632AE3C6" w:rsidRPr="09FD2DF3">
        <w:rPr>
          <w:rFonts w:eastAsiaTheme="minorEastAsia"/>
          <w:b/>
          <w:bCs/>
          <w:sz w:val="20"/>
          <w:szCs w:val="20"/>
        </w:rPr>
        <w:t xml:space="preserve">to </w:t>
      </w:r>
      <w:r w:rsidR="00E62D97">
        <w:rPr>
          <w:rFonts w:eastAsiaTheme="minorEastAsia"/>
          <w:b/>
          <w:bCs/>
          <w:sz w:val="20"/>
          <w:szCs w:val="20"/>
        </w:rPr>
        <w:t>provide a framework to estimate</w:t>
      </w:r>
      <w:r w:rsidR="632AE3C6" w:rsidRPr="09FD2DF3">
        <w:rPr>
          <w:rFonts w:eastAsiaTheme="minorEastAsia"/>
          <w:b/>
          <w:bCs/>
          <w:sz w:val="20"/>
          <w:szCs w:val="20"/>
        </w:rPr>
        <w:t xml:space="preserve"> the </w:t>
      </w:r>
      <w:r w:rsidR="00D22E36">
        <w:rPr>
          <w:rFonts w:eastAsiaTheme="minorEastAsia"/>
          <w:b/>
          <w:bCs/>
          <w:sz w:val="20"/>
          <w:szCs w:val="20"/>
        </w:rPr>
        <w:t>excess</w:t>
      </w:r>
      <w:r w:rsidR="632AE3C6" w:rsidRPr="09FD2DF3">
        <w:rPr>
          <w:rFonts w:eastAsiaTheme="minorEastAsia"/>
          <w:b/>
          <w:bCs/>
          <w:sz w:val="20"/>
          <w:szCs w:val="20"/>
        </w:rPr>
        <w:t xml:space="preserve"> </w:t>
      </w:r>
      <w:r w:rsidR="00D22E36">
        <w:rPr>
          <w:rFonts w:eastAsiaTheme="minorEastAsia"/>
          <w:b/>
          <w:bCs/>
          <w:sz w:val="20"/>
          <w:szCs w:val="20"/>
        </w:rPr>
        <w:t>mortality</w:t>
      </w:r>
      <w:r w:rsidR="632AE3C6" w:rsidRPr="09FD2DF3">
        <w:rPr>
          <w:rFonts w:eastAsiaTheme="minorEastAsia"/>
          <w:b/>
          <w:bCs/>
          <w:sz w:val="20"/>
          <w:szCs w:val="20"/>
        </w:rPr>
        <w:t xml:space="preserve"> </w:t>
      </w:r>
      <w:r w:rsidR="00D22E36">
        <w:rPr>
          <w:rFonts w:eastAsiaTheme="minorEastAsia"/>
          <w:b/>
          <w:bCs/>
          <w:sz w:val="20"/>
          <w:szCs w:val="20"/>
        </w:rPr>
        <w:t xml:space="preserve">in the United States (US) </w:t>
      </w:r>
      <w:r w:rsidR="632AE3C6" w:rsidRPr="09FD2DF3">
        <w:rPr>
          <w:rFonts w:eastAsiaTheme="minorEastAsia"/>
          <w:b/>
          <w:bCs/>
          <w:sz w:val="20"/>
          <w:szCs w:val="20"/>
        </w:rPr>
        <w:t>as a result of the COVID-19 pandemic</w:t>
      </w:r>
      <w:r w:rsidR="632AE3C6" w:rsidRPr="00E62D97">
        <w:rPr>
          <w:rFonts w:eastAsiaTheme="minorEastAsia"/>
          <w:sz w:val="20"/>
          <w:szCs w:val="20"/>
        </w:rPr>
        <w:t>.</w:t>
      </w:r>
      <w:r w:rsidR="632AE3C6" w:rsidRPr="09FD2DF3">
        <w:rPr>
          <w:rFonts w:eastAsiaTheme="minorEastAsia"/>
          <w:sz w:val="20"/>
          <w:szCs w:val="20"/>
        </w:rPr>
        <w:t xml:space="preserve"> </w:t>
      </w:r>
    </w:p>
    <w:p w14:paraId="0F1E40AC" w14:textId="16A3B5D8" w:rsidR="00E62D97" w:rsidRDefault="00E62D97" w:rsidP="003F488D">
      <w:pPr>
        <w:ind w:left="-720" w:right="-720"/>
        <w:rPr>
          <w:rFonts w:eastAsiaTheme="minorEastAsia"/>
          <w:sz w:val="20"/>
          <w:szCs w:val="20"/>
        </w:rPr>
      </w:pPr>
    </w:p>
    <w:p w14:paraId="2183CB27" w14:textId="5B58F0B7" w:rsidR="00E62D97" w:rsidRPr="00EC2DF0" w:rsidRDefault="00E62D97" w:rsidP="003F488D">
      <w:pPr>
        <w:ind w:left="-720" w:right="-720"/>
        <w:rPr>
          <w:rFonts w:eastAsiaTheme="minorEastAsia"/>
          <w:sz w:val="20"/>
          <w:szCs w:val="20"/>
        </w:rPr>
      </w:pPr>
      <w:r>
        <w:rPr>
          <w:rFonts w:eastAsiaTheme="minorEastAsia"/>
          <w:sz w:val="20"/>
          <w:szCs w:val="20"/>
        </w:rPr>
        <w:t xml:space="preserve">Under current assumptions, it is </w:t>
      </w:r>
      <w:r w:rsidRPr="00E62D97">
        <w:rPr>
          <w:rFonts w:eastAsiaTheme="minorEastAsia"/>
          <w:b/>
          <w:bCs/>
          <w:sz w:val="20"/>
          <w:szCs w:val="20"/>
        </w:rPr>
        <w:t xml:space="preserve">estimated that general population excess mortality is between 0% and </w:t>
      </w:r>
      <w:r w:rsidR="00EC2DF0">
        <w:rPr>
          <w:rFonts w:eastAsiaTheme="minorEastAsia"/>
          <w:b/>
          <w:bCs/>
          <w:sz w:val="20"/>
          <w:szCs w:val="20"/>
        </w:rPr>
        <w:t xml:space="preserve">30 </w:t>
      </w:r>
      <w:r w:rsidRPr="00E62D97">
        <w:rPr>
          <w:rFonts w:eastAsiaTheme="minorEastAsia"/>
          <w:b/>
          <w:bCs/>
          <w:sz w:val="20"/>
          <w:szCs w:val="20"/>
        </w:rPr>
        <w:t>% depending on age and gender.</w:t>
      </w:r>
      <w:r w:rsidR="00EC2DF0">
        <w:rPr>
          <w:rFonts w:eastAsiaTheme="minorEastAsia"/>
          <w:b/>
          <w:bCs/>
          <w:sz w:val="20"/>
          <w:szCs w:val="20"/>
        </w:rPr>
        <w:t xml:space="preserve"> </w:t>
      </w:r>
      <w:r w:rsidR="00EC2DF0">
        <w:rPr>
          <w:rFonts w:eastAsiaTheme="minorEastAsia"/>
          <w:sz w:val="20"/>
          <w:szCs w:val="20"/>
        </w:rPr>
        <w:t>A detailed breakdown can be found later in this memo.</w:t>
      </w:r>
    </w:p>
    <w:p w14:paraId="0BB06A91" w14:textId="42714D0D" w:rsidR="02BA6073" w:rsidRDefault="02BA6073" w:rsidP="007166BB">
      <w:pPr>
        <w:rPr>
          <w:rFonts w:eastAsiaTheme="minorEastAsia"/>
          <w:sz w:val="20"/>
          <w:szCs w:val="20"/>
        </w:rPr>
      </w:pPr>
    </w:p>
    <w:p w14:paraId="781CB796" w14:textId="043D80BD" w:rsidR="02BA6073" w:rsidRPr="00717AB4" w:rsidRDefault="007166BB" w:rsidP="00717AB4">
      <w:pPr>
        <w:ind w:right="-810" w:hanging="720"/>
        <w:rPr>
          <w:rFonts w:eastAsiaTheme="minorEastAsia"/>
          <w:sz w:val="20"/>
          <w:szCs w:val="20"/>
          <w:u w:val="single"/>
        </w:rPr>
      </w:pPr>
      <w:r w:rsidRPr="00717AB4">
        <w:rPr>
          <w:rFonts w:eastAsiaTheme="minorEastAsia"/>
          <w:b/>
          <w:bCs/>
          <w:sz w:val="20"/>
          <w:szCs w:val="20"/>
          <w:u w:val="single"/>
        </w:rPr>
        <w:t>Model Overview</w:t>
      </w:r>
      <w:r w:rsidR="00D6298F" w:rsidRPr="00717AB4">
        <w:rPr>
          <w:rFonts w:eastAsiaTheme="minorEastAsia"/>
          <w:b/>
          <w:bCs/>
          <w:sz w:val="20"/>
          <w:szCs w:val="20"/>
          <w:u w:val="single"/>
        </w:rPr>
        <w:t xml:space="preserve"> &amp; Design</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0AA61A26" w14:textId="7EB18EEF" w:rsidR="001E06B5" w:rsidRDefault="002870B9" w:rsidP="001E06B5">
      <w:pPr>
        <w:ind w:left="-720" w:right="-720"/>
        <w:rPr>
          <w:rFonts w:eastAsiaTheme="minorEastAsia"/>
          <w:sz w:val="20"/>
          <w:szCs w:val="20"/>
        </w:rPr>
      </w:pPr>
      <w:r>
        <w:rPr>
          <w:rFonts w:eastAsiaTheme="minorEastAsia"/>
          <w:sz w:val="20"/>
          <w:szCs w:val="20"/>
        </w:rPr>
        <w:t>We use a compartment model to simulate how COVID-19 will spread</w:t>
      </w:r>
      <w:r w:rsidR="0066751A">
        <w:rPr>
          <w:rStyle w:val="EndnoteReference"/>
          <w:rFonts w:eastAsiaTheme="minorEastAsia"/>
          <w:sz w:val="20"/>
          <w:szCs w:val="20"/>
        </w:rPr>
        <w:endnoteReference w:id="1"/>
      </w:r>
      <w:r>
        <w:rPr>
          <w:rFonts w:eastAsiaTheme="minorEastAsia"/>
          <w:sz w:val="20"/>
          <w:szCs w:val="20"/>
        </w:rPr>
        <w:t>. The model assumes that the population can be in 1 of 6 compartments</w:t>
      </w:r>
      <w:r w:rsidR="00115DC3">
        <w:rPr>
          <w:rFonts w:eastAsiaTheme="minorEastAsia"/>
          <w:sz w:val="20"/>
          <w:szCs w:val="20"/>
        </w:rPr>
        <w:t xml:space="preserve"> at any point in time</w:t>
      </w:r>
      <w:r>
        <w:rPr>
          <w:rFonts w:eastAsiaTheme="minorEastAsia"/>
          <w:sz w:val="20"/>
          <w:szCs w:val="20"/>
        </w:rPr>
        <w:t xml:space="preserve"> which are 1. Susceptible, Infectious, Exposed, Reported, Asymptomatic, and Recovered/Removed. A visual representation of the model is shown below. </w:t>
      </w:r>
    </w:p>
    <w:p w14:paraId="0ECE1D6D" w14:textId="77777777" w:rsidR="001E06B5" w:rsidRDefault="001E06B5" w:rsidP="001E06B5">
      <w:pPr>
        <w:ind w:left="-720" w:right="-720"/>
        <w:rPr>
          <w:rFonts w:eastAsiaTheme="minorEastAsia"/>
          <w:sz w:val="20"/>
          <w:szCs w:val="20"/>
        </w:rPr>
      </w:pPr>
    </w:p>
    <w:p w14:paraId="412E585D" w14:textId="603C76CA" w:rsidR="002870B9" w:rsidRDefault="002870B9" w:rsidP="001E06B5">
      <w:pPr>
        <w:ind w:left="-720" w:right="-720"/>
        <w:jc w:val="center"/>
        <w:rPr>
          <w:rFonts w:eastAsiaTheme="minorEastAsia"/>
          <w:sz w:val="20"/>
          <w:szCs w:val="20"/>
        </w:rPr>
      </w:pPr>
      <w:r>
        <w:rPr>
          <w:rFonts w:eastAsiaTheme="minorEastAsia"/>
          <w:noProof/>
          <w:sz w:val="20"/>
          <w:szCs w:val="20"/>
        </w:rPr>
        <w:drawing>
          <wp:inline distT="0" distB="0" distL="0" distR="0" wp14:anchorId="52F848CC" wp14:editId="2AD85911">
            <wp:extent cx="5051834" cy="14135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4 at 9.07.06 AM.png"/>
                    <pic:cNvPicPr/>
                  </pic:nvPicPr>
                  <pic:blipFill>
                    <a:blip r:embed="rId11">
                      <a:extLst>
                        <a:ext uri="{28A0092B-C50C-407E-A947-70E740481C1C}">
                          <a14:useLocalDpi xmlns:a14="http://schemas.microsoft.com/office/drawing/2010/main" val="0"/>
                        </a:ext>
                      </a:extLst>
                    </a:blip>
                    <a:stretch>
                      <a:fillRect/>
                    </a:stretch>
                  </pic:blipFill>
                  <pic:spPr>
                    <a:xfrm>
                      <a:off x="0" y="0"/>
                      <a:ext cx="5051834" cy="1413542"/>
                    </a:xfrm>
                    <a:prstGeom prst="rect">
                      <a:avLst/>
                    </a:prstGeom>
                  </pic:spPr>
                </pic:pic>
              </a:graphicData>
            </a:graphic>
          </wp:inline>
        </w:drawing>
      </w:r>
    </w:p>
    <w:p w14:paraId="34DEB5AB" w14:textId="77777777" w:rsidR="001E06B5" w:rsidRDefault="001E06B5" w:rsidP="002870B9">
      <w:pPr>
        <w:ind w:left="-720" w:right="-720"/>
        <w:rPr>
          <w:rFonts w:eastAsiaTheme="minorEastAsia"/>
          <w:sz w:val="20"/>
          <w:szCs w:val="20"/>
        </w:rPr>
      </w:pPr>
    </w:p>
    <w:p w14:paraId="570FB742" w14:textId="6400D224" w:rsidR="00D22E36" w:rsidRDefault="00112D9E" w:rsidP="00727795">
      <w:pPr>
        <w:ind w:left="-720" w:right="-720"/>
        <w:rPr>
          <w:rFonts w:eastAsiaTheme="minorEastAsia"/>
          <w:sz w:val="20"/>
          <w:szCs w:val="20"/>
        </w:rPr>
      </w:pPr>
      <w:r>
        <w:rPr>
          <w:rFonts w:eastAsiaTheme="minorEastAsia"/>
          <w:sz w:val="20"/>
          <w:szCs w:val="20"/>
        </w:rPr>
        <w:t xml:space="preserve">The projected number of deaths depends on how quickly the population is moving through the different compartments. </w:t>
      </w:r>
      <w:r w:rsidR="001E06B5">
        <w:rPr>
          <w:rFonts w:eastAsiaTheme="minorEastAsia"/>
          <w:sz w:val="20"/>
          <w:szCs w:val="20"/>
        </w:rPr>
        <w:t xml:space="preserve">The rate at which the population moves between compartments is dictated by a set of </w:t>
      </w:r>
      <w:r w:rsidR="00383CBB">
        <w:rPr>
          <w:rFonts w:eastAsiaTheme="minorEastAsia"/>
          <w:sz w:val="20"/>
          <w:szCs w:val="20"/>
        </w:rPr>
        <w:t xml:space="preserve">nine </w:t>
      </w:r>
      <w:r w:rsidR="001E06B5">
        <w:rPr>
          <w:rFonts w:eastAsiaTheme="minorEastAsia"/>
          <w:sz w:val="20"/>
          <w:szCs w:val="20"/>
        </w:rPr>
        <w:t>assumptions</w:t>
      </w:r>
      <w:r w:rsidR="00383CBB">
        <w:rPr>
          <w:rFonts w:eastAsiaTheme="minorEastAsia"/>
          <w:sz w:val="20"/>
          <w:szCs w:val="20"/>
        </w:rPr>
        <w:t xml:space="preserve">. </w:t>
      </w:r>
      <w:r w:rsidR="00DE08CC">
        <w:rPr>
          <w:rFonts w:eastAsiaTheme="minorEastAsia"/>
          <w:sz w:val="20"/>
          <w:szCs w:val="20"/>
        </w:rPr>
        <w:t xml:space="preserve">One key assumption is </w:t>
      </w:r>
      <w:r w:rsidR="00E62D97">
        <w:rPr>
          <w:rFonts w:eastAsiaTheme="minorEastAsia"/>
          <w:sz w:val="20"/>
          <w:szCs w:val="20"/>
        </w:rPr>
        <w:t>the reproductive number</w:t>
      </w:r>
      <w:r w:rsidR="00727795">
        <w:rPr>
          <w:rFonts w:eastAsiaTheme="minorEastAsia"/>
          <w:sz w:val="20"/>
          <w:szCs w:val="20"/>
        </w:rPr>
        <w:t xml:space="preserve">, denoted </w:t>
      </w:r>
      <w:r w:rsidR="00DE08CC">
        <w:rPr>
          <w:rFonts w:eastAsiaTheme="minorEastAsia"/>
          <w:sz w:val="20"/>
          <w:szCs w:val="20"/>
        </w:rPr>
        <w:t>R</w:t>
      </w:r>
      <w:r w:rsidR="00727795" w:rsidRPr="00DE08CC">
        <w:rPr>
          <w:rFonts w:eastAsiaTheme="minorEastAsia"/>
          <w:sz w:val="20"/>
          <w:szCs w:val="20"/>
          <w:vertAlign w:val="subscript"/>
        </w:rPr>
        <w:t>0</w:t>
      </w:r>
      <w:r w:rsidR="00727795">
        <w:rPr>
          <w:rFonts w:eastAsiaTheme="minorEastAsia"/>
          <w:sz w:val="20"/>
          <w:szCs w:val="20"/>
        </w:rPr>
        <w:t>, which</w:t>
      </w:r>
      <w:r w:rsidR="00861554" w:rsidRPr="00861554">
        <w:rPr>
          <w:rFonts w:eastAsiaTheme="minorEastAsia"/>
          <w:sz w:val="20"/>
          <w:szCs w:val="20"/>
        </w:rPr>
        <w:t xml:space="preserve"> </w:t>
      </w:r>
      <w:r w:rsidR="00861554">
        <w:rPr>
          <w:rFonts w:eastAsiaTheme="minorEastAsia"/>
          <w:sz w:val="20"/>
          <w:szCs w:val="20"/>
        </w:rPr>
        <w:t xml:space="preserve">represents the number of people an infected person will infect before recovery (or death). Social distancing and shelter in place measures are aimed at reducing this number. With that being said, it is changing constantly, and </w:t>
      </w:r>
      <w:r w:rsidR="00727795">
        <w:rPr>
          <w:rFonts w:eastAsiaTheme="minorEastAsia"/>
          <w:sz w:val="20"/>
          <w:szCs w:val="20"/>
        </w:rPr>
        <w:t xml:space="preserve">is not known with certainty. </w:t>
      </w:r>
    </w:p>
    <w:p w14:paraId="5AF92C19" w14:textId="77777777" w:rsidR="00861554" w:rsidRDefault="00861554" w:rsidP="005477F5">
      <w:pPr>
        <w:spacing w:line="259" w:lineRule="auto"/>
        <w:ind w:hanging="720"/>
        <w:rPr>
          <w:rFonts w:eastAsiaTheme="minorEastAsia"/>
          <w:sz w:val="20"/>
          <w:szCs w:val="20"/>
        </w:rPr>
      </w:pPr>
    </w:p>
    <w:p w14:paraId="0C5991C2" w14:textId="6F03274E" w:rsidR="00DE08CC" w:rsidRDefault="00BC3A4F" w:rsidP="00717AB4">
      <w:pPr>
        <w:ind w:left="-720" w:right="-810"/>
        <w:rPr>
          <w:rFonts w:eastAsiaTheme="minorEastAsia"/>
          <w:sz w:val="20"/>
          <w:szCs w:val="20"/>
          <w:u w:val="single"/>
        </w:rPr>
      </w:pPr>
      <w:r>
        <w:rPr>
          <w:rFonts w:eastAsiaTheme="minorEastAsia"/>
          <w:b/>
          <w:bCs/>
          <w:sz w:val="20"/>
          <w:szCs w:val="20"/>
          <w:u w:val="single"/>
        </w:rPr>
        <w:t xml:space="preserve">Approach &amp; </w:t>
      </w:r>
      <w:r w:rsidR="00717AB4" w:rsidRPr="00717AB4">
        <w:rPr>
          <w:rFonts w:eastAsiaTheme="minorEastAsia"/>
          <w:b/>
          <w:bCs/>
          <w:sz w:val="20"/>
          <w:szCs w:val="20"/>
          <w:u w:val="single"/>
        </w:rPr>
        <w:t>Results</w:t>
      </w:r>
      <w:r w:rsidR="00DE08CC" w:rsidRPr="00717AB4">
        <w:rPr>
          <w:rFonts w:eastAsiaTheme="minorEastAsia"/>
          <w:sz w:val="20"/>
          <w:szCs w:val="20"/>
          <w:u w:val="single"/>
        </w:rPr>
        <w:t xml:space="preserve"> </w:t>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p>
    <w:p w14:paraId="17BD33A1" w14:textId="51AD415E" w:rsidR="003F488D" w:rsidRDefault="00BC3A4F" w:rsidP="00160E33">
      <w:pPr>
        <w:spacing w:after="120"/>
        <w:ind w:left="-720" w:right="-806"/>
        <w:rPr>
          <w:rFonts w:eastAsiaTheme="minorEastAsia"/>
          <w:sz w:val="20"/>
          <w:szCs w:val="20"/>
        </w:rPr>
      </w:pPr>
      <w:r>
        <w:rPr>
          <w:rFonts w:eastAsiaTheme="minorEastAsia"/>
          <w:sz w:val="20"/>
          <w:szCs w:val="20"/>
        </w:rPr>
        <w:t xml:space="preserve">The first step to </w:t>
      </w:r>
      <w:r w:rsidR="00727795">
        <w:rPr>
          <w:rFonts w:eastAsiaTheme="minorEastAsia"/>
          <w:sz w:val="20"/>
          <w:szCs w:val="20"/>
        </w:rPr>
        <w:t xml:space="preserve">estimate excess mortality is </w:t>
      </w:r>
      <w:r>
        <w:rPr>
          <w:rFonts w:eastAsiaTheme="minorEastAsia"/>
          <w:sz w:val="20"/>
          <w:szCs w:val="20"/>
        </w:rPr>
        <w:t>to</w:t>
      </w:r>
      <w:r w:rsidR="003F488D">
        <w:rPr>
          <w:rFonts w:eastAsiaTheme="minorEastAsia"/>
          <w:sz w:val="20"/>
          <w:szCs w:val="20"/>
        </w:rPr>
        <w:t xml:space="preserve"> fit a curve to confirmed cases</w:t>
      </w:r>
      <w:r w:rsidR="00727795">
        <w:rPr>
          <w:rFonts w:eastAsiaTheme="minorEastAsia"/>
          <w:sz w:val="20"/>
          <w:szCs w:val="20"/>
        </w:rPr>
        <w:t>.</w:t>
      </w:r>
      <w:r w:rsidR="00160E33">
        <w:rPr>
          <w:rFonts w:eastAsiaTheme="minorEastAsia"/>
          <w:sz w:val="20"/>
          <w:szCs w:val="20"/>
        </w:rPr>
        <w:t xml:space="preserve"> </w:t>
      </w:r>
      <w:r w:rsidR="00727795">
        <w:rPr>
          <w:rFonts w:eastAsiaTheme="minorEastAsia"/>
          <w:sz w:val="20"/>
          <w:szCs w:val="20"/>
        </w:rPr>
        <w:t xml:space="preserve">Since </w:t>
      </w:r>
      <w:r w:rsidR="00727795">
        <w:rPr>
          <w:rFonts w:eastAsiaTheme="minorEastAsia"/>
          <w:sz w:val="20"/>
          <w:szCs w:val="20"/>
        </w:rPr>
        <w:t>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Pr>
          <w:rFonts w:eastAsiaTheme="minorEastAsia"/>
          <w:sz w:val="20"/>
          <w:szCs w:val="20"/>
        </w:rPr>
        <w:t>is changing over time, we elected to fit different curves to different time windows. The smaller fitted curves from each time window were then combined.</w:t>
      </w:r>
      <w:r w:rsidR="003F488D">
        <w:rPr>
          <w:rFonts w:eastAsiaTheme="minorEastAsia"/>
          <w:sz w:val="20"/>
          <w:szCs w:val="20"/>
        </w:rPr>
        <w:t xml:space="preserve"> This approach allows us to understand how assumptions are changing over time as a result of public health positions. </w:t>
      </w:r>
      <w:r w:rsidR="00727795">
        <w:rPr>
          <w:rFonts w:eastAsiaTheme="minorEastAsia"/>
          <w:sz w:val="20"/>
          <w:szCs w:val="20"/>
        </w:rPr>
        <w:t xml:space="preserve">Specifically, we can get an estimate of </w:t>
      </w:r>
      <w:r w:rsidR="00727795">
        <w:rPr>
          <w:rFonts w:eastAsiaTheme="minorEastAsia"/>
          <w:sz w:val="20"/>
          <w:szCs w:val="20"/>
        </w:rPr>
        <w:t>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sidRPr="00727795">
        <w:rPr>
          <w:rFonts w:eastAsiaTheme="minorEastAsia"/>
          <w:sz w:val="20"/>
          <w:szCs w:val="20"/>
        </w:rPr>
        <w:t xml:space="preserve">before the lockdown and in subsequent time windows after the lockdown. </w:t>
      </w:r>
      <w:r w:rsidR="003F488D" w:rsidRPr="00727795">
        <w:rPr>
          <w:rFonts w:eastAsiaTheme="minorEastAsia"/>
          <w:sz w:val="20"/>
          <w:szCs w:val="20"/>
        </w:rPr>
        <w:t xml:space="preserve">The chart below shows how our fitted model compares to actual confirm case counts.  </w:t>
      </w:r>
    </w:p>
    <w:tbl>
      <w:tblPr>
        <w:tblStyle w:val="TableGrid"/>
        <w:tblW w:w="109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6"/>
        <w:gridCol w:w="3154"/>
      </w:tblGrid>
      <w:tr w:rsidR="003F488D" w14:paraId="2B089FAC" w14:textId="77777777" w:rsidTr="00BC3A4F">
        <w:trPr>
          <w:cantSplit/>
          <w:trHeight w:val="1134"/>
        </w:trPr>
        <w:tc>
          <w:tcPr>
            <w:tcW w:w="7826" w:type="dxa"/>
          </w:tcPr>
          <w:p w14:paraId="2661632A" w14:textId="6150F755" w:rsidR="003F488D" w:rsidRDefault="003F488D" w:rsidP="003F488D">
            <w:pPr>
              <w:ind w:right="-810"/>
              <w:rPr>
                <w:rFonts w:eastAsiaTheme="minorEastAsia"/>
                <w:sz w:val="20"/>
                <w:szCs w:val="20"/>
              </w:rPr>
            </w:pPr>
            <w:r>
              <w:rPr>
                <w:rFonts w:eastAsiaTheme="minorEastAsia"/>
                <w:noProof/>
                <w:sz w:val="20"/>
                <w:szCs w:val="20"/>
              </w:rPr>
              <w:drawing>
                <wp:inline distT="0" distB="0" distL="0" distR="0" wp14:anchorId="368E9332" wp14:editId="16B1C12E">
                  <wp:extent cx="4832546" cy="1906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4 at 10.09.5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7558" cy="1998871"/>
                          </a:xfrm>
                          <a:prstGeom prst="rect">
                            <a:avLst/>
                          </a:prstGeom>
                        </pic:spPr>
                      </pic:pic>
                    </a:graphicData>
                  </a:graphic>
                </wp:inline>
              </w:drawing>
            </w:r>
          </w:p>
        </w:tc>
        <w:tc>
          <w:tcPr>
            <w:tcW w:w="3154" w:type="dxa"/>
            <w:shd w:val="clear" w:color="auto" w:fill="auto"/>
          </w:tcPr>
          <w:p w14:paraId="65F4CFF1" w14:textId="77777777" w:rsidR="003F488D" w:rsidRPr="00D4129C" w:rsidRDefault="003F488D" w:rsidP="00BC3A4F">
            <w:pPr>
              <w:ind w:right="-810"/>
              <w:rPr>
                <w:rFonts w:eastAsiaTheme="minorEastAsia"/>
                <w:sz w:val="18"/>
                <w:szCs w:val="18"/>
              </w:rPr>
            </w:pPr>
            <w:r w:rsidRPr="00D4129C">
              <w:rPr>
                <w:rFonts w:eastAsiaTheme="minorEastAsia"/>
                <w:sz w:val="18"/>
                <w:szCs w:val="18"/>
              </w:rPr>
              <w:t>A few key observations</w:t>
            </w:r>
            <w:r w:rsidR="00BC3A4F" w:rsidRPr="00D4129C">
              <w:rPr>
                <w:rFonts w:eastAsiaTheme="minorEastAsia"/>
                <w:sz w:val="18"/>
                <w:szCs w:val="18"/>
              </w:rPr>
              <w:t>:</w:t>
            </w:r>
          </w:p>
          <w:p w14:paraId="491E0A2B" w14:textId="77777777"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 xml:space="preserve">The fit is very strong. </w:t>
            </w:r>
          </w:p>
          <w:p w14:paraId="499DDBF3" w14:textId="77777777"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The R</w:t>
            </w:r>
            <w:r w:rsidRPr="00D4129C">
              <w:rPr>
                <w:rFonts w:eastAsiaTheme="minorEastAsia"/>
                <w:sz w:val="18"/>
                <w:szCs w:val="18"/>
                <w:vertAlign w:val="subscript"/>
              </w:rPr>
              <w:t xml:space="preserve">0 </w:t>
            </w:r>
            <w:r w:rsidRPr="00D4129C">
              <w:rPr>
                <w:rFonts w:eastAsiaTheme="minorEastAsia"/>
                <w:sz w:val="18"/>
                <w:szCs w:val="18"/>
              </w:rPr>
              <w:t xml:space="preserve">values align with public health decisions. The green box is the period before the lockdown, which is where </w:t>
            </w:r>
            <w:r w:rsidRPr="00D4129C">
              <w:rPr>
                <w:rFonts w:eastAsiaTheme="minorEastAsia"/>
                <w:sz w:val="18"/>
                <w:szCs w:val="18"/>
              </w:rPr>
              <w:t>R</w:t>
            </w:r>
            <w:r w:rsidRPr="00D4129C">
              <w:rPr>
                <w:rFonts w:eastAsiaTheme="minorEastAsia"/>
                <w:sz w:val="18"/>
                <w:szCs w:val="18"/>
                <w:vertAlign w:val="subscript"/>
              </w:rPr>
              <w:t>0</w:t>
            </w:r>
            <w:r w:rsidRPr="00D4129C">
              <w:rPr>
                <w:rFonts w:eastAsiaTheme="minorEastAsia"/>
                <w:sz w:val="18"/>
                <w:szCs w:val="18"/>
              </w:rPr>
              <w:t xml:space="preserve"> is the highest. </w:t>
            </w:r>
            <w:r w:rsidR="006E46F5" w:rsidRPr="00D4129C">
              <w:rPr>
                <w:rFonts w:eastAsiaTheme="minorEastAsia"/>
                <w:sz w:val="18"/>
                <w:szCs w:val="18"/>
              </w:rPr>
              <w:t xml:space="preserve"> </w:t>
            </w:r>
          </w:p>
          <w:p w14:paraId="08F709CA" w14:textId="77777777" w:rsidR="006E46F5" w:rsidRPr="00D4129C" w:rsidRDefault="006E46F5" w:rsidP="00BC3A4F">
            <w:pPr>
              <w:pStyle w:val="ListParagraph"/>
              <w:numPr>
                <w:ilvl w:val="0"/>
                <w:numId w:val="10"/>
              </w:numPr>
              <w:ind w:right="77"/>
              <w:rPr>
                <w:rFonts w:eastAsiaTheme="minorEastAsia"/>
                <w:sz w:val="18"/>
                <w:szCs w:val="18"/>
              </w:rPr>
            </w:pPr>
            <w:r w:rsidRPr="00D4129C">
              <w:rPr>
                <w:rFonts w:eastAsiaTheme="minorEastAsia"/>
                <w:sz w:val="18"/>
                <w:szCs w:val="18"/>
              </w:rPr>
              <w:t xml:space="preserve">The decreasing value of </w:t>
            </w:r>
            <w:r w:rsidRPr="00D4129C">
              <w:rPr>
                <w:rFonts w:eastAsiaTheme="minorEastAsia"/>
                <w:sz w:val="18"/>
                <w:szCs w:val="18"/>
              </w:rPr>
              <w:t>R</w:t>
            </w:r>
            <w:r w:rsidRPr="00D4129C">
              <w:rPr>
                <w:rFonts w:eastAsiaTheme="minorEastAsia"/>
                <w:sz w:val="18"/>
                <w:szCs w:val="18"/>
                <w:vertAlign w:val="subscript"/>
              </w:rPr>
              <w:t>0</w:t>
            </w:r>
            <w:r w:rsidRPr="00D4129C">
              <w:rPr>
                <w:rFonts w:eastAsiaTheme="minorEastAsia"/>
                <w:sz w:val="18"/>
                <w:szCs w:val="18"/>
                <w:vertAlign w:val="subscript"/>
              </w:rPr>
              <w:t xml:space="preserve"> </w:t>
            </w:r>
            <w:r w:rsidRPr="00D4129C">
              <w:rPr>
                <w:rFonts w:eastAsiaTheme="minorEastAsia"/>
                <w:sz w:val="18"/>
                <w:szCs w:val="18"/>
              </w:rPr>
              <w:t>reflects the effective social distancing</w:t>
            </w:r>
          </w:p>
          <w:p w14:paraId="012607DF" w14:textId="0AB8A950" w:rsidR="006B76BA" w:rsidRPr="00BC3A4F" w:rsidRDefault="006B76BA" w:rsidP="006B76BA">
            <w:pPr>
              <w:pStyle w:val="ListParagraph"/>
              <w:ind w:right="77"/>
              <w:rPr>
                <w:rFonts w:eastAsiaTheme="minorEastAsia"/>
                <w:sz w:val="20"/>
                <w:szCs w:val="20"/>
              </w:rPr>
            </w:pPr>
          </w:p>
        </w:tc>
      </w:tr>
    </w:tbl>
    <w:p w14:paraId="1ABCA9D2" w14:textId="55AF180D" w:rsidR="00A422AB" w:rsidRPr="00F60BE1" w:rsidRDefault="00317582" w:rsidP="00F60BE1">
      <w:pPr>
        <w:pStyle w:val="ListParagraph"/>
        <w:ind w:left="-720" w:right="-810"/>
        <w:rPr>
          <w:rFonts w:eastAsiaTheme="minorEastAsia"/>
          <w:sz w:val="20"/>
          <w:szCs w:val="20"/>
        </w:rPr>
      </w:pPr>
      <w:r>
        <w:rPr>
          <w:rFonts w:eastAsiaTheme="minorEastAsia"/>
          <w:sz w:val="20"/>
          <w:szCs w:val="20"/>
        </w:rPr>
        <w:lastRenderedPageBreak/>
        <w:t xml:space="preserve">The chart below </w:t>
      </w:r>
      <w:r w:rsidR="00F60BE1">
        <w:rPr>
          <w:rFonts w:eastAsiaTheme="minorEastAsia"/>
          <w:sz w:val="20"/>
          <w:szCs w:val="20"/>
        </w:rPr>
        <w:t xml:space="preserve">used the fitted model to </w:t>
      </w:r>
      <w:r>
        <w:rPr>
          <w:rFonts w:eastAsiaTheme="minorEastAsia"/>
          <w:sz w:val="20"/>
          <w:szCs w:val="20"/>
        </w:rPr>
        <w:t xml:space="preserve">forecast </w:t>
      </w:r>
      <w:r w:rsidR="00F60BE1" w:rsidRPr="00F60BE1">
        <w:rPr>
          <w:rFonts w:eastAsiaTheme="minorEastAsia"/>
          <w:b/>
          <w:bCs/>
          <w:sz w:val="20"/>
          <w:szCs w:val="20"/>
        </w:rPr>
        <w:t xml:space="preserve">cumulative </w:t>
      </w:r>
      <w:r>
        <w:rPr>
          <w:rFonts w:eastAsiaTheme="minorEastAsia"/>
          <w:sz w:val="20"/>
          <w:szCs w:val="20"/>
        </w:rPr>
        <w:t xml:space="preserve">confirmed COVID-19 cases under two scenarios. The green line represents the forecast using the fitted </w:t>
      </w:r>
      <w:r>
        <w:rPr>
          <w:rFonts w:eastAsiaTheme="minorEastAsia"/>
          <w:sz w:val="20"/>
          <w:szCs w:val="20"/>
        </w:rPr>
        <w:t>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from the </w:t>
      </w:r>
      <w:r>
        <w:rPr>
          <w:rFonts w:eastAsiaTheme="minorEastAsia"/>
          <w:sz w:val="20"/>
          <w:szCs w:val="20"/>
        </w:rPr>
        <w:t xml:space="preserve">most recent time window. The blue line represents the forecast using a higher </w:t>
      </w:r>
      <w:r>
        <w:rPr>
          <w:rFonts w:eastAsiaTheme="minorEastAsia"/>
          <w:sz w:val="20"/>
          <w:szCs w:val="20"/>
        </w:rPr>
        <w:t>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which </w:t>
      </w:r>
      <w:r>
        <w:rPr>
          <w:rFonts w:eastAsiaTheme="minorEastAsia"/>
          <w:sz w:val="20"/>
          <w:szCs w:val="20"/>
        </w:rPr>
        <w:t xml:space="preserve">reflects relaxed stay at home orders. </w:t>
      </w:r>
      <w:r w:rsidR="00F60BE1" w:rsidRPr="00F60BE1">
        <w:rPr>
          <w:rFonts w:eastAsiaTheme="minorEastAsia"/>
          <w:sz w:val="20"/>
          <w:szCs w:val="20"/>
        </w:rPr>
        <w:t xml:space="preserve">Note that this forecast </w:t>
      </w:r>
      <w:r w:rsidR="00F60BE1" w:rsidRPr="00F60BE1">
        <w:rPr>
          <w:rFonts w:eastAsiaTheme="minorEastAsia"/>
          <w:sz w:val="20"/>
          <w:szCs w:val="20"/>
        </w:rPr>
        <w:t>assumes no improvements in testing or treatment, which is conservative</w:t>
      </w:r>
      <w:r w:rsidR="00F60BE1" w:rsidRPr="00F60BE1">
        <w:rPr>
          <w:rFonts w:eastAsiaTheme="minorEastAsia"/>
          <w:sz w:val="20"/>
          <w:szCs w:val="20"/>
        </w:rPr>
        <w:t xml:space="preserve">. A forecast for daily confirmed </w:t>
      </w:r>
      <w:r w:rsidR="003B1206">
        <w:rPr>
          <w:rFonts w:eastAsiaTheme="minorEastAsia"/>
          <w:sz w:val="20"/>
          <w:szCs w:val="20"/>
        </w:rPr>
        <w:t>cases</w:t>
      </w:r>
      <w:r w:rsidR="00F60BE1" w:rsidRPr="00F60BE1">
        <w:rPr>
          <w:rFonts w:eastAsiaTheme="minorEastAsia"/>
          <w:sz w:val="20"/>
          <w:szCs w:val="20"/>
        </w:rPr>
        <w:t xml:space="preserve"> </w:t>
      </w:r>
      <w:r w:rsidR="003B1206">
        <w:rPr>
          <w:rFonts w:eastAsiaTheme="minorEastAsia"/>
          <w:sz w:val="20"/>
          <w:szCs w:val="20"/>
        </w:rPr>
        <w:t xml:space="preserve">using the assumptions that create the green line </w:t>
      </w:r>
      <w:r w:rsidR="00F60BE1" w:rsidRPr="00F60BE1">
        <w:rPr>
          <w:rFonts w:eastAsiaTheme="minorEastAsia"/>
          <w:sz w:val="20"/>
          <w:szCs w:val="20"/>
        </w:rPr>
        <w:t xml:space="preserve">can be found in exhibit 1 of the appendix. </w:t>
      </w:r>
    </w:p>
    <w:p w14:paraId="4D003A60" w14:textId="1CCC486C" w:rsidR="00F60BE1" w:rsidRDefault="00F60BE1" w:rsidP="00F60BE1">
      <w:pPr>
        <w:pStyle w:val="ListParagraph"/>
        <w:ind w:left="-720" w:right="-810"/>
        <w:jc w:val="center"/>
        <w:rPr>
          <w:rFonts w:eastAsiaTheme="minorEastAsia"/>
          <w:sz w:val="20"/>
          <w:szCs w:val="20"/>
        </w:rPr>
      </w:pPr>
      <w:r w:rsidRPr="00A422AB">
        <w:rPr>
          <w:rFonts w:eastAsiaTheme="minorEastAsia"/>
          <w:sz w:val="20"/>
          <w:szCs w:val="20"/>
        </w:rPr>
        <w:drawing>
          <wp:inline distT="0" distB="0" distL="0" distR="0" wp14:anchorId="64031F04" wp14:editId="48313AC7">
            <wp:extent cx="4798337" cy="209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337" cy="2099785"/>
                    </a:xfrm>
                    <a:prstGeom prst="rect">
                      <a:avLst/>
                    </a:prstGeom>
                  </pic:spPr>
                </pic:pic>
              </a:graphicData>
            </a:graphic>
          </wp:inline>
        </w:drawing>
      </w:r>
    </w:p>
    <w:p w14:paraId="273D6789" w14:textId="77777777" w:rsidR="00201825" w:rsidRPr="00A422AB" w:rsidRDefault="00201825" w:rsidP="00A422AB">
      <w:pPr>
        <w:ind w:right="-810"/>
        <w:rPr>
          <w:rFonts w:eastAsiaTheme="minorEastAsia"/>
          <w:sz w:val="20"/>
          <w:szCs w:val="20"/>
        </w:rPr>
      </w:pPr>
    </w:p>
    <w:p w14:paraId="1559B259" w14:textId="55D9EBA5" w:rsidR="006E544C" w:rsidRDefault="00F60BE1" w:rsidP="006E544C">
      <w:pPr>
        <w:pStyle w:val="ListParagraph"/>
        <w:ind w:left="-720" w:right="-810"/>
        <w:rPr>
          <w:rFonts w:eastAsiaTheme="minorEastAsia"/>
          <w:sz w:val="20"/>
          <w:szCs w:val="20"/>
        </w:rPr>
      </w:pPr>
      <w:r>
        <w:rPr>
          <w:rFonts w:eastAsiaTheme="minorEastAsia"/>
          <w:sz w:val="20"/>
          <w:szCs w:val="20"/>
        </w:rPr>
        <w:t xml:space="preserve">The observed </w:t>
      </w:r>
      <w:r w:rsidR="006E46F5">
        <w:rPr>
          <w:rFonts w:eastAsiaTheme="minorEastAsia"/>
          <w:sz w:val="20"/>
          <w:szCs w:val="20"/>
        </w:rPr>
        <w:t xml:space="preserve">death rate as a percentage of confirmed cases has been relatively constant, </w:t>
      </w:r>
      <w:r w:rsidR="00444FDC">
        <w:rPr>
          <w:rFonts w:eastAsiaTheme="minorEastAsia"/>
          <w:sz w:val="20"/>
          <w:szCs w:val="20"/>
        </w:rPr>
        <w:t xml:space="preserve">which means </w:t>
      </w:r>
      <w:r w:rsidR="006E46F5">
        <w:rPr>
          <w:rFonts w:eastAsiaTheme="minorEastAsia"/>
          <w:sz w:val="20"/>
          <w:szCs w:val="20"/>
        </w:rPr>
        <w:t>we can multiply the estimated number of confirmed cases by the death rate to generate a forecast for the</w:t>
      </w:r>
      <w:r w:rsidR="003B1206">
        <w:rPr>
          <w:rFonts w:eastAsiaTheme="minorEastAsia"/>
          <w:sz w:val="20"/>
          <w:szCs w:val="20"/>
        </w:rPr>
        <w:t xml:space="preserve"> cumulative</w:t>
      </w:r>
      <w:r w:rsidR="006E46F5">
        <w:rPr>
          <w:rFonts w:eastAsiaTheme="minorEastAsia"/>
          <w:sz w:val="20"/>
          <w:szCs w:val="20"/>
        </w:rPr>
        <w:t xml:space="preserve"> number of deaths </w:t>
      </w:r>
      <w:r w:rsidR="00D2328B">
        <w:rPr>
          <w:rFonts w:eastAsiaTheme="minorEastAsia"/>
          <w:sz w:val="20"/>
          <w:szCs w:val="20"/>
        </w:rPr>
        <w:t>through 2020</w:t>
      </w:r>
      <w:r w:rsidR="006E46F5">
        <w:rPr>
          <w:rFonts w:eastAsiaTheme="minorEastAsia"/>
          <w:sz w:val="20"/>
          <w:szCs w:val="20"/>
        </w:rPr>
        <w:t xml:space="preserve">. </w:t>
      </w:r>
      <w:r w:rsidR="003B1206" w:rsidRPr="00F60BE1">
        <w:rPr>
          <w:rFonts w:eastAsiaTheme="minorEastAsia"/>
          <w:sz w:val="20"/>
          <w:szCs w:val="20"/>
        </w:rPr>
        <w:t xml:space="preserve">A forecast for </w:t>
      </w:r>
      <w:r w:rsidR="00444FDC">
        <w:rPr>
          <w:rFonts w:eastAsiaTheme="minorEastAsia"/>
          <w:sz w:val="20"/>
          <w:szCs w:val="20"/>
        </w:rPr>
        <w:t xml:space="preserve">daily </w:t>
      </w:r>
      <w:r w:rsidR="003B1206">
        <w:rPr>
          <w:rFonts w:eastAsiaTheme="minorEastAsia"/>
          <w:sz w:val="20"/>
          <w:szCs w:val="20"/>
        </w:rPr>
        <w:t>deaths</w:t>
      </w:r>
      <w:r w:rsidR="003B1206" w:rsidRPr="00F60BE1">
        <w:rPr>
          <w:rFonts w:eastAsiaTheme="minorEastAsia"/>
          <w:sz w:val="20"/>
          <w:szCs w:val="20"/>
        </w:rPr>
        <w:t xml:space="preserve"> </w:t>
      </w:r>
      <w:r w:rsidR="003B1206">
        <w:rPr>
          <w:rFonts w:eastAsiaTheme="minorEastAsia"/>
          <w:sz w:val="20"/>
          <w:szCs w:val="20"/>
        </w:rPr>
        <w:t>using the assumptions that create the green line</w:t>
      </w:r>
      <w:r w:rsidR="003B1206">
        <w:rPr>
          <w:rFonts w:eastAsiaTheme="minorEastAsia"/>
          <w:sz w:val="20"/>
          <w:szCs w:val="20"/>
        </w:rPr>
        <w:t xml:space="preserve"> </w:t>
      </w:r>
      <w:r w:rsidR="003B1206" w:rsidRPr="00F60BE1">
        <w:rPr>
          <w:rFonts w:eastAsiaTheme="minorEastAsia"/>
          <w:sz w:val="20"/>
          <w:szCs w:val="20"/>
        </w:rPr>
        <w:t xml:space="preserve">can be found in exhibit </w:t>
      </w:r>
      <w:r w:rsidR="003B1206">
        <w:rPr>
          <w:rFonts w:eastAsiaTheme="minorEastAsia"/>
          <w:sz w:val="20"/>
          <w:szCs w:val="20"/>
        </w:rPr>
        <w:t>2</w:t>
      </w:r>
      <w:r w:rsidR="003B1206" w:rsidRPr="00F60BE1">
        <w:rPr>
          <w:rFonts w:eastAsiaTheme="minorEastAsia"/>
          <w:sz w:val="20"/>
          <w:szCs w:val="20"/>
        </w:rPr>
        <w:t xml:space="preserve"> of the appendix.</w:t>
      </w:r>
    </w:p>
    <w:p w14:paraId="4ED63364" w14:textId="77777777" w:rsidR="003B1206" w:rsidRDefault="003B1206" w:rsidP="006E544C">
      <w:pPr>
        <w:pStyle w:val="ListParagraph"/>
        <w:ind w:left="-720" w:right="-810"/>
        <w:rPr>
          <w:rFonts w:eastAsiaTheme="minorEastAsia"/>
          <w:sz w:val="20"/>
          <w:szCs w:val="20"/>
        </w:rPr>
      </w:pPr>
    </w:p>
    <w:p w14:paraId="7BE3D616" w14:textId="77777777" w:rsidR="00A422AB" w:rsidRDefault="00A422AB" w:rsidP="00BC3A4F">
      <w:pPr>
        <w:pStyle w:val="ListParagraph"/>
        <w:ind w:left="-720" w:right="-810"/>
        <w:rPr>
          <w:rFonts w:eastAsiaTheme="minorEastAsia"/>
          <w:sz w:val="20"/>
          <w:szCs w:val="20"/>
        </w:rPr>
      </w:pPr>
    </w:p>
    <w:p w14:paraId="7F2834C4" w14:textId="19643259" w:rsidR="00E62AC6" w:rsidRPr="006E46F5" w:rsidRDefault="00F60BE1" w:rsidP="00F60BE1">
      <w:pPr>
        <w:pStyle w:val="ListParagraph"/>
        <w:ind w:left="-720" w:right="-810"/>
        <w:jc w:val="center"/>
        <w:rPr>
          <w:rFonts w:eastAsiaTheme="minorEastAsia"/>
          <w:sz w:val="20"/>
          <w:szCs w:val="20"/>
        </w:rPr>
      </w:pPr>
      <w:r>
        <w:rPr>
          <w:rFonts w:eastAsiaTheme="minorEastAsia"/>
          <w:noProof/>
          <w:sz w:val="20"/>
          <w:szCs w:val="20"/>
        </w:rPr>
        <w:drawing>
          <wp:inline distT="0" distB="0" distL="0" distR="0" wp14:anchorId="33EC31A3" wp14:editId="152D82FC">
            <wp:extent cx="5117027" cy="210312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2.43.5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7027" cy="2103120"/>
                    </a:xfrm>
                    <a:prstGeom prst="rect">
                      <a:avLst/>
                    </a:prstGeom>
                  </pic:spPr>
                </pic:pic>
              </a:graphicData>
            </a:graphic>
          </wp:inline>
        </w:drawing>
      </w:r>
    </w:p>
    <w:p w14:paraId="0693C8B8" w14:textId="77777777" w:rsidR="003B1206" w:rsidRDefault="003B1206" w:rsidP="00BC3A4F">
      <w:pPr>
        <w:pStyle w:val="ListParagraph"/>
        <w:ind w:left="-720" w:right="-810"/>
        <w:rPr>
          <w:rFonts w:eastAsiaTheme="minorEastAsia"/>
          <w:sz w:val="20"/>
          <w:szCs w:val="20"/>
        </w:rPr>
      </w:pPr>
    </w:p>
    <w:p w14:paraId="642611DA" w14:textId="6C11C9E3" w:rsidR="003B1206" w:rsidRDefault="003B1206" w:rsidP="003B1206">
      <w:pPr>
        <w:pStyle w:val="ListParagraph"/>
        <w:ind w:left="-720" w:right="-810"/>
        <w:rPr>
          <w:rFonts w:eastAsiaTheme="minorEastAsia"/>
          <w:sz w:val="20"/>
          <w:szCs w:val="20"/>
        </w:rPr>
      </w:pPr>
      <w:r>
        <w:rPr>
          <w:rFonts w:eastAsiaTheme="minorEastAsia"/>
          <w:sz w:val="20"/>
          <w:szCs w:val="20"/>
        </w:rPr>
        <w:t>Most expert models limit forecasts to August 2020. The widely relied upon IHME model forecasts 147K deaths at this date</w:t>
      </w:r>
      <w:r w:rsidR="0066751A">
        <w:rPr>
          <w:rStyle w:val="EndnoteReference"/>
          <w:rFonts w:eastAsiaTheme="minorEastAsia"/>
          <w:sz w:val="20"/>
          <w:szCs w:val="20"/>
        </w:rPr>
        <w:endnoteReference w:id="2"/>
      </w:r>
      <w:r>
        <w:rPr>
          <w:rFonts w:eastAsiaTheme="minorEastAsia"/>
          <w:sz w:val="20"/>
          <w:szCs w:val="20"/>
        </w:rPr>
        <w:t xml:space="preserve">. Our forecast based on the most recent fitted period (green line) also forecasts 147K deaths at that point in time. This helps us to validate our forecasts, while maintaining the ability to extend the forecasts further than August and test different scenarios. </w:t>
      </w:r>
    </w:p>
    <w:p w14:paraId="3AEC4995" w14:textId="77777777" w:rsidR="003B1206" w:rsidRPr="003B1206" w:rsidRDefault="003B1206" w:rsidP="003B1206">
      <w:pPr>
        <w:pStyle w:val="ListParagraph"/>
        <w:ind w:left="-720" w:right="-810"/>
        <w:rPr>
          <w:rFonts w:eastAsiaTheme="minorEastAsia"/>
          <w:sz w:val="20"/>
          <w:szCs w:val="20"/>
        </w:rPr>
      </w:pPr>
    </w:p>
    <w:p w14:paraId="4C0C8796" w14:textId="52F638F8" w:rsidR="00D2328B" w:rsidRDefault="003B1206" w:rsidP="00D2328B">
      <w:pPr>
        <w:pStyle w:val="ListParagraph"/>
        <w:ind w:left="-720" w:right="-810"/>
        <w:rPr>
          <w:rFonts w:eastAsiaTheme="minorEastAsia"/>
          <w:sz w:val="20"/>
          <w:szCs w:val="20"/>
        </w:rPr>
      </w:pPr>
      <w:r>
        <w:rPr>
          <w:rFonts w:eastAsiaTheme="minorEastAsia"/>
          <w:sz w:val="20"/>
          <w:szCs w:val="20"/>
        </w:rPr>
        <w:t xml:space="preserve">The cumulative death numbers shown above can be </w:t>
      </w:r>
      <w:r w:rsidR="000E462B">
        <w:rPr>
          <w:rFonts w:eastAsiaTheme="minorEastAsia"/>
          <w:sz w:val="20"/>
          <w:szCs w:val="20"/>
        </w:rPr>
        <w:t>distribute</w:t>
      </w:r>
      <w:r>
        <w:rPr>
          <w:rFonts w:eastAsiaTheme="minorEastAsia"/>
          <w:sz w:val="20"/>
          <w:szCs w:val="20"/>
        </w:rPr>
        <w:t>d</w:t>
      </w:r>
      <w:r w:rsidR="000E462B">
        <w:rPr>
          <w:rFonts w:eastAsiaTheme="minorEastAsia"/>
          <w:sz w:val="20"/>
          <w:szCs w:val="20"/>
        </w:rPr>
        <w:t xml:space="preserve"> across age and gender buckets</w:t>
      </w:r>
      <w:r>
        <w:rPr>
          <w:rFonts w:eastAsiaTheme="minorEastAsia"/>
          <w:sz w:val="20"/>
          <w:szCs w:val="20"/>
        </w:rPr>
        <w:t xml:space="preserve"> </w:t>
      </w:r>
      <w:r w:rsidR="00D2328B">
        <w:rPr>
          <w:rFonts w:eastAsiaTheme="minorEastAsia"/>
          <w:sz w:val="20"/>
          <w:szCs w:val="20"/>
        </w:rPr>
        <w:t>based on</w:t>
      </w:r>
      <w:r>
        <w:rPr>
          <w:rFonts w:eastAsiaTheme="minorEastAsia"/>
          <w:sz w:val="20"/>
          <w:szCs w:val="20"/>
        </w:rPr>
        <w:t xml:space="preserve"> experience from New York City</w:t>
      </w:r>
      <w:r w:rsidR="000E462B">
        <w:rPr>
          <w:rFonts w:eastAsiaTheme="minorEastAsia"/>
          <w:sz w:val="20"/>
          <w:szCs w:val="20"/>
        </w:rPr>
        <w:t xml:space="preserve">. </w:t>
      </w:r>
      <w:r>
        <w:rPr>
          <w:rFonts w:eastAsiaTheme="minorEastAsia"/>
          <w:sz w:val="20"/>
          <w:szCs w:val="20"/>
        </w:rPr>
        <w:t xml:space="preserve">For example, </w:t>
      </w:r>
      <w:r w:rsidR="00D2328B">
        <w:rPr>
          <w:rFonts w:eastAsiaTheme="minorEastAsia"/>
          <w:sz w:val="20"/>
          <w:szCs w:val="20"/>
        </w:rPr>
        <w:t xml:space="preserve">in NYC </w:t>
      </w:r>
      <w:r w:rsidR="000156D8">
        <w:rPr>
          <w:rFonts w:eastAsiaTheme="minorEastAsia"/>
          <w:sz w:val="20"/>
          <w:szCs w:val="20"/>
        </w:rPr>
        <w:t xml:space="preserve">roughly 30% of deaths are males ages 75 and older. </w:t>
      </w:r>
      <w:r w:rsidR="00D2328B">
        <w:rPr>
          <w:rFonts w:eastAsiaTheme="minorEastAsia"/>
          <w:sz w:val="20"/>
          <w:szCs w:val="20"/>
        </w:rPr>
        <w:t>Our forecast above estimates</w:t>
      </w:r>
      <w:r w:rsidR="000156D8">
        <w:rPr>
          <w:rFonts w:eastAsiaTheme="minorEastAsia"/>
          <w:sz w:val="20"/>
          <w:szCs w:val="20"/>
        </w:rPr>
        <w:t xml:space="preserve"> 167k deaths at the end of 2020, </w:t>
      </w:r>
      <w:r w:rsidR="00D2328B">
        <w:rPr>
          <w:rFonts w:eastAsiaTheme="minorEastAsia"/>
          <w:sz w:val="20"/>
          <w:szCs w:val="20"/>
        </w:rPr>
        <w:t>which</w:t>
      </w:r>
      <w:r w:rsidR="000156D8">
        <w:rPr>
          <w:rFonts w:eastAsiaTheme="minorEastAsia"/>
          <w:sz w:val="20"/>
          <w:szCs w:val="20"/>
        </w:rPr>
        <w:t xml:space="preserve"> means we estimated roughly 50k</w:t>
      </w:r>
      <w:r w:rsidR="00D2328B">
        <w:rPr>
          <w:rFonts w:eastAsiaTheme="minorEastAsia"/>
          <w:sz w:val="20"/>
          <w:szCs w:val="20"/>
        </w:rPr>
        <w:t xml:space="preserve"> (157K*30%)</w:t>
      </w:r>
      <w:r w:rsidR="000156D8">
        <w:rPr>
          <w:rFonts w:eastAsiaTheme="minorEastAsia"/>
          <w:sz w:val="20"/>
          <w:szCs w:val="20"/>
        </w:rPr>
        <w:t xml:space="preserve"> of those deaths will be males ages 75 and older. </w:t>
      </w:r>
      <w:r w:rsidR="00D2328B">
        <w:rPr>
          <w:rFonts w:eastAsiaTheme="minorEastAsia"/>
          <w:sz w:val="20"/>
          <w:szCs w:val="20"/>
        </w:rPr>
        <w:t>We repeat this calculation to estimate the number of deaths in each age and gender bucket under each scenario.</w:t>
      </w:r>
    </w:p>
    <w:p w14:paraId="4AF45D35" w14:textId="1BA88F4D" w:rsidR="00E3171C" w:rsidRDefault="00E3171C" w:rsidP="00D2328B">
      <w:pPr>
        <w:pStyle w:val="ListParagraph"/>
        <w:ind w:left="-720" w:right="-810"/>
        <w:rPr>
          <w:rFonts w:eastAsiaTheme="minorEastAsia"/>
          <w:sz w:val="20"/>
          <w:szCs w:val="20"/>
        </w:rPr>
      </w:pPr>
    </w:p>
    <w:p w14:paraId="2C8E36AB" w14:textId="09B6A345" w:rsidR="00E3171C" w:rsidRDefault="002C2B4F" w:rsidP="00E3171C">
      <w:pPr>
        <w:pStyle w:val="ListParagraph"/>
        <w:ind w:left="-720" w:right="-810"/>
        <w:rPr>
          <w:rFonts w:eastAsiaTheme="minorEastAsia"/>
          <w:sz w:val="20"/>
          <w:szCs w:val="20"/>
        </w:rPr>
      </w:pPr>
      <w:r>
        <w:rPr>
          <w:rFonts w:eastAsiaTheme="minorEastAsia"/>
          <w:sz w:val="20"/>
          <w:szCs w:val="20"/>
        </w:rPr>
        <w:t>Furthermore</w:t>
      </w:r>
      <w:r w:rsidR="00E3171C">
        <w:rPr>
          <w:rFonts w:eastAsiaTheme="minorEastAsia"/>
          <w:sz w:val="20"/>
          <w:szCs w:val="20"/>
        </w:rPr>
        <w:t xml:space="preserve">, we use 2017 US mortality rates to estimate the number of non-COVID19 related deaths for each age/gender group. </w:t>
      </w:r>
      <w:r w:rsidR="00E3171C" w:rsidRPr="00E3171C">
        <w:rPr>
          <w:rFonts w:eastAsiaTheme="minorEastAsia"/>
          <w:sz w:val="20"/>
          <w:szCs w:val="20"/>
        </w:rPr>
        <w:t>We can add the forecasted number of COVID-19 deaths to the estimate for non-COVID19 deaths to get an estimate for the total number of deaths in each age gender buckets. At this point, we can divide the</w:t>
      </w:r>
      <w:r>
        <w:rPr>
          <w:rFonts w:eastAsiaTheme="minorEastAsia"/>
          <w:sz w:val="20"/>
          <w:szCs w:val="20"/>
        </w:rPr>
        <w:t xml:space="preserve"> estimated</w:t>
      </w:r>
      <w:r w:rsidR="00E3171C" w:rsidRPr="00E3171C">
        <w:rPr>
          <w:rFonts w:eastAsiaTheme="minorEastAsia"/>
          <w:sz w:val="20"/>
          <w:szCs w:val="20"/>
        </w:rPr>
        <w:t xml:space="preserve"> total deaths with COVID by the total deaths without COVID to get an estimate for excess mortality in the US general population. Note that this assumes all COVID deaths are excess and none of these individuals would have died from other causes. </w:t>
      </w:r>
    </w:p>
    <w:p w14:paraId="3EA24238" w14:textId="29B271EB" w:rsidR="004A05AD" w:rsidRPr="00E3171C" w:rsidRDefault="004A05AD" w:rsidP="00E3171C">
      <w:pPr>
        <w:pStyle w:val="ListParagraph"/>
        <w:ind w:left="-720" w:right="-810"/>
        <w:rPr>
          <w:rFonts w:eastAsiaTheme="minorEastAsia"/>
          <w:sz w:val="20"/>
          <w:szCs w:val="20"/>
        </w:rPr>
      </w:pPr>
      <w:r>
        <w:rPr>
          <w:rFonts w:eastAsiaTheme="minorEastAsia"/>
          <w:sz w:val="20"/>
          <w:szCs w:val="20"/>
        </w:rPr>
        <w:t xml:space="preserve">The chart below shows estimates for excess mortality under each scenario for each age and gender. </w:t>
      </w:r>
    </w:p>
    <w:p w14:paraId="4674897B" w14:textId="5B4DA053" w:rsidR="00D2328B" w:rsidRDefault="00D2328B" w:rsidP="00D2328B">
      <w:pPr>
        <w:pStyle w:val="ListParagraph"/>
        <w:ind w:left="-720" w:right="-810"/>
        <w:rPr>
          <w:rFonts w:eastAsiaTheme="minorEastAsia"/>
          <w:sz w:val="20"/>
          <w:szCs w:val="20"/>
        </w:rPr>
      </w:pPr>
      <w:r>
        <w:rPr>
          <w:rFonts w:eastAsiaTheme="minorEastAsia"/>
          <w:sz w:val="20"/>
          <w:szCs w:val="20"/>
        </w:rPr>
        <w:lastRenderedPageBreak/>
        <w:t xml:space="preserve"> </w:t>
      </w:r>
    </w:p>
    <w:p w14:paraId="45468C63" w14:textId="4E1E9112" w:rsidR="00A422AB" w:rsidRDefault="00E3171C" w:rsidP="00D2328B">
      <w:pPr>
        <w:pStyle w:val="ListParagraph"/>
        <w:ind w:left="-720" w:right="-810"/>
        <w:jc w:val="center"/>
        <w:rPr>
          <w:rFonts w:eastAsiaTheme="minorEastAsia"/>
          <w:sz w:val="20"/>
          <w:szCs w:val="20"/>
        </w:rPr>
      </w:pPr>
      <w:r w:rsidRPr="00E3171C">
        <w:rPr>
          <w:rFonts w:eastAsiaTheme="minorEastAsia"/>
          <w:sz w:val="20"/>
          <w:szCs w:val="20"/>
        </w:rPr>
        <w:drawing>
          <wp:inline distT="0" distB="0" distL="0" distR="0" wp14:anchorId="05B038C8" wp14:editId="6BE272EF">
            <wp:extent cx="5943600" cy="2423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3160"/>
                    </a:xfrm>
                    <a:prstGeom prst="rect">
                      <a:avLst/>
                    </a:prstGeom>
                  </pic:spPr>
                </pic:pic>
              </a:graphicData>
            </a:graphic>
          </wp:inline>
        </w:drawing>
      </w:r>
    </w:p>
    <w:p w14:paraId="5361BA8B" w14:textId="48FC0EB8" w:rsidR="00894EC5" w:rsidRDefault="00894EC5" w:rsidP="00894EC5">
      <w:pPr>
        <w:pStyle w:val="ListParagraph"/>
        <w:ind w:left="-720" w:right="-810"/>
        <w:jc w:val="center"/>
        <w:rPr>
          <w:rFonts w:eastAsiaTheme="minorEastAsia"/>
          <w:b/>
          <w:bCs/>
          <w:sz w:val="20"/>
          <w:szCs w:val="20"/>
          <w:u w:val="single"/>
        </w:rPr>
      </w:pPr>
    </w:p>
    <w:p w14:paraId="26C5D8A8" w14:textId="1459C831" w:rsidR="00355B18" w:rsidRPr="00894EC5" w:rsidRDefault="00E35482" w:rsidP="00894EC5">
      <w:pPr>
        <w:pStyle w:val="ListParagraph"/>
        <w:ind w:left="-720" w:right="-810"/>
        <w:rPr>
          <w:rFonts w:eastAsiaTheme="minorEastAsia"/>
          <w:sz w:val="20"/>
          <w:szCs w:val="20"/>
        </w:rPr>
      </w:pPr>
      <w:r w:rsidRPr="00894EC5">
        <w:rPr>
          <w:rFonts w:eastAsiaTheme="minorEastAsia"/>
          <w:b/>
          <w:bCs/>
          <w:sz w:val="20"/>
          <w:szCs w:val="20"/>
          <w:u w:val="single"/>
        </w:rPr>
        <w:t>Next Steps</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63D1ADDE" w14:textId="7D67089F" w:rsidR="0096010E" w:rsidRDefault="0096010E" w:rsidP="00894EC5">
      <w:pPr>
        <w:pStyle w:val="ListParagraph"/>
        <w:ind w:left="-720" w:right="-810"/>
        <w:rPr>
          <w:rFonts w:eastAsiaTheme="minorEastAsia"/>
          <w:sz w:val="20"/>
          <w:szCs w:val="20"/>
        </w:rPr>
      </w:pPr>
      <w:r>
        <w:rPr>
          <w:rFonts w:eastAsiaTheme="minorEastAsia"/>
          <w:sz w:val="20"/>
          <w:szCs w:val="20"/>
        </w:rPr>
        <w:t>Going forward, we plan to:</w:t>
      </w:r>
    </w:p>
    <w:p w14:paraId="16D1F738" w14:textId="7101DE19" w:rsidR="00E35482" w:rsidRDefault="0096010E" w:rsidP="0096010E">
      <w:pPr>
        <w:pStyle w:val="ListParagraph"/>
        <w:numPr>
          <w:ilvl w:val="0"/>
          <w:numId w:val="11"/>
        </w:numPr>
        <w:ind w:right="-810"/>
        <w:rPr>
          <w:rFonts w:eastAsiaTheme="minorEastAsia"/>
          <w:sz w:val="20"/>
          <w:szCs w:val="20"/>
        </w:rPr>
      </w:pPr>
      <w:r>
        <w:rPr>
          <w:rFonts w:eastAsiaTheme="minorEastAsia"/>
          <w:sz w:val="20"/>
          <w:szCs w:val="20"/>
        </w:rPr>
        <w:t>Continue to update the fitted model with additional data as time passes</w:t>
      </w:r>
      <w:r w:rsidR="00894EC5">
        <w:rPr>
          <w:rFonts w:eastAsiaTheme="minorEastAsia"/>
          <w:sz w:val="20"/>
          <w:szCs w:val="20"/>
        </w:rPr>
        <w:t>.</w:t>
      </w:r>
      <w:r>
        <w:rPr>
          <w:rFonts w:eastAsiaTheme="minorEastAsia"/>
          <w:sz w:val="20"/>
          <w:szCs w:val="20"/>
        </w:rPr>
        <w:t xml:space="preserve"> This will provide additional insights into how we can expect the disease to spread as social distancing measures are relaxed. </w:t>
      </w:r>
    </w:p>
    <w:p w14:paraId="48061C5A" w14:textId="2163C953" w:rsidR="0096010E" w:rsidRDefault="0096010E" w:rsidP="0096010E">
      <w:pPr>
        <w:pStyle w:val="ListParagraph"/>
        <w:numPr>
          <w:ilvl w:val="0"/>
          <w:numId w:val="11"/>
        </w:numPr>
        <w:ind w:right="-810"/>
        <w:rPr>
          <w:rFonts w:eastAsiaTheme="minorEastAsia"/>
          <w:sz w:val="20"/>
          <w:szCs w:val="20"/>
        </w:rPr>
      </w:pPr>
      <w:r>
        <w:rPr>
          <w:rFonts w:eastAsiaTheme="minorEastAsia"/>
          <w:sz w:val="20"/>
          <w:szCs w:val="20"/>
        </w:rPr>
        <w:t>Brainstorm ways to identify how to map these general population results to an insured population</w:t>
      </w:r>
    </w:p>
    <w:p w14:paraId="3FB7E425" w14:textId="6A694A87" w:rsidR="00E62D97" w:rsidRDefault="0096010E" w:rsidP="00B2593D">
      <w:pPr>
        <w:pStyle w:val="ListParagraph"/>
        <w:numPr>
          <w:ilvl w:val="0"/>
          <w:numId w:val="11"/>
        </w:numPr>
        <w:ind w:right="-810"/>
        <w:rPr>
          <w:rFonts w:eastAsiaTheme="minorEastAsia"/>
          <w:sz w:val="20"/>
          <w:szCs w:val="20"/>
        </w:rPr>
      </w:pPr>
      <w:r>
        <w:rPr>
          <w:rFonts w:eastAsiaTheme="minorEastAsia"/>
          <w:sz w:val="20"/>
          <w:szCs w:val="20"/>
        </w:rPr>
        <w:t>Explore model fits at the state level to see if we can generate insights</w:t>
      </w:r>
    </w:p>
    <w:p w14:paraId="645D038B" w14:textId="2AAC4F15" w:rsidR="0066751A" w:rsidRDefault="0066751A" w:rsidP="0066751A">
      <w:pPr>
        <w:ind w:right="-810"/>
        <w:rPr>
          <w:rFonts w:eastAsiaTheme="minorEastAsia"/>
          <w:sz w:val="20"/>
          <w:szCs w:val="20"/>
        </w:rPr>
      </w:pPr>
    </w:p>
    <w:p w14:paraId="1FD69FC4" w14:textId="73EAB975" w:rsidR="0066751A" w:rsidRPr="00894EC5" w:rsidRDefault="0066751A" w:rsidP="0066751A">
      <w:pPr>
        <w:pStyle w:val="ListParagraph"/>
        <w:ind w:left="-720" w:right="-810"/>
        <w:rPr>
          <w:rFonts w:eastAsiaTheme="minorEastAsia"/>
          <w:sz w:val="20"/>
          <w:szCs w:val="20"/>
        </w:rPr>
      </w:pPr>
      <w:r>
        <w:rPr>
          <w:rFonts w:eastAsiaTheme="minorEastAsia"/>
          <w:sz w:val="20"/>
          <w:szCs w:val="20"/>
        </w:rPr>
        <w:br w:type="page"/>
      </w:r>
      <w:r>
        <w:rPr>
          <w:rFonts w:eastAsiaTheme="minorEastAsia"/>
          <w:b/>
          <w:bCs/>
          <w:sz w:val="20"/>
          <w:szCs w:val="20"/>
          <w:u w:val="single"/>
        </w:rPr>
        <w:lastRenderedPageBreak/>
        <w:t>Appendix</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3AC6C1A9" w14:textId="0F768F57" w:rsidR="0066751A" w:rsidRDefault="0066751A" w:rsidP="0066751A">
      <w:pPr>
        <w:ind w:left="-720"/>
        <w:rPr>
          <w:rFonts w:eastAsiaTheme="minorEastAsia"/>
          <w:i/>
          <w:iCs/>
          <w:sz w:val="20"/>
          <w:szCs w:val="20"/>
        </w:rPr>
      </w:pPr>
      <w:r>
        <w:rPr>
          <w:rFonts w:eastAsiaTheme="minorEastAsia"/>
          <w:i/>
          <w:iCs/>
          <w:sz w:val="20"/>
          <w:szCs w:val="20"/>
        </w:rPr>
        <w:t>Exhibit 1</w:t>
      </w:r>
    </w:p>
    <w:p w14:paraId="5265A691" w14:textId="5AC3627E" w:rsidR="0066751A" w:rsidRDefault="0066751A" w:rsidP="0066751A">
      <w:pPr>
        <w:ind w:left="-720"/>
        <w:rPr>
          <w:rFonts w:eastAsiaTheme="minorEastAsia"/>
          <w:i/>
          <w:iCs/>
          <w:sz w:val="20"/>
          <w:szCs w:val="20"/>
        </w:rPr>
      </w:pPr>
      <w:r w:rsidRPr="0066751A">
        <w:rPr>
          <w:rFonts w:eastAsiaTheme="minorEastAsia"/>
          <w:i/>
          <w:iCs/>
          <w:sz w:val="20"/>
          <w:szCs w:val="20"/>
        </w:rPr>
        <w:drawing>
          <wp:inline distT="0" distB="0" distL="0" distR="0" wp14:anchorId="392312DF" wp14:editId="3F8E1294">
            <wp:extent cx="5943600" cy="2788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285"/>
                    </a:xfrm>
                    <a:prstGeom prst="rect">
                      <a:avLst/>
                    </a:prstGeom>
                  </pic:spPr>
                </pic:pic>
              </a:graphicData>
            </a:graphic>
          </wp:inline>
        </w:drawing>
      </w:r>
    </w:p>
    <w:p w14:paraId="14A6571D" w14:textId="77777777" w:rsidR="00E90592" w:rsidRDefault="00E90592" w:rsidP="0066751A">
      <w:pPr>
        <w:ind w:left="-720"/>
        <w:rPr>
          <w:rFonts w:eastAsiaTheme="minorEastAsia"/>
          <w:i/>
          <w:iCs/>
          <w:sz w:val="20"/>
          <w:szCs w:val="20"/>
        </w:rPr>
      </w:pPr>
    </w:p>
    <w:p w14:paraId="2E67C640" w14:textId="47B5BBED" w:rsidR="0066751A" w:rsidRDefault="0066751A" w:rsidP="0066751A">
      <w:pPr>
        <w:ind w:left="-720"/>
        <w:rPr>
          <w:rFonts w:eastAsiaTheme="minorEastAsia"/>
          <w:i/>
          <w:iCs/>
          <w:sz w:val="20"/>
          <w:szCs w:val="20"/>
        </w:rPr>
      </w:pPr>
      <w:r>
        <w:rPr>
          <w:rFonts w:eastAsiaTheme="minorEastAsia"/>
          <w:i/>
          <w:iCs/>
          <w:sz w:val="20"/>
          <w:szCs w:val="20"/>
        </w:rPr>
        <w:t>Exhibit 2</w:t>
      </w:r>
    </w:p>
    <w:p w14:paraId="21F73BC8" w14:textId="77777777" w:rsidR="0066751A" w:rsidRDefault="0066751A" w:rsidP="0066751A">
      <w:pPr>
        <w:ind w:left="-720"/>
        <w:rPr>
          <w:rFonts w:eastAsiaTheme="minorEastAsia"/>
          <w:i/>
          <w:iCs/>
          <w:sz w:val="20"/>
          <w:szCs w:val="20"/>
        </w:rPr>
      </w:pPr>
    </w:p>
    <w:p w14:paraId="63CB4B18" w14:textId="72D503DB" w:rsidR="0066751A" w:rsidRPr="0066751A" w:rsidRDefault="00E90592" w:rsidP="0066751A">
      <w:pPr>
        <w:ind w:left="-720"/>
        <w:rPr>
          <w:rFonts w:eastAsiaTheme="minorEastAsia"/>
          <w:i/>
          <w:iCs/>
          <w:sz w:val="20"/>
          <w:szCs w:val="20"/>
        </w:rPr>
      </w:pPr>
      <w:r w:rsidRPr="00E90592">
        <w:rPr>
          <w:rFonts w:eastAsiaTheme="minorEastAsia"/>
          <w:i/>
          <w:iCs/>
          <w:sz w:val="20"/>
          <w:szCs w:val="20"/>
        </w:rPr>
        <w:drawing>
          <wp:inline distT="0" distB="0" distL="0" distR="0" wp14:anchorId="7101D7F9" wp14:editId="0E42F249">
            <wp:extent cx="5943600" cy="2764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4155"/>
                    </a:xfrm>
                    <a:prstGeom prst="rect">
                      <a:avLst/>
                    </a:prstGeom>
                  </pic:spPr>
                </pic:pic>
              </a:graphicData>
            </a:graphic>
          </wp:inline>
        </w:drawing>
      </w:r>
    </w:p>
    <w:sectPr w:rsidR="0066751A" w:rsidRPr="0066751A" w:rsidSect="005E7E0A">
      <w:headerReference w:type="default" r:id="rId18"/>
      <w:footerReference w:type="default" r:id="rId19"/>
      <w:pgSz w:w="12240" w:h="15840"/>
      <w:pgMar w:top="639" w:right="1440" w:bottom="61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27E8A" w14:textId="77777777" w:rsidR="00000000" w:rsidRDefault="0040194A">
      <w:r>
        <w:separator/>
      </w:r>
    </w:p>
  </w:endnote>
  <w:endnote w:type="continuationSeparator" w:id="0">
    <w:p w14:paraId="7AB913E5" w14:textId="77777777" w:rsidR="00000000" w:rsidRDefault="0040194A">
      <w:r>
        <w:continuationSeparator/>
      </w:r>
    </w:p>
  </w:endnote>
  <w:endnote w:id="1">
    <w:p w14:paraId="393CC9AD" w14:textId="42C64382" w:rsidR="0066751A" w:rsidRPr="0066751A" w:rsidRDefault="0066751A" w:rsidP="0066751A">
      <w:pPr>
        <w:ind w:right="-360"/>
        <w:rPr>
          <w:rFonts w:ascii="Times New Roman" w:eastAsia="Times New Roman" w:hAnsi="Times New Roman" w:cs="Times New Roman"/>
          <w:sz w:val="15"/>
          <w:szCs w:val="15"/>
          <w:lang w:val="en-US"/>
        </w:rPr>
      </w:pPr>
      <w:r w:rsidRPr="0066751A">
        <w:rPr>
          <w:rStyle w:val="EndnoteReference"/>
          <w:sz w:val="15"/>
          <w:szCs w:val="15"/>
        </w:rPr>
        <w:endnoteRef/>
      </w:r>
      <w:r>
        <w:rPr>
          <w:sz w:val="15"/>
          <w:szCs w:val="15"/>
        </w:rPr>
        <w:t xml:space="preserve"> Information about the compartment model can be found here, including required assumptions</w:t>
      </w:r>
      <w:hyperlink r:id="rId1" w:history="1">
        <w:r w:rsidRPr="005E4E95">
          <w:rPr>
            <w:rStyle w:val="Hyperlink"/>
            <w:rFonts w:ascii="Times New Roman" w:eastAsia="Times New Roman" w:hAnsi="Times New Roman" w:cs="Times New Roman"/>
            <w:sz w:val="15"/>
            <w:szCs w:val="15"/>
            <w:lang w:val="en-US"/>
          </w:rPr>
          <w:t>https://www.ncbi.nlm.nih.gov/pmc/articles/PMC6332839/</w:t>
        </w:r>
      </w:hyperlink>
    </w:p>
  </w:endnote>
  <w:endnote w:id="2">
    <w:p w14:paraId="6818311A" w14:textId="55AC8190" w:rsidR="0066751A" w:rsidRPr="0066751A" w:rsidRDefault="0066751A" w:rsidP="0066751A">
      <w:pPr>
        <w:rPr>
          <w:rFonts w:ascii="Times New Roman" w:eastAsia="Times New Roman" w:hAnsi="Times New Roman" w:cs="Times New Roman"/>
          <w:sz w:val="16"/>
          <w:szCs w:val="16"/>
          <w:lang w:val="en-US"/>
        </w:rPr>
      </w:pPr>
      <w:r w:rsidRPr="0066751A">
        <w:rPr>
          <w:rStyle w:val="EndnoteReference"/>
          <w:sz w:val="16"/>
          <w:szCs w:val="16"/>
        </w:rPr>
        <w:endnoteRef/>
      </w:r>
      <w:r>
        <w:rPr>
          <w:sz w:val="16"/>
          <w:szCs w:val="16"/>
        </w:rPr>
        <w:t xml:space="preserve"> IHME model estimates can be found here </w:t>
      </w:r>
      <w:r w:rsidRPr="0066751A">
        <w:rPr>
          <w:sz w:val="16"/>
          <w:szCs w:val="16"/>
        </w:rPr>
        <w:t xml:space="preserve"> </w:t>
      </w:r>
      <w:hyperlink r:id="rId2" w:history="1">
        <w:r w:rsidRPr="0066751A">
          <w:rPr>
            <w:rFonts w:ascii="Times New Roman" w:eastAsia="Times New Roman" w:hAnsi="Times New Roman" w:cs="Times New Roman"/>
            <w:color w:val="0000FF"/>
            <w:sz w:val="16"/>
            <w:szCs w:val="16"/>
            <w:u w:val="single"/>
            <w:lang w:val="en-US"/>
          </w:rPr>
          <w:t>https://covid19.healthdata.org/united-states-of-america</w:t>
        </w:r>
      </w:hyperlink>
    </w:p>
    <w:p w14:paraId="017AF3B8" w14:textId="0320A65D" w:rsidR="0066751A" w:rsidRPr="0066751A" w:rsidRDefault="0066751A">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118CA6A6" w14:textId="77777777" w:rsidTr="34B2DD2F">
      <w:tc>
        <w:tcPr>
          <w:tcW w:w="3120" w:type="dxa"/>
        </w:tcPr>
        <w:p w14:paraId="5AE975F7" w14:textId="5A01131C" w:rsidR="34B2DD2F" w:rsidRDefault="34B2DD2F" w:rsidP="34B2DD2F">
          <w:pPr>
            <w:pStyle w:val="Header"/>
            <w:ind w:left="-115"/>
          </w:pPr>
        </w:p>
      </w:tc>
      <w:tc>
        <w:tcPr>
          <w:tcW w:w="3120" w:type="dxa"/>
        </w:tcPr>
        <w:p w14:paraId="2525728C" w14:textId="0138A235" w:rsidR="34B2DD2F" w:rsidRDefault="34B2DD2F" w:rsidP="34B2DD2F">
          <w:pPr>
            <w:pStyle w:val="Header"/>
            <w:jc w:val="center"/>
          </w:pPr>
        </w:p>
      </w:tc>
      <w:tc>
        <w:tcPr>
          <w:tcW w:w="3120" w:type="dxa"/>
        </w:tcPr>
        <w:p w14:paraId="474C0EDC" w14:textId="0DF86FC4" w:rsidR="34B2DD2F" w:rsidRDefault="34B2DD2F" w:rsidP="34B2DD2F">
          <w:pPr>
            <w:pStyle w:val="Header"/>
            <w:ind w:right="-115"/>
            <w:jc w:val="right"/>
          </w:pPr>
        </w:p>
      </w:tc>
    </w:tr>
  </w:tbl>
  <w:p w14:paraId="4BB3F447" w14:textId="1A2E0316" w:rsidR="34B2DD2F" w:rsidRDefault="34B2DD2F" w:rsidP="34B2D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E79BD" w14:textId="77777777" w:rsidR="00000000" w:rsidRDefault="0040194A">
      <w:r>
        <w:separator/>
      </w:r>
    </w:p>
  </w:footnote>
  <w:footnote w:type="continuationSeparator" w:id="0">
    <w:p w14:paraId="4A872612" w14:textId="77777777" w:rsidR="00000000" w:rsidRDefault="00401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2A8029A0" w14:textId="77777777" w:rsidTr="34B2DD2F">
      <w:tc>
        <w:tcPr>
          <w:tcW w:w="3120" w:type="dxa"/>
        </w:tcPr>
        <w:p w14:paraId="21D01828" w14:textId="5F22B9CC" w:rsidR="34B2DD2F" w:rsidRDefault="34B2DD2F" w:rsidP="34B2DD2F">
          <w:pPr>
            <w:pStyle w:val="Header"/>
            <w:ind w:left="-115"/>
          </w:pPr>
        </w:p>
      </w:tc>
      <w:tc>
        <w:tcPr>
          <w:tcW w:w="3120" w:type="dxa"/>
        </w:tcPr>
        <w:p w14:paraId="32ACC05F" w14:textId="2B3B2C59" w:rsidR="34B2DD2F" w:rsidRDefault="34B2DD2F" w:rsidP="34B2DD2F">
          <w:pPr>
            <w:pStyle w:val="Header"/>
            <w:jc w:val="center"/>
          </w:pPr>
        </w:p>
      </w:tc>
      <w:tc>
        <w:tcPr>
          <w:tcW w:w="3120" w:type="dxa"/>
        </w:tcPr>
        <w:p w14:paraId="73D305E4" w14:textId="1186A12D" w:rsidR="34B2DD2F" w:rsidRDefault="34B2DD2F" w:rsidP="34B2DD2F">
          <w:pPr>
            <w:pStyle w:val="Header"/>
            <w:ind w:right="-115"/>
            <w:jc w:val="right"/>
          </w:pPr>
        </w:p>
      </w:tc>
    </w:tr>
  </w:tbl>
  <w:p w14:paraId="30576DC9" w14:textId="5DC3E673" w:rsidR="34B2DD2F" w:rsidRDefault="34B2DD2F" w:rsidP="34B2D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2EEC"/>
    <w:multiLevelType w:val="hybridMultilevel"/>
    <w:tmpl w:val="0002CDB8"/>
    <w:lvl w:ilvl="0" w:tplc="35009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F627F5"/>
    <w:multiLevelType w:val="hybridMultilevel"/>
    <w:tmpl w:val="3F340B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3F13BF"/>
    <w:multiLevelType w:val="hybridMultilevel"/>
    <w:tmpl w:val="87680D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1211542"/>
    <w:multiLevelType w:val="hybridMultilevel"/>
    <w:tmpl w:val="6B561B4C"/>
    <w:lvl w:ilvl="0" w:tplc="A70A98F0">
      <w:start w:val="1"/>
      <w:numFmt w:val="decimal"/>
      <w:lvlText w:val="%1."/>
      <w:lvlJc w:val="left"/>
      <w:pPr>
        <w:ind w:left="720" w:hanging="360"/>
      </w:pPr>
    </w:lvl>
    <w:lvl w:ilvl="1" w:tplc="BA46A6A0">
      <w:start w:val="1"/>
      <w:numFmt w:val="bullet"/>
      <w:lvlText w:val=""/>
      <w:lvlJc w:val="left"/>
      <w:pPr>
        <w:ind w:left="1440" w:hanging="360"/>
      </w:pPr>
      <w:rPr>
        <w:rFonts w:ascii="Symbol" w:hAnsi="Symbol" w:hint="default"/>
      </w:rPr>
    </w:lvl>
    <w:lvl w:ilvl="2" w:tplc="F5403906">
      <w:start w:val="1"/>
      <w:numFmt w:val="lowerRoman"/>
      <w:lvlText w:val="%3."/>
      <w:lvlJc w:val="right"/>
      <w:pPr>
        <w:ind w:left="2160" w:hanging="180"/>
      </w:pPr>
    </w:lvl>
    <w:lvl w:ilvl="3" w:tplc="18361164">
      <w:start w:val="1"/>
      <w:numFmt w:val="decimal"/>
      <w:lvlText w:val="%4."/>
      <w:lvlJc w:val="left"/>
      <w:pPr>
        <w:ind w:left="2880" w:hanging="360"/>
      </w:pPr>
    </w:lvl>
    <w:lvl w:ilvl="4" w:tplc="AF1E8600">
      <w:start w:val="1"/>
      <w:numFmt w:val="lowerLetter"/>
      <w:lvlText w:val="%5."/>
      <w:lvlJc w:val="left"/>
      <w:pPr>
        <w:ind w:left="3600" w:hanging="360"/>
      </w:pPr>
    </w:lvl>
    <w:lvl w:ilvl="5" w:tplc="22B042FA">
      <w:start w:val="1"/>
      <w:numFmt w:val="lowerRoman"/>
      <w:lvlText w:val="%6."/>
      <w:lvlJc w:val="right"/>
      <w:pPr>
        <w:ind w:left="4320" w:hanging="180"/>
      </w:pPr>
    </w:lvl>
    <w:lvl w:ilvl="6" w:tplc="BDD4F524">
      <w:start w:val="1"/>
      <w:numFmt w:val="decimal"/>
      <w:lvlText w:val="%7."/>
      <w:lvlJc w:val="left"/>
      <w:pPr>
        <w:ind w:left="5040" w:hanging="360"/>
      </w:pPr>
    </w:lvl>
    <w:lvl w:ilvl="7" w:tplc="09429796">
      <w:start w:val="1"/>
      <w:numFmt w:val="lowerLetter"/>
      <w:lvlText w:val="%8."/>
      <w:lvlJc w:val="left"/>
      <w:pPr>
        <w:ind w:left="5760" w:hanging="360"/>
      </w:pPr>
    </w:lvl>
    <w:lvl w:ilvl="8" w:tplc="D7F2F686">
      <w:start w:val="1"/>
      <w:numFmt w:val="lowerRoman"/>
      <w:lvlText w:val="%9."/>
      <w:lvlJc w:val="right"/>
      <w:pPr>
        <w:ind w:left="6480" w:hanging="180"/>
      </w:pPr>
    </w:lvl>
  </w:abstractNum>
  <w:abstractNum w:abstractNumId="4" w15:restartNumberingAfterBreak="0">
    <w:nsid w:val="4926067B"/>
    <w:multiLevelType w:val="hybridMultilevel"/>
    <w:tmpl w:val="C8DAF5FC"/>
    <w:lvl w:ilvl="0" w:tplc="4DF06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8B27B3E"/>
    <w:multiLevelType w:val="hybridMultilevel"/>
    <w:tmpl w:val="0846B36E"/>
    <w:lvl w:ilvl="0" w:tplc="D51042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B9A38A1"/>
    <w:multiLevelType w:val="hybridMultilevel"/>
    <w:tmpl w:val="947E2012"/>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7" w15:restartNumberingAfterBreak="0">
    <w:nsid w:val="789D7F94"/>
    <w:multiLevelType w:val="hybridMultilevel"/>
    <w:tmpl w:val="435EBEB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7BB0577C"/>
    <w:multiLevelType w:val="hybridMultilevel"/>
    <w:tmpl w:val="55EA5FA8"/>
    <w:lvl w:ilvl="0" w:tplc="FF506E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7BD97BC3"/>
    <w:multiLevelType w:val="hybridMultilevel"/>
    <w:tmpl w:val="604E08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5E14D3"/>
    <w:multiLevelType w:val="hybridMultilevel"/>
    <w:tmpl w:val="25FEE0B0"/>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7"/>
  </w:num>
  <w:num w:numId="6">
    <w:abstractNumId w:val="2"/>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A6"/>
    <w:rsid w:val="000156D8"/>
    <w:rsid w:val="00083CBD"/>
    <w:rsid w:val="000A26A6"/>
    <w:rsid w:val="000E462B"/>
    <w:rsid w:val="000E481D"/>
    <w:rsid w:val="00112D9E"/>
    <w:rsid w:val="00115DC3"/>
    <w:rsid w:val="001429E5"/>
    <w:rsid w:val="00160E33"/>
    <w:rsid w:val="001D8495"/>
    <w:rsid w:val="001E06B5"/>
    <w:rsid w:val="00201825"/>
    <w:rsid w:val="002870B9"/>
    <w:rsid w:val="002C2B4F"/>
    <w:rsid w:val="002C2C51"/>
    <w:rsid w:val="002F246A"/>
    <w:rsid w:val="00317582"/>
    <w:rsid w:val="00355B18"/>
    <w:rsid w:val="00383CBB"/>
    <w:rsid w:val="00395C59"/>
    <w:rsid w:val="003A1656"/>
    <w:rsid w:val="003B1206"/>
    <w:rsid w:val="003F488D"/>
    <w:rsid w:val="0040194A"/>
    <w:rsid w:val="00407385"/>
    <w:rsid w:val="00426E2F"/>
    <w:rsid w:val="00444FDC"/>
    <w:rsid w:val="004A05AD"/>
    <w:rsid w:val="005477F5"/>
    <w:rsid w:val="00563D08"/>
    <w:rsid w:val="005E7E0A"/>
    <w:rsid w:val="005F758B"/>
    <w:rsid w:val="0066751A"/>
    <w:rsid w:val="00672130"/>
    <w:rsid w:val="006B76BA"/>
    <w:rsid w:val="006E46F5"/>
    <w:rsid w:val="006E544C"/>
    <w:rsid w:val="006F2B0F"/>
    <w:rsid w:val="007166BB"/>
    <w:rsid w:val="00717AB4"/>
    <w:rsid w:val="00727795"/>
    <w:rsid w:val="00754F7C"/>
    <w:rsid w:val="0083EADF"/>
    <w:rsid w:val="00861554"/>
    <w:rsid w:val="00894EC5"/>
    <w:rsid w:val="008C7F9F"/>
    <w:rsid w:val="008F7EE6"/>
    <w:rsid w:val="0096010E"/>
    <w:rsid w:val="00A422AB"/>
    <w:rsid w:val="00AB34ED"/>
    <w:rsid w:val="00B2593D"/>
    <w:rsid w:val="00BB10B0"/>
    <w:rsid w:val="00BC3A4F"/>
    <w:rsid w:val="00C46B9E"/>
    <w:rsid w:val="00C5643C"/>
    <w:rsid w:val="00D11F29"/>
    <w:rsid w:val="00D22E36"/>
    <w:rsid w:val="00D2328B"/>
    <w:rsid w:val="00D4129C"/>
    <w:rsid w:val="00D6298F"/>
    <w:rsid w:val="00D70580"/>
    <w:rsid w:val="00DD1C6F"/>
    <w:rsid w:val="00DD3865"/>
    <w:rsid w:val="00DE08CC"/>
    <w:rsid w:val="00E3171C"/>
    <w:rsid w:val="00E35482"/>
    <w:rsid w:val="00E62AC6"/>
    <w:rsid w:val="00E62D97"/>
    <w:rsid w:val="00E90592"/>
    <w:rsid w:val="00EC2DF0"/>
    <w:rsid w:val="00F42391"/>
    <w:rsid w:val="00F60BE1"/>
    <w:rsid w:val="00F84D97"/>
    <w:rsid w:val="0126975B"/>
    <w:rsid w:val="02BA6073"/>
    <w:rsid w:val="02CF2B74"/>
    <w:rsid w:val="035AD306"/>
    <w:rsid w:val="03A83A6E"/>
    <w:rsid w:val="05371E8E"/>
    <w:rsid w:val="061DA701"/>
    <w:rsid w:val="062B9B77"/>
    <w:rsid w:val="06AC5202"/>
    <w:rsid w:val="097B68A5"/>
    <w:rsid w:val="09FC4C5F"/>
    <w:rsid w:val="09FD2DF3"/>
    <w:rsid w:val="0A92DA45"/>
    <w:rsid w:val="0C846F1A"/>
    <w:rsid w:val="0F119C67"/>
    <w:rsid w:val="0FB858AC"/>
    <w:rsid w:val="10093754"/>
    <w:rsid w:val="10177DB4"/>
    <w:rsid w:val="139D6450"/>
    <w:rsid w:val="143ABB64"/>
    <w:rsid w:val="14B26BE5"/>
    <w:rsid w:val="14F6E304"/>
    <w:rsid w:val="15B8296F"/>
    <w:rsid w:val="17EC0B47"/>
    <w:rsid w:val="1A11FB8F"/>
    <w:rsid w:val="1A139184"/>
    <w:rsid w:val="1AEE71D6"/>
    <w:rsid w:val="1B6F562E"/>
    <w:rsid w:val="204BEC61"/>
    <w:rsid w:val="2087F9D1"/>
    <w:rsid w:val="20C3A58F"/>
    <w:rsid w:val="2357F08D"/>
    <w:rsid w:val="235AE9F9"/>
    <w:rsid w:val="23B4E5A3"/>
    <w:rsid w:val="23CE2927"/>
    <w:rsid w:val="23DB6376"/>
    <w:rsid w:val="243045FB"/>
    <w:rsid w:val="251E0E72"/>
    <w:rsid w:val="26D6585C"/>
    <w:rsid w:val="28838B3D"/>
    <w:rsid w:val="2A471D08"/>
    <w:rsid w:val="2A878C3D"/>
    <w:rsid w:val="2B034FA8"/>
    <w:rsid w:val="2D1D6924"/>
    <w:rsid w:val="2D55572A"/>
    <w:rsid w:val="2EDC41FC"/>
    <w:rsid w:val="2FE7717C"/>
    <w:rsid w:val="300DF24D"/>
    <w:rsid w:val="321B89E9"/>
    <w:rsid w:val="33D125DE"/>
    <w:rsid w:val="344D69CB"/>
    <w:rsid w:val="3461646F"/>
    <w:rsid w:val="34B2DD2F"/>
    <w:rsid w:val="350966A6"/>
    <w:rsid w:val="358BB8A7"/>
    <w:rsid w:val="3662211F"/>
    <w:rsid w:val="3974ADC8"/>
    <w:rsid w:val="3AC93698"/>
    <w:rsid w:val="3CB360C5"/>
    <w:rsid w:val="3E6CBA39"/>
    <w:rsid w:val="3EC1E965"/>
    <w:rsid w:val="3EC4EFED"/>
    <w:rsid w:val="41723BAF"/>
    <w:rsid w:val="424E1B60"/>
    <w:rsid w:val="43194B9E"/>
    <w:rsid w:val="435E8C62"/>
    <w:rsid w:val="43A7F92E"/>
    <w:rsid w:val="448CB55A"/>
    <w:rsid w:val="44F04879"/>
    <w:rsid w:val="4686A597"/>
    <w:rsid w:val="49075220"/>
    <w:rsid w:val="49E6DCAA"/>
    <w:rsid w:val="49F97EC2"/>
    <w:rsid w:val="4B64DA6B"/>
    <w:rsid w:val="4B82A5AE"/>
    <w:rsid w:val="4CDAC498"/>
    <w:rsid w:val="4D80A062"/>
    <w:rsid w:val="4E0D69F3"/>
    <w:rsid w:val="4E28A338"/>
    <w:rsid w:val="4EE85262"/>
    <w:rsid w:val="4F1840C3"/>
    <w:rsid w:val="4F8029DC"/>
    <w:rsid w:val="50703773"/>
    <w:rsid w:val="50E432D7"/>
    <w:rsid w:val="53DC156A"/>
    <w:rsid w:val="54E24F7A"/>
    <w:rsid w:val="5683F296"/>
    <w:rsid w:val="57045F57"/>
    <w:rsid w:val="5780848A"/>
    <w:rsid w:val="586BFFE8"/>
    <w:rsid w:val="58AE9ACB"/>
    <w:rsid w:val="59B3B3C3"/>
    <w:rsid w:val="5A386159"/>
    <w:rsid w:val="5B4E7C72"/>
    <w:rsid w:val="5C85E99E"/>
    <w:rsid w:val="5DBBD781"/>
    <w:rsid w:val="5E71E527"/>
    <w:rsid w:val="5EEB9193"/>
    <w:rsid w:val="5F0C0C49"/>
    <w:rsid w:val="5F24059A"/>
    <w:rsid w:val="5F9DACA2"/>
    <w:rsid w:val="60C78217"/>
    <w:rsid w:val="60EBFE91"/>
    <w:rsid w:val="61E8ADF1"/>
    <w:rsid w:val="623BE107"/>
    <w:rsid w:val="629A2311"/>
    <w:rsid w:val="632AE3C6"/>
    <w:rsid w:val="6496946E"/>
    <w:rsid w:val="65581DB0"/>
    <w:rsid w:val="680B43F6"/>
    <w:rsid w:val="69E3458D"/>
    <w:rsid w:val="6A5FFB65"/>
    <w:rsid w:val="6C0A6DA9"/>
    <w:rsid w:val="6DAF2336"/>
    <w:rsid w:val="6F4DEF1A"/>
    <w:rsid w:val="72A0FD02"/>
    <w:rsid w:val="72BCB1DC"/>
    <w:rsid w:val="78A17466"/>
    <w:rsid w:val="78C2DCE2"/>
    <w:rsid w:val="78FD4BFD"/>
    <w:rsid w:val="7AD61623"/>
    <w:rsid w:val="7E901EEE"/>
    <w:rsid w:val="7EDE22E6"/>
    <w:rsid w:val="7F9D3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6723"/>
  <w15:chartTrackingRefBased/>
  <w15:docId w15:val="{EF66A383-7396-2F43-9FCA-A57536E6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3D08"/>
    <w:rPr>
      <w:i/>
      <w:iCs/>
    </w:rPr>
  </w:style>
  <w:style w:type="paragraph" w:styleId="ListParagraph">
    <w:name w:val="List Paragraph"/>
    <w:basedOn w:val="Normal"/>
    <w:uiPriority w:val="34"/>
    <w:qFormat/>
    <w:rsid w:val="00083CBD"/>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sid w:val="00717AB4"/>
    <w:rPr>
      <w:sz w:val="20"/>
      <w:szCs w:val="20"/>
    </w:rPr>
  </w:style>
  <w:style w:type="character" w:customStyle="1" w:styleId="FootnoteTextChar">
    <w:name w:val="Footnote Text Char"/>
    <w:basedOn w:val="DefaultParagraphFont"/>
    <w:link w:val="FootnoteText"/>
    <w:uiPriority w:val="99"/>
    <w:semiHidden/>
    <w:rsid w:val="00717AB4"/>
    <w:rPr>
      <w:sz w:val="20"/>
      <w:szCs w:val="20"/>
    </w:rPr>
  </w:style>
  <w:style w:type="character" w:styleId="FootnoteReference">
    <w:name w:val="footnote reference"/>
    <w:basedOn w:val="DefaultParagraphFont"/>
    <w:uiPriority w:val="99"/>
    <w:semiHidden/>
    <w:unhideWhenUsed/>
    <w:rsid w:val="00717AB4"/>
    <w:rPr>
      <w:vertAlign w:val="superscript"/>
    </w:rPr>
  </w:style>
  <w:style w:type="paragraph" w:styleId="EndnoteText">
    <w:name w:val="endnote text"/>
    <w:basedOn w:val="Normal"/>
    <w:link w:val="EndnoteTextChar"/>
    <w:uiPriority w:val="99"/>
    <w:semiHidden/>
    <w:unhideWhenUsed/>
    <w:rsid w:val="00E62D97"/>
    <w:rPr>
      <w:sz w:val="20"/>
      <w:szCs w:val="20"/>
    </w:rPr>
  </w:style>
  <w:style w:type="character" w:customStyle="1" w:styleId="EndnoteTextChar">
    <w:name w:val="Endnote Text Char"/>
    <w:basedOn w:val="DefaultParagraphFont"/>
    <w:link w:val="EndnoteText"/>
    <w:uiPriority w:val="99"/>
    <w:semiHidden/>
    <w:rsid w:val="00E62D97"/>
    <w:rPr>
      <w:sz w:val="20"/>
      <w:szCs w:val="20"/>
    </w:rPr>
  </w:style>
  <w:style w:type="character" w:styleId="EndnoteReference">
    <w:name w:val="endnote reference"/>
    <w:basedOn w:val="DefaultParagraphFont"/>
    <w:uiPriority w:val="99"/>
    <w:semiHidden/>
    <w:unhideWhenUsed/>
    <w:rsid w:val="00E62D97"/>
    <w:rPr>
      <w:vertAlign w:val="superscript"/>
    </w:rPr>
  </w:style>
  <w:style w:type="character" w:styleId="Hyperlink">
    <w:name w:val="Hyperlink"/>
    <w:basedOn w:val="DefaultParagraphFont"/>
    <w:uiPriority w:val="99"/>
    <w:unhideWhenUsed/>
    <w:rsid w:val="00E62D97"/>
    <w:rPr>
      <w:color w:val="0000FF"/>
      <w:u w:val="single"/>
    </w:rPr>
  </w:style>
  <w:style w:type="character" w:styleId="UnresolvedMention">
    <w:name w:val="Unresolved Mention"/>
    <w:basedOn w:val="DefaultParagraphFont"/>
    <w:uiPriority w:val="99"/>
    <w:semiHidden/>
    <w:unhideWhenUsed/>
    <w:rsid w:val="00E62D97"/>
    <w:rPr>
      <w:color w:val="605E5C"/>
      <w:shd w:val="clear" w:color="auto" w:fill="E1DFDD"/>
    </w:rPr>
  </w:style>
  <w:style w:type="paragraph" w:styleId="BalloonText">
    <w:name w:val="Balloon Text"/>
    <w:basedOn w:val="Normal"/>
    <w:link w:val="BalloonTextChar"/>
    <w:uiPriority w:val="99"/>
    <w:semiHidden/>
    <w:unhideWhenUsed/>
    <w:rsid w:val="005E7E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7E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2171">
      <w:bodyDiv w:val="1"/>
      <w:marLeft w:val="0"/>
      <w:marRight w:val="0"/>
      <w:marTop w:val="0"/>
      <w:marBottom w:val="0"/>
      <w:divBdr>
        <w:top w:val="none" w:sz="0" w:space="0" w:color="auto"/>
        <w:left w:val="none" w:sz="0" w:space="0" w:color="auto"/>
        <w:bottom w:val="none" w:sz="0" w:space="0" w:color="auto"/>
        <w:right w:val="none" w:sz="0" w:space="0" w:color="auto"/>
      </w:divBdr>
    </w:div>
    <w:div w:id="404497145">
      <w:bodyDiv w:val="1"/>
      <w:marLeft w:val="0"/>
      <w:marRight w:val="0"/>
      <w:marTop w:val="0"/>
      <w:marBottom w:val="0"/>
      <w:divBdr>
        <w:top w:val="none" w:sz="0" w:space="0" w:color="auto"/>
        <w:left w:val="none" w:sz="0" w:space="0" w:color="auto"/>
        <w:bottom w:val="none" w:sz="0" w:space="0" w:color="auto"/>
        <w:right w:val="none" w:sz="0" w:space="0" w:color="auto"/>
      </w:divBdr>
    </w:div>
    <w:div w:id="639921965">
      <w:bodyDiv w:val="1"/>
      <w:marLeft w:val="0"/>
      <w:marRight w:val="0"/>
      <w:marTop w:val="0"/>
      <w:marBottom w:val="0"/>
      <w:divBdr>
        <w:top w:val="none" w:sz="0" w:space="0" w:color="auto"/>
        <w:left w:val="none" w:sz="0" w:space="0" w:color="auto"/>
        <w:bottom w:val="none" w:sz="0" w:space="0" w:color="auto"/>
        <w:right w:val="none" w:sz="0" w:space="0" w:color="auto"/>
      </w:divBdr>
    </w:div>
    <w:div w:id="752775780">
      <w:bodyDiv w:val="1"/>
      <w:marLeft w:val="0"/>
      <w:marRight w:val="0"/>
      <w:marTop w:val="0"/>
      <w:marBottom w:val="0"/>
      <w:divBdr>
        <w:top w:val="none" w:sz="0" w:space="0" w:color="auto"/>
        <w:left w:val="none" w:sz="0" w:space="0" w:color="auto"/>
        <w:bottom w:val="none" w:sz="0" w:space="0" w:color="auto"/>
        <w:right w:val="none" w:sz="0" w:space="0" w:color="auto"/>
      </w:divBdr>
    </w:div>
    <w:div w:id="753089841">
      <w:bodyDiv w:val="1"/>
      <w:marLeft w:val="0"/>
      <w:marRight w:val="0"/>
      <w:marTop w:val="0"/>
      <w:marBottom w:val="0"/>
      <w:divBdr>
        <w:top w:val="none" w:sz="0" w:space="0" w:color="auto"/>
        <w:left w:val="none" w:sz="0" w:space="0" w:color="auto"/>
        <w:bottom w:val="none" w:sz="0" w:space="0" w:color="auto"/>
        <w:right w:val="none" w:sz="0" w:space="0" w:color="auto"/>
      </w:divBdr>
    </w:div>
    <w:div w:id="792867933">
      <w:bodyDiv w:val="1"/>
      <w:marLeft w:val="0"/>
      <w:marRight w:val="0"/>
      <w:marTop w:val="0"/>
      <w:marBottom w:val="0"/>
      <w:divBdr>
        <w:top w:val="none" w:sz="0" w:space="0" w:color="auto"/>
        <w:left w:val="none" w:sz="0" w:space="0" w:color="auto"/>
        <w:bottom w:val="none" w:sz="0" w:space="0" w:color="auto"/>
        <w:right w:val="none" w:sz="0" w:space="0" w:color="auto"/>
      </w:divBdr>
    </w:div>
    <w:div w:id="802772909">
      <w:bodyDiv w:val="1"/>
      <w:marLeft w:val="0"/>
      <w:marRight w:val="0"/>
      <w:marTop w:val="0"/>
      <w:marBottom w:val="0"/>
      <w:divBdr>
        <w:top w:val="none" w:sz="0" w:space="0" w:color="auto"/>
        <w:left w:val="none" w:sz="0" w:space="0" w:color="auto"/>
        <w:bottom w:val="none" w:sz="0" w:space="0" w:color="auto"/>
        <w:right w:val="none" w:sz="0" w:space="0" w:color="auto"/>
      </w:divBdr>
    </w:div>
    <w:div w:id="946038989">
      <w:bodyDiv w:val="1"/>
      <w:marLeft w:val="0"/>
      <w:marRight w:val="0"/>
      <w:marTop w:val="0"/>
      <w:marBottom w:val="0"/>
      <w:divBdr>
        <w:top w:val="none" w:sz="0" w:space="0" w:color="auto"/>
        <w:left w:val="none" w:sz="0" w:space="0" w:color="auto"/>
        <w:bottom w:val="none" w:sz="0" w:space="0" w:color="auto"/>
        <w:right w:val="none" w:sz="0" w:space="0" w:color="auto"/>
      </w:divBdr>
    </w:div>
    <w:div w:id="1091007899">
      <w:bodyDiv w:val="1"/>
      <w:marLeft w:val="0"/>
      <w:marRight w:val="0"/>
      <w:marTop w:val="0"/>
      <w:marBottom w:val="0"/>
      <w:divBdr>
        <w:top w:val="none" w:sz="0" w:space="0" w:color="auto"/>
        <w:left w:val="none" w:sz="0" w:space="0" w:color="auto"/>
        <w:bottom w:val="none" w:sz="0" w:space="0" w:color="auto"/>
        <w:right w:val="none" w:sz="0" w:space="0" w:color="auto"/>
      </w:divBdr>
    </w:div>
    <w:div w:id="1128091519">
      <w:bodyDiv w:val="1"/>
      <w:marLeft w:val="0"/>
      <w:marRight w:val="0"/>
      <w:marTop w:val="0"/>
      <w:marBottom w:val="0"/>
      <w:divBdr>
        <w:top w:val="none" w:sz="0" w:space="0" w:color="auto"/>
        <w:left w:val="none" w:sz="0" w:space="0" w:color="auto"/>
        <w:bottom w:val="none" w:sz="0" w:space="0" w:color="auto"/>
        <w:right w:val="none" w:sz="0" w:space="0" w:color="auto"/>
      </w:divBdr>
    </w:div>
    <w:div w:id="1579827568">
      <w:bodyDiv w:val="1"/>
      <w:marLeft w:val="0"/>
      <w:marRight w:val="0"/>
      <w:marTop w:val="0"/>
      <w:marBottom w:val="0"/>
      <w:divBdr>
        <w:top w:val="none" w:sz="0" w:space="0" w:color="auto"/>
        <w:left w:val="none" w:sz="0" w:space="0" w:color="auto"/>
        <w:bottom w:val="none" w:sz="0" w:space="0" w:color="auto"/>
        <w:right w:val="none" w:sz="0" w:space="0" w:color="auto"/>
      </w:divBdr>
    </w:div>
    <w:div w:id="1613853920">
      <w:bodyDiv w:val="1"/>
      <w:marLeft w:val="0"/>
      <w:marRight w:val="0"/>
      <w:marTop w:val="0"/>
      <w:marBottom w:val="0"/>
      <w:divBdr>
        <w:top w:val="none" w:sz="0" w:space="0" w:color="auto"/>
        <w:left w:val="none" w:sz="0" w:space="0" w:color="auto"/>
        <w:bottom w:val="none" w:sz="0" w:space="0" w:color="auto"/>
        <w:right w:val="none" w:sz="0" w:space="0" w:color="auto"/>
      </w:divBdr>
    </w:div>
    <w:div w:id="1638604577">
      <w:bodyDiv w:val="1"/>
      <w:marLeft w:val="0"/>
      <w:marRight w:val="0"/>
      <w:marTop w:val="0"/>
      <w:marBottom w:val="0"/>
      <w:divBdr>
        <w:top w:val="none" w:sz="0" w:space="0" w:color="auto"/>
        <w:left w:val="none" w:sz="0" w:space="0" w:color="auto"/>
        <w:bottom w:val="none" w:sz="0" w:space="0" w:color="auto"/>
        <w:right w:val="none" w:sz="0" w:space="0" w:color="auto"/>
      </w:divBdr>
    </w:div>
    <w:div w:id="20210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2" Type="http://schemas.openxmlformats.org/officeDocument/2006/relationships/hyperlink" Target="https://covid19.healthdata.org/united-states-of-america" TargetMode="External"/><Relationship Id="rId1" Type="http://schemas.openxmlformats.org/officeDocument/2006/relationships/hyperlink" Target="https://www.ncbi.nlm.nih.gov/pmc/articles/PMC6332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1303993976FD4EA6A73F1E6B8768F3" ma:contentTypeVersion="12" ma:contentTypeDescription="Create a new document." ma:contentTypeScope="" ma:versionID="cbc07df8ca2dce2529fa690990da5fa5">
  <xsd:schema xmlns:xsd="http://www.w3.org/2001/XMLSchema" xmlns:xs="http://www.w3.org/2001/XMLSchema" xmlns:p="http://schemas.microsoft.com/office/2006/metadata/properties" xmlns:ns2="bbf4c389-1428-42ba-b825-9dba82ed0171" xmlns:ns3="c18de693-340a-4b7d-9044-f11499c5debd" targetNamespace="http://schemas.microsoft.com/office/2006/metadata/properties" ma:root="true" ma:fieldsID="1b9591cb7e541e3c7c409bf3725ee2a1" ns2:_="" ns3:_="">
    <xsd:import namespace="bbf4c389-1428-42ba-b825-9dba82ed0171"/>
    <xsd:import namespace="c18de693-340a-4b7d-9044-f11499c5de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4c389-1428-42ba-b825-9dba82ed0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de693-340a-4b7d-9044-f11499c5de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DF40B-7E8B-4B6F-B76C-8B89E64A6A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ACC268-2AB1-4BDA-987D-6F891D79DA9D}">
  <ds:schemaRefs>
    <ds:schemaRef ds:uri="http://schemas.microsoft.com/sharepoint/v3/contenttype/forms"/>
  </ds:schemaRefs>
</ds:datastoreItem>
</file>

<file path=customXml/itemProps3.xml><?xml version="1.0" encoding="utf-8"?>
<ds:datastoreItem xmlns:ds="http://schemas.openxmlformats.org/officeDocument/2006/customXml" ds:itemID="{409D1057-2BA2-4BA7-8BC5-82C2361B2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4c389-1428-42ba-b825-9dba82ed0171"/>
    <ds:schemaRef ds:uri="c18de693-340a-4b7d-9044-f11499c5d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EDA636-81AF-3C42-A1A2-FA5C8ADD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Bhatti</dc:creator>
  <cp:keywords/>
  <dc:description/>
  <cp:lastModifiedBy>Zak Raicik</cp:lastModifiedBy>
  <cp:revision>24</cp:revision>
  <dcterms:created xsi:type="dcterms:W3CDTF">2020-05-14T15:04:00Z</dcterms:created>
  <dcterms:modified xsi:type="dcterms:W3CDTF">2020-05-18T12:05:00Z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0x010100561303993976FD4EA6A73F1E6B8768F3</vt:lpwstr>
  </property>
</Properties>
</file>