
<file path=[Content_Types].xml><?xml version="1.0" encoding="utf-8"?>
<Types xmlns="http://schemas.openxmlformats.org/package/2006/content-types">
  <Default Extension="xml" ContentType="application/xml"/>
  <Default Extension="png" ContentType="image/png"/>
  <Default Extension="tiff" ContentType="image/tiff"/>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7A3E40">
      <w:pPr>
        <w:pStyle w:val="4"/>
        <w:tabs>
          <w:tab w:val="center" w:pos="4800"/>
          <w:tab w:val="right" w:pos="9500"/>
        </w:tabs>
        <w:ind w:firstLine="0"/>
        <w:jc w:val="center"/>
        <w:rPr>
          <w:rFonts w:ascii="Times New Roman" w:hAnsi="Times New Roman" w:cs="Times New Roman"/>
        </w:rPr>
      </w:pPr>
      <w:r>
        <w:rPr>
          <w:rFonts w:hint="eastAsia" w:ascii="Times New Roman" w:hAnsi="Times New Roman" w:cs="Times New Roman"/>
        </w:rPr>
        <w:t>Supplementary Information for</w:t>
      </w:r>
    </w:p>
    <w:p w14:paraId="06B2F9B7">
      <w:pPr>
        <w:pStyle w:val="4"/>
        <w:tabs>
          <w:tab w:val="center" w:pos="4800"/>
          <w:tab w:val="right" w:pos="9500"/>
        </w:tabs>
        <w:ind w:firstLine="0"/>
        <w:jc w:val="center"/>
        <w:rPr>
          <w:rFonts w:ascii="Times New Roman" w:hAnsi="Times New Roman" w:cs="Times New Roman"/>
          <w:i/>
          <w:iCs/>
        </w:rPr>
      </w:pPr>
      <w:r>
        <w:rPr>
          <w:rFonts w:hint="eastAsia" w:ascii="Times New Roman" w:hAnsi="Times New Roman" w:cs="Times New Roman"/>
          <w:i/>
          <w:iCs/>
        </w:rPr>
        <w:t>Graph Masked Autoencoder with Multi-Head Latent Attention Mechanism for Gene Regulatory Link Prediction</w:t>
      </w:r>
    </w:p>
    <w:p w14:paraId="1B229A81">
      <w:pPr>
        <w:tabs>
          <w:tab w:val="center" w:pos="4800"/>
          <w:tab w:val="right" w:pos="9500"/>
        </w:tabs>
        <w:jc w:val="center"/>
        <w:rPr>
          <w:rFonts w:ascii="Times New Roman" w:hAnsi="Times New Roman" w:cs="Times New Roman"/>
          <w:szCs w:val="22"/>
        </w:rPr>
      </w:pPr>
    </w:p>
    <w:p w14:paraId="198E031C">
      <w:pPr>
        <w:tabs>
          <w:tab w:val="center" w:pos="4800"/>
          <w:tab w:val="right" w:pos="9500"/>
        </w:tabs>
        <w:jc w:val="center"/>
        <w:rPr>
          <w:rFonts w:ascii="Times New Roman" w:hAnsi="Times New Roman" w:cs="Times New Roman"/>
          <w:szCs w:val="22"/>
        </w:rPr>
      </w:pPr>
      <w:r>
        <w:rPr>
          <w:rFonts w:hint="eastAsia" w:ascii="Times New Roman" w:hAnsi="Times New Roman" w:cs="Times New Roman"/>
          <w:szCs w:val="22"/>
        </w:rPr>
        <w:t xml:space="preserve">Zhiwei Cao, Xupeng Wang, Wenhao Li, Yichao Zhang, Yuliang Pan, Jihong Guan, </w:t>
      </w:r>
    </w:p>
    <w:p w14:paraId="7819FE25">
      <w:pPr>
        <w:tabs>
          <w:tab w:val="center" w:pos="4800"/>
          <w:tab w:val="right" w:pos="9500"/>
        </w:tabs>
        <w:spacing w:after="240"/>
        <w:jc w:val="center"/>
        <w:rPr>
          <w:rFonts w:ascii="Times New Roman" w:hAnsi="Times New Roman" w:cs="Times New Roman"/>
          <w:szCs w:val="22"/>
        </w:rPr>
      </w:pPr>
      <w:r>
        <w:rPr>
          <w:rFonts w:hint="eastAsia" w:ascii="Times New Roman" w:hAnsi="Times New Roman" w:cs="Times New Roman"/>
          <w:szCs w:val="22"/>
        </w:rPr>
        <w:t>and Shuigeng Zhou</w:t>
      </w:r>
    </w:p>
    <w:p w14:paraId="1837BB65">
      <w:pPr>
        <w:spacing w:after="240" w:line="360" w:lineRule="atLeast"/>
        <w:outlineLvl w:val="0"/>
        <w:rPr>
          <w:rFonts w:ascii="Times New Roman" w:hAnsi="Times New Roman" w:cs="Times New Roman"/>
          <w:b/>
          <w:bCs/>
          <w:szCs w:val="21"/>
        </w:rPr>
        <w:sectPr>
          <w:pgSz w:w="12242" w:h="15842"/>
          <w:pgMar w:top="1134" w:right="1134" w:bottom="851" w:left="1134" w:header="851" w:footer="992" w:gutter="0"/>
          <w:pgBorders>
            <w:top w:val="none" w:sz="0" w:space="0"/>
            <w:left w:val="none" w:sz="0" w:space="0"/>
            <w:bottom w:val="none" w:sz="0" w:space="0"/>
            <w:right w:val="none" w:sz="0" w:space="0"/>
          </w:pgBorders>
          <w:cols w:space="425" w:num="1"/>
          <w:docGrid w:type="linesAndChars" w:linePitch="312" w:charSpace="0"/>
        </w:sectPr>
      </w:pPr>
    </w:p>
    <w:p w14:paraId="2D1CBF2D">
      <w:pPr>
        <w:spacing w:after="240" w:line="360" w:lineRule="atLeast"/>
        <w:outlineLvl w:val="0"/>
        <w:rPr>
          <w:rFonts w:ascii="Times New Roman" w:hAnsi="Times New Roman" w:cs="Times New Roman"/>
          <w:b/>
          <w:bCs/>
          <w:szCs w:val="21"/>
        </w:rPr>
      </w:pPr>
      <w:r>
        <w:rPr>
          <w:rFonts w:ascii="Times New Roman" w:hAnsi="Times New Roman" w:cs="Times New Roman"/>
          <w:b/>
          <w:bCs/>
          <w:szCs w:val="21"/>
        </w:rPr>
        <w:t>Supplementary Note 1: Computational validation of NUPR1 regulatory interactions</w:t>
      </w:r>
    </w:p>
    <w:p w14:paraId="42DEDEA4">
      <w:pPr>
        <w:pStyle w:val="10"/>
        <w:widowControl/>
        <w:spacing w:line="240" w:lineRule="atLeast"/>
        <w:ind w:firstLine="420" w:firstLineChars="200"/>
        <w:rPr>
          <w:rFonts w:ascii="Times New Roman" w:hAnsi="Times New Roman" w:cs="Times New Roman"/>
          <w:sz w:val="21"/>
          <w:szCs w:val="21"/>
        </w:rPr>
      </w:pPr>
      <w:r>
        <w:rPr>
          <w:rFonts w:ascii="Times New Roman" w:hAnsi="Times New Roman" w:cs="Times New Roman"/>
          <w:sz w:val="21"/>
          <w:szCs w:val="21"/>
        </w:rPr>
        <w:t>To further investigate the regulatory role of NUPR1 within the metastatic glycolytic network predicted by our model, we performed an in silico knockout simulation using scTenifoldKnk on a public single-cell RNA-seq dataset of basal-like breast cancer. This perturbation identified a set of differentially expressed genes sensitive to NUPR1 knockdown. Comparing these perturbation-sensitive genes with NUPR1's predicted transcriptional targets revealed a significant overlap: three genes—</w:t>
      </w:r>
      <w:r>
        <w:rPr>
          <w:rFonts w:ascii="Times New Roman" w:hAnsi="Times New Roman" w:cs="Times New Roman"/>
          <w:b/>
          <w:bCs/>
          <w:sz w:val="21"/>
          <w:szCs w:val="21"/>
        </w:rPr>
        <w:t>CKB, BNIP3,</w:t>
      </w:r>
      <w:r>
        <w:rPr>
          <w:rFonts w:ascii="Times New Roman" w:hAnsi="Times New Roman" w:cs="Times New Roman"/>
          <w:sz w:val="21"/>
          <w:szCs w:val="21"/>
        </w:rPr>
        <w:t xml:space="preserve"> and </w:t>
      </w:r>
      <w:r>
        <w:rPr>
          <w:rFonts w:ascii="Times New Roman" w:hAnsi="Times New Roman" w:cs="Times New Roman"/>
          <w:b/>
          <w:bCs/>
          <w:sz w:val="21"/>
          <w:szCs w:val="21"/>
        </w:rPr>
        <w:t>RPL31</w:t>
      </w:r>
      <w:r>
        <w:rPr>
          <w:rFonts w:ascii="Times New Roman" w:hAnsi="Times New Roman" w:cs="Times New Roman"/>
          <w:sz w:val="21"/>
          <w:szCs w:val="21"/>
        </w:rPr>
        <w:t>—were identified by both approaches (Supplementary Fig. S1). These genes have been independently implicated in glycolysis and breast cancer progression [1-3], lending biological plausibility to their predicted regulation by NUPR1.</w:t>
      </w:r>
    </w:p>
    <w:p w14:paraId="7B100361">
      <w:pPr>
        <w:pStyle w:val="10"/>
        <w:widowControl/>
        <w:spacing w:line="240" w:lineRule="atLeast"/>
        <w:ind w:firstLine="420" w:firstLineChars="200"/>
        <w:rPr>
          <w:rFonts w:ascii="Times New Roman" w:hAnsi="Times New Roman" w:cs="Times New Roman"/>
          <w:sz w:val="21"/>
          <w:szCs w:val="21"/>
        </w:rPr>
      </w:pPr>
      <w:r>
        <w:rPr>
          <w:rFonts w:ascii="Times New Roman" w:hAnsi="Times New Roman" w:cs="Times New Roman"/>
          <w:sz w:val="21"/>
          <w:szCs w:val="21"/>
        </w:rPr>
        <w:t xml:space="preserve">We then performed KEGG pathway enrichment analysis on all NUPR1-predicted target genes. The results showed significant enrichment in pathways critical for cancer progression and metabolism (Supplementary Fig. S2), including </w:t>
      </w:r>
      <w:r>
        <w:rPr>
          <w:rFonts w:ascii="Times New Roman" w:hAnsi="Times New Roman" w:cs="Times New Roman"/>
          <w:b/>
          <w:bCs/>
          <w:sz w:val="21"/>
          <w:szCs w:val="21"/>
        </w:rPr>
        <w:t xml:space="preserve">Breast cancer, PI3K-Akt signaling pathway, ErbB signaling pathway, mTOR signaling pathway, </w:t>
      </w:r>
      <w:r>
        <w:rPr>
          <w:rFonts w:ascii="Times New Roman" w:hAnsi="Times New Roman" w:cs="Times New Roman"/>
          <w:sz w:val="21"/>
          <w:szCs w:val="21"/>
        </w:rPr>
        <w:t>and</w:t>
      </w:r>
      <w:r>
        <w:rPr>
          <w:rFonts w:ascii="Times New Roman" w:hAnsi="Times New Roman" w:cs="Times New Roman"/>
          <w:b/>
          <w:bCs/>
          <w:sz w:val="21"/>
          <w:szCs w:val="21"/>
        </w:rPr>
        <w:t xml:space="preserve"> HIF-1 signaling pathway. </w:t>
      </w:r>
      <w:r>
        <w:rPr>
          <w:rFonts w:ascii="Times New Roman" w:hAnsi="Times New Roman" w:cs="Times New Roman"/>
          <w:sz w:val="21"/>
          <w:szCs w:val="21"/>
        </w:rPr>
        <w:t>Notably, the overlapping genes from the perturbation analysis (</w:t>
      </w:r>
      <w:r>
        <w:rPr>
          <w:rFonts w:ascii="Times New Roman" w:hAnsi="Times New Roman" w:cs="Times New Roman"/>
          <w:b/>
          <w:bCs/>
          <w:sz w:val="21"/>
          <w:szCs w:val="21"/>
        </w:rPr>
        <w:t xml:space="preserve">CKB, BNIP3, </w:t>
      </w:r>
      <w:r>
        <w:rPr>
          <w:rFonts w:ascii="Times New Roman" w:hAnsi="Times New Roman" w:cs="Times New Roman"/>
          <w:sz w:val="21"/>
          <w:szCs w:val="21"/>
        </w:rPr>
        <w:t xml:space="preserve">and </w:t>
      </w:r>
      <w:r>
        <w:rPr>
          <w:rFonts w:ascii="Times New Roman" w:hAnsi="Times New Roman" w:cs="Times New Roman"/>
          <w:b/>
          <w:bCs/>
          <w:sz w:val="21"/>
          <w:szCs w:val="21"/>
        </w:rPr>
        <w:t>RPL31</w:t>
      </w:r>
      <w:r>
        <w:rPr>
          <w:rFonts w:ascii="Times New Roman" w:hAnsi="Times New Roman" w:cs="Times New Roman"/>
          <w:sz w:val="21"/>
          <w:szCs w:val="21"/>
        </w:rPr>
        <w:t>) are established components of these pathways. This convergence of in silico perturbation evidence, model predictions, and established pathway knowledge functionally positions NUPR1 as an upstream regulator of a transcriptional program that promotes metabolic reprogramming and invasive potential in breast cancer metastasis.</w:t>
      </w:r>
    </w:p>
    <w:p w14:paraId="305E9D38">
      <w:pPr>
        <w:pStyle w:val="10"/>
        <w:widowControl/>
        <w:spacing w:line="280" w:lineRule="atLeast"/>
        <w:jc w:val="center"/>
        <w:rPr>
          <w:rFonts w:ascii="Times New Roman" w:hAnsi="Times New Roman" w:cs="Times New Roman"/>
          <w:sz w:val="18"/>
          <w:szCs w:val="18"/>
        </w:rPr>
      </w:pPr>
      <w:r>
        <w:rPr>
          <w:rFonts w:hint="eastAsia" w:ascii="Times New Roman" w:hAnsi="Times New Roman" w:cs="Times New Roman"/>
          <w:sz w:val="18"/>
          <w:szCs w:val="18"/>
        </w:rPr>
        <w:drawing>
          <wp:inline distT="0" distB="0" distL="114300" distR="114300">
            <wp:extent cx="2836545" cy="2836545"/>
            <wp:effectExtent l="0" t="0" r="1905" b="1905"/>
            <wp:docPr id="1" name="图片 1" descr="Supplementary fi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Supplementary fig1"/>
                    <pic:cNvPicPr>
                      <a:picLocks noChangeAspect="1"/>
                    </pic:cNvPicPr>
                  </pic:nvPicPr>
                  <pic:blipFill>
                    <a:blip r:embed="rId4"/>
                    <a:stretch>
                      <a:fillRect/>
                    </a:stretch>
                  </pic:blipFill>
                  <pic:spPr>
                    <a:xfrm>
                      <a:off x="0" y="0"/>
                      <a:ext cx="2844506" cy="2844506"/>
                    </a:xfrm>
                    <a:prstGeom prst="rect">
                      <a:avLst/>
                    </a:prstGeom>
                  </pic:spPr>
                </pic:pic>
              </a:graphicData>
            </a:graphic>
          </wp:inline>
        </w:drawing>
      </w:r>
    </w:p>
    <w:p w14:paraId="38C24649">
      <w:pPr>
        <w:pStyle w:val="10"/>
        <w:widowControl/>
        <w:spacing w:line="280" w:lineRule="atLeast"/>
        <w:rPr>
          <w:rFonts w:ascii="Times New Roman" w:hAnsi="Times New Roman" w:eastAsia="Segoe UI" w:cs="Times New Roman"/>
          <w:color w:val="0F1115"/>
          <w:sz w:val="18"/>
          <w:szCs w:val="18"/>
          <w:shd w:val="clear" w:color="auto" w:fill="FFFFFF"/>
        </w:rPr>
      </w:pPr>
      <w:r>
        <w:rPr>
          <w:rFonts w:ascii="Times New Roman" w:hAnsi="Times New Roman" w:eastAsia="宋体" w:cs="Times New Roman"/>
          <w:b/>
          <w:bCs/>
          <w:sz w:val="18"/>
          <w:szCs w:val="18"/>
        </w:rPr>
        <w:t xml:space="preserve">Figure S1. Overlap between NUPR1-predicted target genes and NUPR1-knockdown-sensitive genes. </w:t>
      </w:r>
      <w:r>
        <w:rPr>
          <w:rFonts w:ascii="Times New Roman" w:hAnsi="Times New Roman" w:eastAsia="Segoe UI" w:cs="Times New Roman"/>
          <w:color w:val="0F1115"/>
          <w:sz w:val="18"/>
          <w:szCs w:val="18"/>
          <w:shd w:val="clear" w:color="auto" w:fill="FFFFFF"/>
        </w:rPr>
        <w:t>The figure displays genes whose expression was significantly altered following NUPR1 knockdown via scTenifoldKnk (p &lt; 0.05 and |Z| &gt; 2). Among these, genes overlapping with the predicted targets of NUPR1 from our model are highlighted in red.</w:t>
      </w:r>
    </w:p>
    <w:p w14:paraId="100F294D">
      <w:pPr>
        <w:pStyle w:val="10"/>
        <w:widowControl/>
        <w:spacing w:line="240" w:lineRule="atLeast"/>
        <w:jc w:val="center"/>
        <w:rPr>
          <w:rFonts w:ascii="Times New Roman" w:hAnsi="Times New Roman" w:cs="Times New Roman"/>
          <w:sz w:val="21"/>
          <w:szCs w:val="21"/>
        </w:rPr>
      </w:pPr>
      <w:r>
        <w:rPr>
          <w:rFonts w:hint="eastAsia" w:ascii="Times New Roman" w:hAnsi="Times New Roman" w:cs="Times New Roman" w:eastAsiaTheme="minorEastAsia"/>
          <w:b w:val="0"/>
          <w:bCs w:val="0"/>
          <w:sz w:val="21"/>
          <w:szCs w:val="21"/>
          <w:lang w:eastAsia="zh-CN"/>
        </w:rPr>
        <w:drawing>
          <wp:inline distT="0" distB="0" distL="114300" distR="114300">
            <wp:extent cx="3071495" cy="2444115"/>
            <wp:effectExtent l="0" t="0" r="1905" b="6985"/>
            <wp:docPr id="3" name="图片 3" descr="31c1ee69976aed5eb37085c6b71717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31c1ee69976aed5eb37085c6b717171a"/>
                    <pic:cNvPicPr>
                      <a:picLocks noChangeAspect="1"/>
                    </pic:cNvPicPr>
                  </pic:nvPicPr>
                  <pic:blipFill>
                    <a:blip r:embed="rId5"/>
                    <a:stretch>
                      <a:fillRect/>
                    </a:stretch>
                  </pic:blipFill>
                  <pic:spPr>
                    <a:xfrm>
                      <a:off x="0" y="0"/>
                      <a:ext cx="3071495" cy="2444115"/>
                    </a:xfrm>
                    <a:prstGeom prst="rect">
                      <a:avLst/>
                    </a:prstGeom>
                  </pic:spPr>
                </pic:pic>
              </a:graphicData>
            </a:graphic>
          </wp:inline>
        </w:drawing>
      </w:r>
    </w:p>
    <w:p w14:paraId="30B02D17">
      <w:pPr>
        <w:pStyle w:val="10"/>
        <w:widowControl/>
        <w:spacing w:line="240" w:lineRule="atLeast"/>
        <w:rPr>
          <w:rFonts w:ascii="Times New Roman" w:hAnsi="Times New Roman" w:eastAsia="宋体" w:cs="Times New Roman"/>
          <w:sz w:val="21"/>
          <w:szCs w:val="21"/>
        </w:rPr>
      </w:pPr>
      <w:r>
        <w:rPr>
          <w:rFonts w:ascii="Times New Roman" w:hAnsi="Times New Roman" w:eastAsia="宋体" w:cs="Times New Roman"/>
          <w:b/>
          <w:bCs/>
          <w:sz w:val="21"/>
          <w:szCs w:val="21"/>
        </w:rPr>
        <w:t xml:space="preserve">Figure S2. KEGG pathway enrichment analysis of NUPR1-predicted target genes. </w:t>
      </w:r>
      <w:r>
        <w:rPr>
          <w:rFonts w:ascii="Times New Roman" w:hAnsi="Times New Roman" w:eastAsia="宋体" w:cs="Times New Roman"/>
          <w:sz w:val="21"/>
          <w:szCs w:val="21"/>
        </w:rPr>
        <w:t>Bubble plot showing significantly enriched pathways (p &lt; 0.05) among genes predicted to be regulated by NUPR1 in the metastasis-specific GRN. GeneRatio represents the proportion of target genes mapping to each pathway. Dot size indicates the number of genes per pathway, and color intensity represents -log10(p-value). Key enriched pathways related to breast cancer progression and metabolic reprogramming are labeled.</w:t>
      </w:r>
    </w:p>
    <w:p w14:paraId="77A242D1">
      <w:pPr>
        <w:spacing w:before="240" w:after="240" w:line="360" w:lineRule="atLeast"/>
        <w:jc w:val="left"/>
        <w:outlineLvl w:val="0"/>
        <w:rPr>
          <w:rFonts w:ascii="Times New Roman" w:hAnsi="Times New Roman" w:eastAsia="宋体" w:cs="Times New Roman"/>
          <w:sz w:val="21"/>
          <w:szCs w:val="21"/>
        </w:rPr>
      </w:pPr>
      <w:r>
        <w:rPr>
          <w:rFonts w:ascii="Times New Roman" w:hAnsi="Times New Roman" w:cs="Times New Roman"/>
          <w:b/>
          <w:bCs/>
          <w:szCs w:val="21"/>
        </w:rPr>
        <w:t>References</w:t>
      </w:r>
    </w:p>
    <w:p w14:paraId="01CB8EEA">
      <w:pPr>
        <w:pStyle w:val="10"/>
        <w:widowControl/>
        <w:spacing w:line="240" w:lineRule="atLeast"/>
        <w:jc w:val="both"/>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r>
        <w:rPr>
          <w:rFonts w:hint="eastAsia"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lang w:val="en-US" w:eastAsia="zh-CN"/>
        </w:rPr>
        <w:t>Q. Yu, W. Fu, Y. Fu et al., "BNIP3 as a potential biomarker for the identification of prognosis and diagnosis in solid tumours," Molecular Cancer, vol. 22, no. 1, p. 143, 2023.</w:t>
      </w:r>
    </w:p>
    <w:p w14:paraId="1A58A78F">
      <w:pPr>
        <w:pStyle w:val="10"/>
        <w:widowControl/>
        <w:spacing w:line="240" w:lineRule="atLeast"/>
        <w:jc w:val="both"/>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[2]</w:t>
      </w:r>
      <w:r>
        <w:rPr>
          <w:rFonts w:hint="eastAsia"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lang w:val="en-US" w:eastAsia="zh-CN"/>
        </w:rPr>
        <w:t xml:space="preserve">J. Xu, S. Qin, Y. Yi et al., "Delving into the </w:t>
      </w:r>
      <w:r>
        <w:rPr>
          <w:rFonts w:hint="eastAsia" w:ascii="Times New Roman" w:hAnsi="Times New Roman" w:eastAsia="宋体" w:cs="Times New Roman"/>
          <w:sz w:val="21"/>
          <w:szCs w:val="21"/>
          <w:lang w:val="en-US" w:eastAsia="zh-CN"/>
        </w:rPr>
        <w:t>h</w:t>
      </w:r>
      <w:r>
        <w:rPr>
          <w:rFonts w:hint="default" w:ascii="Times New Roman" w:hAnsi="Times New Roman" w:eastAsia="宋体" w:cs="Times New Roman"/>
          <w:sz w:val="21"/>
          <w:szCs w:val="21"/>
          <w:lang w:val="en-US" w:eastAsia="zh-CN"/>
        </w:rPr>
        <w:t xml:space="preserve">eterogeneity of </w:t>
      </w:r>
      <w:r>
        <w:rPr>
          <w:rFonts w:hint="eastAsia" w:ascii="Times New Roman" w:hAnsi="Times New Roman" w:eastAsia="宋体" w:cs="Times New Roman"/>
          <w:sz w:val="21"/>
          <w:szCs w:val="21"/>
          <w:lang w:val="en-US" w:eastAsia="zh-CN"/>
        </w:rPr>
        <w:t>d</w:t>
      </w:r>
      <w:r>
        <w:rPr>
          <w:rFonts w:hint="default" w:ascii="Times New Roman" w:hAnsi="Times New Roman" w:eastAsia="宋体" w:cs="Times New Roman"/>
          <w:sz w:val="21"/>
          <w:szCs w:val="21"/>
          <w:lang w:val="en-US" w:eastAsia="zh-CN"/>
        </w:rPr>
        <w:t xml:space="preserve">ifferent </w:t>
      </w:r>
      <w:r>
        <w:rPr>
          <w:rFonts w:hint="eastAsia" w:ascii="Times New Roman" w:hAnsi="Times New Roman" w:eastAsia="宋体" w:cs="Times New Roman"/>
          <w:sz w:val="21"/>
          <w:szCs w:val="21"/>
          <w:lang w:val="en-US" w:eastAsia="zh-CN"/>
        </w:rPr>
        <w:t>b</w:t>
      </w:r>
      <w:r>
        <w:rPr>
          <w:rFonts w:hint="default" w:ascii="Times New Roman" w:hAnsi="Times New Roman" w:eastAsia="宋体" w:cs="Times New Roman"/>
          <w:sz w:val="21"/>
          <w:szCs w:val="21"/>
          <w:lang w:val="en-US" w:eastAsia="zh-CN"/>
        </w:rPr>
        <w:t xml:space="preserve">reast </w:t>
      </w:r>
      <w:r>
        <w:rPr>
          <w:rFonts w:hint="eastAsia" w:ascii="Times New Roman" w:hAnsi="Times New Roman" w:eastAsia="宋体" w:cs="Times New Roman"/>
          <w:sz w:val="21"/>
          <w:szCs w:val="21"/>
          <w:lang w:val="en-US" w:eastAsia="zh-CN"/>
        </w:rPr>
        <w:t>c</w:t>
      </w:r>
      <w:r>
        <w:rPr>
          <w:rFonts w:hint="default" w:ascii="Times New Roman" w:hAnsi="Times New Roman" w:eastAsia="宋体" w:cs="Times New Roman"/>
          <w:sz w:val="21"/>
          <w:szCs w:val="21"/>
          <w:lang w:val="en-US" w:eastAsia="zh-CN"/>
        </w:rPr>
        <w:t xml:space="preserve">ancer </w:t>
      </w:r>
      <w:r>
        <w:rPr>
          <w:rFonts w:hint="eastAsia" w:ascii="Times New Roman" w:hAnsi="Times New Roman" w:eastAsia="宋体" w:cs="Times New Roman"/>
          <w:sz w:val="21"/>
          <w:szCs w:val="21"/>
          <w:lang w:val="en-US" w:eastAsia="zh-CN"/>
        </w:rPr>
        <w:t>s</w:t>
      </w:r>
      <w:r>
        <w:rPr>
          <w:rFonts w:hint="default" w:ascii="Times New Roman" w:hAnsi="Times New Roman" w:eastAsia="宋体" w:cs="Times New Roman"/>
          <w:sz w:val="21"/>
          <w:szCs w:val="21"/>
          <w:lang w:val="en-US" w:eastAsia="zh-CN"/>
        </w:rPr>
        <w:t xml:space="preserve">ubtypes and the </w:t>
      </w:r>
      <w:r>
        <w:rPr>
          <w:rFonts w:hint="eastAsia" w:ascii="Times New Roman" w:hAnsi="Times New Roman" w:eastAsia="宋体" w:cs="Times New Roman"/>
          <w:sz w:val="21"/>
          <w:szCs w:val="21"/>
          <w:lang w:val="en-US" w:eastAsia="zh-CN"/>
        </w:rPr>
        <w:t>p</w:t>
      </w:r>
      <w:r>
        <w:rPr>
          <w:rFonts w:hint="default" w:ascii="Times New Roman" w:hAnsi="Times New Roman" w:eastAsia="宋体" w:cs="Times New Roman"/>
          <w:sz w:val="21"/>
          <w:szCs w:val="21"/>
          <w:lang w:val="en-US" w:eastAsia="zh-CN"/>
        </w:rPr>
        <w:t xml:space="preserve">rognostic </w:t>
      </w:r>
      <w:r>
        <w:rPr>
          <w:rFonts w:hint="eastAsia" w:ascii="Times New Roman" w:hAnsi="Times New Roman" w:eastAsia="宋体" w:cs="Times New Roman"/>
          <w:sz w:val="21"/>
          <w:szCs w:val="21"/>
          <w:lang w:val="en-US" w:eastAsia="zh-CN"/>
        </w:rPr>
        <w:t>m</w:t>
      </w:r>
      <w:r>
        <w:rPr>
          <w:rFonts w:hint="default" w:ascii="Times New Roman" w:hAnsi="Times New Roman" w:eastAsia="宋体" w:cs="Times New Roman"/>
          <w:sz w:val="21"/>
          <w:szCs w:val="21"/>
          <w:lang w:val="en-US" w:eastAsia="zh-CN"/>
        </w:rPr>
        <w:t xml:space="preserve">odels </w:t>
      </w:r>
      <w:r>
        <w:rPr>
          <w:rFonts w:hint="eastAsia" w:ascii="Times New Roman" w:hAnsi="Times New Roman" w:eastAsia="宋体" w:cs="Times New Roman"/>
          <w:sz w:val="21"/>
          <w:szCs w:val="21"/>
          <w:lang w:val="en-US" w:eastAsia="zh-CN"/>
        </w:rPr>
        <w:t>u</w:t>
      </w:r>
      <w:r>
        <w:rPr>
          <w:rFonts w:hint="default" w:ascii="Times New Roman" w:hAnsi="Times New Roman" w:eastAsia="宋体" w:cs="Times New Roman"/>
          <w:sz w:val="21"/>
          <w:szCs w:val="21"/>
          <w:lang w:val="en-US" w:eastAsia="zh-CN"/>
        </w:rPr>
        <w:t>tilizing scRNA-</w:t>
      </w:r>
      <w:r>
        <w:rPr>
          <w:rFonts w:hint="eastAsia" w:ascii="Times New Roman" w:hAnsi="Times New Roman" w:eastAsia="宋体" w:cs="Times New Roman"/>
          <w:sz w:val="21"/>
          <w:szCs w:val="21"/>
          <w:lang w:val="en-US" w:eastAsia="zh-CN"/>
        </w:rPr>
        <w:t>s</w:t>
      </w:r>
      <w:r>
        <w:rPr>
          <w:rFonts w:hint="default" w:ascii="Times New Roman" w:hAnsi="Times New Roman" w:eastAsia="宋体" w:cs="Times New Roman"/>
          <w:sz w:val="21"/>
          <w:szCs w:val="21"/>
          <w:lang w:val="en-US" w:eastAsia="zh-CN"/>
        </w:rPr>
        <w:t xml:space="preserve">eq and </w:t>
      </w:r>
      <w:r>
        <w:rPr>
          <w:rFonts w:hint="eastAsia" w:ascii="Times New Roman" w:hAnsi="Times New Roman" w:eastAsia="宋体" w:cs="Times New Roman"/>
          <w:sz w:val="21"/>
          <w:szCs w:val="21"/>
          <w:lang w:val="en-US" w:eastAsia="zh-CN"/>
        </w:rPr>
        <w:t>b</w:t>
      </w:r>
      <w:r>
        <w:rPr>
          <w:rFonts w:hint="default" w:ascii="Times New Roman" w:hAnsi="Times New Roman" w:eastAsia="宋体" w:cs="Times New Roman"/>
          <w:sz w:val="21"/>
          <w:szCs w:val="21"/>
          <w:lang w:val="en-US" w:eastAsia="zh-CN"/>
        </w:rPr>
        <w:t>ulk RNA-</w:t>
      </w:r>
      <w:r>
        <w:rPr>
          <w:rFonts w:hint="eastAsia" w:ascii="Times New Roman" w:hAnsi="Times New Roman" w:eastAsia="宋体" w:cs="Times New Roman"/>
          <w:sz w:val="21"/>
          <w:szCs w:val="21"/>
          <w:lang w:val="en-US" w:eastAsia="zh-CN"/>
        </w:rPr>
        <w:t>s</w:t>
      </w:r>
      <w:r>
        <w:rPr>
          <w:rFonts w:hint="default" w:ascii="Times New Roman" w:hAnsi="Times New Roman" w:eastAsia="宋体" w:cs="Times New Roman"/>
          <w:sz w:val="21"/>
          <w:szCs w:val="21"/>
          <w:lang w:val="en-US" w:eastAsia="zh-CN"/>
        </w:rPr>
        <w:t>eq,"</w:t>
      </w:r>
      <w:r>
        <w:rPr>
          <w:rFonts w:hint="eastAsia"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lang w:val="en-US" w:eastAsia="zh-CN"/>
        </w:rPr>
        <w:t>International Journal of Molecular Sciences, vol. 23, no. 17, p. 9936, 2022.</w:t>
      </w:r>
    </w:p>
    <w:p w14:paraId="48F2FAA5">
      <w:pPr>
        <w:pStyle w:val="10"/>
        <w:widowControl/>
        <w:spacing w:line="240" w:lineRule="atLeast"/>
        <w:jc w:val="both"/>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 xml:space="preserve">[3] </w:t>
      </w:r>
      <w:r>
        <w:rPr>
          <w:rFonts w:hint="default" w:ascii="Times New Roman" w:hAnsi="Times New Roman" w:eastAsia="宋体" w:cs="Times New Roman"/>
          <w:sz w:val="21"/>
          <w:szCs w:val="21"/>
          <w:lang w:val="en-US" w:eastAsia="zh-CN"/>
        </w:rPr>
        <w:t>R. I. Krutilina, H. Playa, D. L. Brooks et al., "HIF-</w:t>
      </w:r>
      <w:r>
        <w:rPr>
          <w:rFonts w:hint="eastAsia" w:ascii="Times New Roman" w:hAnsi="Times New Roman" w:eastAsia="宋体" w:cs="Times New Roman"/>
          <w:sz w:val="21"/>
          <w:szCs w:val="21"/>
          <w:lang w:val="en-US" w:eastAsia="zh-CN"/>
        </w:rPr>
        <w:t>d</w:t>
      </w:r>
      <w:r>
        <w:rPr>
          <w:rFonts w:hint="default" w:ascii="Times New Roman" w:hAnsi="Times New Roman" w:eastAsia="宋体" w:cs="Times New Roman"/>
          <w:sz w:val="21"/>
          <w:szCs w:val="21"/>
          <w:lang w:val="en-US" w:eastAsia="zh-CN"/>
        </w:rPr>
        <w:t xml:space="preserve">ependent CKB </w:t>
      </w:r>
      <w:r>
        <w:rPr>
          <w:rFonts w:hint="eastAsia" w:ascii="Times New Roman" w:hAnsi="Times New Roman" w:eastAsia="宋体" w:cs="Times New Roman"/>
          <w:sz w:val="21"/>
          <w:szCs w:val="21"/>
          <w:lang w:val="en-US" w:eastAsia="zh-CN"/>
        </w:rPr>
        <w:t>e</w:t>
      </w:r>
      <w:r>
        <w:rPr>
          <w:rFonts w:hint="default" w:ascii="Times New Roman" w:hAnsi="Times New Roman" w:eastAsia="宋体" w:cs="Times New Roman"/>
          <w:sz w:val="21"/>
          <w:szCs w:val="21"/>
          <w:lang w:val="en-US" w:eastAsia="zh-CN"/>
        </w:rPr>
        <w:t xml:space="preserve">xpression </w:t>
      </w:r>
      <w:r>
        <w:rPr>
          <w:rFonts w:hint="eastAsia" w:ascii="Times New Roman" w:hAnsi="Times New Roman" w:eastAsia="宋体" w:cs="Times New Roman"/>
          <w:sz w:val="21"/>
          <w:szCs w:val="21"/>
          <w:lang w:val="en-US" w:eastAsia="zh-CN"/>
        </w:rPr>
        <w:t>p</w:t>
      </w:r>
      <w:r>
        <w:rPr>
          <w:rFonts w:hint="default" w:ascii="Times New Roman" w:hAnsi="Times New Roman" w:eastAsia="宋体" w:cs="Times New Roman"/>
          <w:sz w:val="21"/>
          <w:szCs w:val="21"/>
          <w:lang w:val="en-US" w:eastAsia="zh-CN"/>
        </w:rPr>
        <w:t xml:space="preserve">romotes </w:t>
      </w:r>
      <w:r>
        <w:rPr>
          <w:rFonts w:hint="eastAsia" w:ascii="Times New Roman" w:hAnsi="Times New Roman" w:eastAsia="宋体" w:cs="Times New Roman"/>
          <w:sz w:val="21"/>
          <w:szCs w:val="21"/>
          <w:lang w:val="en-US" w:eastAsia="zh-CN"/>
        </w:rPr>
        <w:t>b</w:t>
      </w:r>
      <w:r>
        <w:rPr>
          <w:rFonts w:hint="default" w:ascii="Times New Roman" w:hAnsi="Times New Roman" w:eastAsia="宋体" w:cs="Times New Roman"/>
          <w:sz w:val="21"/>
          <w:szCs w:val="21"/>
          <w:lang w:val="en-US" w:eastAsia="zh-CN"/>
        </w:rPr>
        <w:t xml:space="preserve">reast </w:t>
      </w:r>
      <w:r>
        <w:rPr>
          <w:rFonts w:hint="eastAsia" w:ascii="Times New Roman" w:hAnsi="Times New Roman" w:eastAsia="宋体" w:cs="Times New Roman"/>
          <w:sz w:val="21"/>
          <w:szCs w:val="21"/>
          <w:lang w:val="en-US" w:eastAsia="zh-CN"/>
        </w:rPr>
        <w:t>c</w:t>
      </w:r>
      <w:r>
        <w:rPr>
          <w:rFonts w:hint="default" w:ascii="Times New Roman" w:hAnsi="Times New Roman" w:eastAsia="宋体" w:cs="Times New Roman"/>
          <w:sz w:val="21"/>
          <w:szCs w:val="21"/>
          <w:lang w:val="en-US" w:eastAsia="zh-CN"/>
        </w:rPr>
        <w:t xml:space="preserve">ancer </w:t>
      </w:r>
      <w:r>
        <w:rPr>
          <w:rFonts w:hint="eastAsia" w:ascii="Times New Roman" w:hAnsi="Times New Roman" w:eastAsia="宋体" w:cs="Times New Roman"/>
          <w:sz w:val="21"/>
          <w:szCs w:val="21"/>
          <w:lang w:val="en-US" w:eastAsia="zh-CN"/>
        </w:rPr>
        <w:t>m</w:t>
      </w:r>
      <w:r>
        <w:rPr>
          <w:rFonts w:hint="default" w:ascii="Times New Roman" w:hAnsi="Times New Roman" w:eastAsia="宋体" w:cs="Times New Roman"/>
          <w:sz w:val="21"/>
          <w:szCs w:val="21"/>
          <w:lang w:val="en-US" w:eastAsia="zh-CN"/>
        </w:rPr>
        <w:t>etastasis</w:t>
      </w:r>
      <w:r>
        <w:rPr>
          <w:rFonts w:hint="eastAsia" w:ascii="Times New Roman" w:hAnsi="Times New Roman" w:eastAsia="宋体" w:cs="Times New Roman"/>
          <w:sz w:val="21"/>
          <w:szCs w:val="21"/>
          <w:lang w:val="en-US" w:eastAsia="zh-CN"/>
        </w:rPr>
        <w:t>, w</w:t>
      </w:r>
      <w:r>
        <w:rPr>
          <w:rFonts w:hint="default" w:ascii="Times New Roman" w:hAnsi="Times New Roman" w:eastAsia="宋体" w:cs="Times New Roman"/>
          <w:sz w:val="21"/>
          <w:szCs w:val="21"/>
          <w:lang w:val="en-US" w:eastAsia="zh-CN"/>
        </w:rPr>
        <w:t xml:space="preserve">hereas </w:t>
      </w:r>
      <w:r>
        <w:rPr>
          <w:rFonts w:hint="eastAsia" w:ascii="Times New Roman" w:hAnsi="Times New Roman" w:eastAsia="宋体" w:cs="Times New Roman"/>
          <w:sz w:val="21"/>
          <w:szCs w:val="21"/>
          <w:lang w:val="en-US" w:eastAsia="zh-CN"/>
        </w:rPr>
        <w:t>c</w:t>
      </w:r>
      <w:r>
        <w:rPr>
          <w:rFonts w:hint="default" w:ascii="Times New Roman" w:hAnsi="Times New Roman" w:eastAsia="宋体" w:cs="Times New Roman"/>
          <w:sz w:val="21"/>
          <w:szCs w:val="21"/>
          <w:lang w:val="en-US" w:eastAsia="zh-CN"/>
        </w:rPr>
        <w:t xml:space="preserve">yclocreatine </w:t>
      </w:r>
      <w:r>
        <w:rPr>
          <w:rFonts w:hint="eastAsia" w:ascii="Times New Roman" w:hAnsi="Times New Roman" w:eastAsia="宋体" w:cs="Times New Roman"/>
          <w:sz w:val="21"/>
          <w:szCs w:val="21"/>
          <w:lang w:val="en-US" w:eastAsia="zh-CN"/>
        </w:rPr>
        <w:t>t</w:t>
      </w:r>
      <w:r>
        <w:rPr>
          <w:rFonts w:hint="default" w:ascii="Times New Roman" w:hAnsi="Times New Roman" w:eastAsia="宋体" w:cs="Times New Roman"/>
          <w:sz w:val="21"/>
          <w:szCs w:val="21"/>
          <w:lang w:val="en-US" w:eastAsia="zh-CN"/>
        </w:rPr>
        <w:t xml:space="preserve">herapy </w:t>
      </w:r>
      <w:r>
        <w:rPr>
          <w:rFonts w:hint="eastAsia" w:ascii="Times New Roman" w:hAnsi="Times New Roman" w:eastAsia="宋体" w:cs="Times New Roman"/>
          <w:sz w:val="21"/>
          <w:szCs w:val="21"/>
          <w:lang w:val="en-US" w:eastAsia="zh-CN"/>
        </w:rPr>
        <w:t>i</w:t>
      </w:r>
      <w:r>
        <w:rPr>
          <w:rFonts w:hint="default" w:ascii="Times New Roman" w:hAnsi="Times New Roman" w:eastAsia="宋体" w:cs="Times New Roman"/>
          <w:sz w:val="21"/>
          <w:szCs w:val="21"/>
          <w:lang w:val="en-US" w:eastAsia="zh-CN"/>
        </w:rPr>
        <w:t xml:space="preserve">mpairs </w:t>
      </w:r>
      <w:r>
        <w:rPr>
          <w:rFonts w:hint="eastAsia" w:ascii="Times New Roman" w:hAnsi="Times New Roman" w:eastAsia="宋体" w:cs="Times New Roman"/>
          <w:sz w:val="21"/>
          <w:szCs w:val="21"/>
          <w:lang w:val="en-US" w:eastAsia="zh-CN"/>
        </w:rPr>
        <w:t>c</w:t>
      </w:r>
      <w:r>
        <w:rPr>
          <w:rFonts w:hint="default" w:ascii="Times New Roman" w:hAnsi="Times New Roman" w:eastAsia="宋体" w:cs="Times New Roman"/>
          <w:sz w:val="21"/>
          <w:szCs w:val="21"/>
          <w:lang w:val="en-US" w:eastAsia="zh-CN"/>
        </w:rPr>
        <w:t xml:space="preserve">ellular </w:t>
      </w:r>
      <w:r>
        <w:rPr>
          <w:rFonts w:hint="eastAsia" w:ascii="Times New Roman" w:hAnsi="Times New Roman" w:eastAsia="宋体" w:cs="Times New Roman"/>
          <w:sz w:val="21"/>
          <w:szCs w:val="21"/>
          <w:lang w:val="en-US" w:eastAsia="zh-CN"/>
        </w:rPr>
        <w:t>i</w:t>
      </w:r>
      <w:r>
        <w:rPr>
          <w:rFonts w:hint="default" w:ascii="Times New Roman" w:hAnsi="Times New Roman" w:eastAsia="宋体" w:cs="Times New Roman"/>
          <w:sz w:val="21"/>
          <w:szCs w:val="21"/>
          <w:lang w:val="en-US" w:eastAsia="zh-CN"/>
        </w:rPr>
        <w:t xml:space="preserve">nvasion and </w:t>
      </w:r>
      <w:r>
        <w:rPr>
          <w:rFonts w:hint="eastAsia" w:ascii="Times New Roman" w:hAnsi="Times New Roman" w:eastAsia="宋体" w:cs="Times New Roman"/>
          <w:sz w:val="21"/>
          <w:szCs w:val="21"/>
          <w:lang w:val="en-US" w:eastAsia="zh-CN"/>
        </w:rPr>
        <w:t>i</w:t>
      </w:r>
      <w:r>
        <w:rPr>
          <w:rFonts w:hint="default" w:ascii="Times New Roman" w:hAnsi="Times New Roman" w:eastAsia="宋体" w:cs="Times New Roman"/>
          <w:sz w:val="21"/>
          <w:szCs w:val="21"/>
          <w:lang w:val="en-US" w:eastAsia="zh-CN"/>
        </w:rPr>
        <w:t xml:space="preserve">mproves </w:t>
      </w:r>
      <w:r>
        <w:rPr>
          <w:rFonts w:hint="eastAsia" w:ascii="Times New Roman" w:hAnsi="Times New Roman" w:eastAsia="宋体" w:cs="Times New Roman"/>
          <w:sz w:val="21"/>
          <w:szCs w:val="21"/>
          <w:lang w:val="en-US" w:eastAsia="zh-CN"/>
        </w:rPr>
        <w:t>c</w:t>
      </w:r>
      <w:r>
        <w:rPr>
          <w:rFonts w:hint="default" w:ascii="Times New Roman" w:hAnsi="Times New Roman" w:eastAsia="宋体" w:cs="Times New Roman"/>
          <w:sz w:val="21"/>
          <w:szCs w:val="21"/>
          <w:lang w:val="en-US" w:eastAsia="zh-CN"/>
        </w:rPr>
        <w:t xml:space="preserve">hemotherapy </w:t>
      </w:r>
      <w:r>
        <w:rPr>
          <w:rFonts w:hint="eastAsia" w:ascii="Times New Roman" w:hAnsi="Times New Roman" w:eastAsia="宋体" w:cs="Times New Roman"/>
          <w:sz w:val="21"/>
          <w:szCs w:val="21"/>
          <w:lang w:val="en-US" w:eastAsia="zh-CN"/>
        </w:rPr>
        <w:t>e</w:t>
      </w:r>
      <w:r>
        <w:rPr>
          <w:rFonts w:hint="default" w:ascii="Times New Roman" w:hAnsi="Times New Roman" w:eastAsia="宋体" w:cs="Times New Roman"/>
          <w:sz w:val="21"/>
          <w:szCs w:val="21"/>
          <w:lang w:val="en-US" w:eastAsia="zh-CN"/>
        </w:rPr>
        <w:t>fficacy," Cancers, vol. 14, no. 1, p. 27, 2021.</w:t>
      </w:r>
    </w:p>
    <w:p w14:paraId="46087002">
      <w:pPr>
        <w:pStyle w:val="10"/>
        <w:widowControl/>
        <w:spacing w:line="240" w:lineRule="atLeast"/>
        <w:jc w:val="both"/>
        <w:rPr>
          <w:rFonts w:hint="default" w:ascii="Times New Roman" w:hAnsi="Times New Roman" w:eastAsia="宋体" w:cs="Times New Roman"/>
          <w:sz w:val="21"/>
          <w:szCs w:val="21"/>
          <w:lang w:val="en-US" w:eastAsia="zh-CN"/>
        </w:rPr>
      </w:pPr>
    </w:p>
    <w:p w14:paraId="7DE1D413">
      <w:pPr>
        <w:spacing w:after="240" w:line="360" w:lineRule="atLeast"/>
        <w:outlineLvl w:val="0"/>
        <w:rPr>
          <w:rFonts w:ascii="Times New Roman" w:hAnsi="Times New Roman" w:cs="Times New Roman"/>
          <w:b/>
          <w:bCs/>
          <w:szCs w:val="21"/>
        </w:rPr>
      </w:pPr>
      <w:r>
        <w:rPr>
          <w:rFonts w:ascii="Times New Roman" w:hAnsi="Times New Roman" w:cs="Times New Roman"/>
          <w:b/>
          <w:bCs/>
          <w:szCs w:val="21"/>
        </w:rPr>
        <w:t>Supplementary Note 2: Ablation studies of GMAMLink components</w:t>
      </w:r>
    </w:p>
    <w:p w14:paraId="5B91C713">
      <w:pPr>
        <w:pStyle w:val="10"/>
        <w:widowControl/>
        <w:spacing w:line="240" w:lineRule="atLeast"/>
        <w:ind w:firstLine="420" w:firstLineChars="200"/>
        <w:rPr>
          <w:rFonts w:ascii="Times New Roman" w:hAnsi="Times New Roman" w:cs="Times New Roman"/>
          <w:sz w:val="21"/>
          <w:szCs w:val="21"/>
        </w:rPr>
      </w:pPr>
      <w:r>
        <w:rPr>
          <w:rFonts w:ascii="Times New Roman" w:hAnsi="Times New Roman" w:cs="Times New Roman"/>
          <w:sz w:val="21"/>
          <w:szCs w:val="21"/>
        </w:rPr>
        <w:t xml:space="preserve">To systematically quantify the individual contributions of the GraphMAE and MLA components, we conducted comprehensive ablation experiments across all seven cell types. For each configuration, we created two ablation variants: </w:t>
      </w:r>
      <w:r>
        <w:rPr>
          <w:rFonts w:ascii="Times New Roman" w:hAnsi="Times New Roman" w:cs="Times New Roman"/>
          <w:b/>
          <w:bCs/>
          <w:sz w:val="21"/>
          <w:szCs w:val="21"/>
        </w:rPr>
        <w:t>(1) w/o GraphMAE</w:t>
      </w:r>
      <w:r>
        <w:rPr>
          <w:rFonts w:ascii="Times New Roman" w:hAnsi="Times New Roman" w:cs="Times New Roman"/>
          <w:sz w:val="21"/>
          <w:szCs w:val="21"/>
        </w:rPr>
        <w:t xml:space="preserve">, where the pre-trained GraphMAE embeddings were replaced with raw gene expression as node features, and </w:t>
      </w:r>
      <w:r>
        <w:rPr>
          <w:rFonts w:ascii="Times New Roman" w:hAnsi="Times New Roman" w:cs="Times New Roman"/>
          <w:b/>
          <w:bCs/>
          <w:sz w:val="21"/>
          <w:szCs w:val="21"/>
        </w:rPr>
        <w:t>(2) w/o MLA</w:t>
      </w:r>
      <w:r>
        <w:rPr>
          <w:rFonts w:ascii="Times New Roman" w:hAnsi="Times New Roman" w:cs="Times New Roman"/>
          <w:sz w:val="21"/>
          <w:szCs w:val="21"/>
        </w:rPr>
        <w:t>, where the multi-head latent attention mechanism was replaced with naive feature concatenation. All other model components and training procedures were kept identical to the full GMAMLink. Performance was evaluated using AUC averaged across the four benchmark networks (STRING, non-specific ChIP-seq, cell-type-specific ChIP-seq, and LOF/GOF) for both TFs+500 and TFs+1000 settings.</w:t>
      </w:r>
    </w:p>
    <w:p w14:paraId="028F0C95">
      <w:pPr>
        <w:pStyle w:val="10"/>
        <w:widowControl/>
        <w:spacing w:line="240" w:lineRule="atLeast"/>
        <w:ind w:firstLine="420" w:firstLineChars="200"/>
        <w:rPr>
          <w:rFonts w:ascii="Times New Roman" w:hAnsi="Times New Roman" w:cs="Times New Roman"/>
          <w:sz w:val="21"/>
          <w:szCs w:val="21"/>
        </w:rPr>
      </w:pPr>
      <w:r>
        <w:rPr>
          <w:rFonts w:ascii="Times New Roman" w:hAnsi="Times New Roman" w:cs="Times New Roman"/>
          <w:b/>
          <w:bCs/>
          <w:sz w:val="21"/>
          <w:szCs w:val="21"/>
        </w:rPr>
        <w:t xml:space="preserve">Figure S3 </w:t>
      </w:r>
      <w:r>
        <w:rPr>
          <w:rFonts w:ascii="Times New Roman" w:hAnsi="Times New Roman" w:cs="Times New Roman"/>
          <w:sz w:val="21"/>
          <w:szCs w:val="21"/>
        </w:rPr>
        <w:t>presents the complete ablation results across all cell types</w:t>
      </w:r>
      <w:r>
        <w:rPr>
          <w:rFonts w:hint="eastAsia" w:ascii="Times New Roman" w:hAnsi="Times New Roman" w:cs="Times New Roman"/>
          <w:sz w:val="21"/>
          <w:szCs w:val="21"/>
        </w:rPr>
        <w:t xml:space="preserve">. </w:t>
      </w:r>
      <w:r>
        <w:rPr>
          <w:rFonts w:ascii="Times New Roman" w:hAnsi="Times New Roman" w:cs="Times New Roman"/>
          <w:sz w:val="21"/>
          <w:szCs w:val="21"/>
        </w:rPr>
        <w:t>The key findings are summarized below:</w:t>
      </w:r>
    </w:p>
    <w:p w14:paraId="44E25A17">
      <w:pPr>
        <w:pStyle w:val="10"/>
        <w:widowControl/>
        <w:numPr>
          <w:ilvl w:val="0"/>
          <w:numId w:val="1"/>
        </w:numPr>
        <w:spacing w:line="240" w:lineRule="atLeast"/>
        <w:ind w:firstLine="420" w:firstLineChars="200"/>
        <w:rPr>
          <w:rFonts w:ascii="Times New Roman" w:hAnsi="Times New Roman" w:cs="Times New Roman"/>
          <w:sz w:val="21"/>
          <w:szCs w:val="21"/>
        </w:rPr>
      </w:pPr>
      <w:r>
        <w:rPr>
          <w:rFonts w:ascii="Times New Roman" w:hAnsi="Times New Roman" w:cs="Times New Roman"/>
          <w:b/>
          <w:bCs/>
          <w:sz w:val="21"/>
          <w:szCs w:val="21"/>
        </w:rPr>
        <w:t xml:space="preserve">GraphMAE contribution. </w:t>
      </w:r>
      <w:r>
        <w:rPr>
          <w:rFonts w:ascii="Times New Roman" w:hAnsi="Times New Roman" w:cs="Times New Roman"/>
          <w:sz w:val="21"/>
          <w:szCs w:val="21"/>
        </w:rPr>
        <w:t>Removing GraphMAE led to consistent performance degradation across all seven cell types under the TFs+500 setting, with AUC drops ranging from 0.01 to 0.07. Under the TFs+1000 setting, six out of seven cell types also exhibited declines between 0.02 and 0.06, with the sole exception of mHSC-L, where AUC remained nearly unchanged (from 0.86 to 0.85). The most substantial drops were observed in mESC (0.87 → 0.80 under TFs+500; 0.87 → 0.81 under TFs+1000) and mDC (0.89 → 0.83 under TFs+1000), highlighting the critical role of GraphMAE in capturing biologically meaningful features. These results confirm that GraphMAE consistently outperforms raw expression data across diverse cellular contexts.</w:t>
      </w:r>
    </w:p>
    <w:p w14:paraId="3AA6F368">
      <w:pPr>
        <w:pStyle w:val="10"/>
        <w:widowControl/>
        <w:numPr>
          <w:ilvl w:val="0"/>
          <w:numId w:val="1"/>
        </w:numPr>
        <w:spacing w:line="240" w:lineRule="atLeast"/>
        <w:ind w:firstLine="420" w:firstLineChars="200"/>
        <w:rPr>
          <w:rFonts w:ascii="Times New Roman" w:hAnsi="Times New Roman" w:cs="Times New Roman"/>
          <w:sz w:val="21"/>
          <w:szCs w:val="21"/>
        </w:rPr>
      </w:pPr>
      <w:r>
        <w:rPr>
          <w:rFonts w:ascii="Times New Roman" w:hAnsi="Times New Roman" w:cs="Times New Roman"/>
          <w:b/>
          <w:bCs/>
          <w:sz w:val="21"/>
          <w:szCs w:val="21"/>
        </w:rPr>
        <w:t xml:space="preserve">MLA contribution. </w:t>
      </w:r>
      <w:r>
        <w:rPr>
          <w:rFonts w:ascii="Times New Roman" w:hAnsi="Times New Roman" w:cs="Times New Roman"/>
          <w:sz w:val="21"/>
          <w:szCs w:val="21"/>
        </w:rPr>
        <w:t>The removal of MLA led to even more pronounced performance degradation in certain cell types, most notably in mHSC-L, where average AUC dropped from 0.87 to 0.72 under TFs+500 (a relative decrease of 17.2%) and from 0.85 to 0.73 under TFs+1000. Consistent performance declines were also observed across other cell types upon MLA removal, with AUC decreases ranging from 0.03 to 0.07 under TFs+500 and from 0.03 to 0.08 under TFs+1000. These results highlight the critical role of MLA in capturing complex regulatory interactions by adaptively fusing structural and semantic features, and confirm its consistent advantage over naive feature concatenation across diverse cellular contexts.</w:t>
      </w:r>
    </w:p>
    <w:p w14:paraId="31D4BF77">
      <w:pPr>
        <w:pStyle w:val="10"/>
        <w:widowControl/>
        <w:spacing w:line="240" w:lineRule="atLeast"/>
        <w:ind w:firstLine="420" w:firstLineChars="200"/>
        <w:rPr>
          <w:rFonts w:ascii="Times New Roman" w:hAnsi="Times New Roman" w:cs="Times New Roman"/>
          <w:sz w:val="21"/>
          <w:szCs w:val="21"/>
        </w:rPr>
      </w:pPr>
      <w:r>
        <w:rPr>
          <w:rFonts w:ascii="Times New Roman" w:hAnsi="Times New Roman" w:cs="Times New Roman"/>
          <w:b/>
          <w:bCs/>
          <w:sz w:val="21"/>
          <w:szCs w:val="21"/>
        </w:rPr>
        <w:t xml:space="preserve">Synergistic effects. </w:t>
      </w:r>
      <w:r>
        <w:rPr>
          <w:rFonts w:ascii="Times New Roman" w:hAnsi="Times New Roman" w:cs="Times New Roman"/>
          <w:sz w:val="21"/>
          <w:szCs w:val="21"/>
        </w:rPr>
        <w:t>Importantly, no ablation variant consistently outperformed the full GMAMLink model across the majority of datasets and settings. The synergy between GraphMAE and MLA is especially evident in cell types where removing either component led to performance dropping below that of baseline methods. These findings confirm that GraphMAE and MLA fulfill complementary roles: GraphMAE enhances feature robustness against noise, while MLA effectively integrates these representations with topological context for accurate link prediction.</w:t>
      </w: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990"/>
      </w:tblGrid>
      <w:tr w14:paraId="30C121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076" w:type="dxa"/>
          </w:tcPr>
          <w:p w14:paraId="49C1F42C">
            <w:pPr>
              <w:pStyle w:val="10"/>
              <w:widowControl/>
              <w:spacing w:line="240" w:lineRule="atLeast"/>
              <w:jc w:val="center"/>
              <w:rPr>
                <w:rFonts w:ascii="Times New Roman" w:hAnsi="Times New Roman" w:cs="Times New Roman"/>
                <w:sz w:val="21"/>
                <w:szCs w:val="21"/>
              </w:rPr>
            </w:pPr>
            <w:r>
              <w:rPr>
                <w:rFonts w:ascii="Times New Roman" w:hAnsi="Times New Roman" w:cs="Times New Roman"/>
                <w:sz w:val="21"/>
                <w:szCs w:val="21"/>
              </w:rPr>
              <w:drawing>
                <wp:inline distT="0" distB="0" distL="114300" distR="114300">
                  <wp:extent cx="2914015" cy="1336040"/>
                  <wp:effectExtent l="0" t="0" r="6985" b="10160"/>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6"/>
                          <a:stretch>
                            <a:fillRect/>
                          </a:stretch>
                        </pic:blipFill>
                        <pic:spPr>
                          <a:xfrm>
                            <a:off x="0" y="0"/>
                            <a:ext cx="2914015" cy="1336040"/>
                          </a:xfrm>
                          <a:prstGeom prst="rect">
                            <a:avLst/>
                          </a:prstGeom>
                          <a:noFill/>
                          <a:ln>
                            <a:noFill/>
                          </a:ln>
                        </pic:spPr>
                      </pic:pic>
                    </a:graphicData>
                  </a:graphic>
                </wp:inline>
              </w:drawing>
            </w:r>
          </w:p>
        </w:tc>
      </w:tr>
      <w:tr w14:paraId="7DFAA5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076" w:type="dxa"/>
          </w:tcPr>
          <w:p w14:paraId="7C3AFCA1">
            <w:pPr>
              <w:pStyle w:val="10"/>
              <w:widowControl/>
              <w:spacing w:line="240" w:lineRule="atLeast"/>
              <w:jc w:val="center"/>
              <w:rPr>
                <w:rFonts w:ascii="Times New Roman" w:hAnsi="Times New Roman" w:cs="Times New Roman"/>
                <w:sz w:val="21"/>
                <w:szCs w:val="21"/>
              </w:rPr>
            </w:pPr>
            <w:r>
              <w:rPr>
                <w:rFonts w:ascii="Times New Roman" w:hAnsi="Times New Roman" w:cs="Times New Roman"/>
                <w:sz w:val="21"/>
                <w:szCs w:val="21"/>
              </w:rPr>
              <w:drawing>
                <wp:inline distT="0" distB="0" distL="114300" distR="114300">
                  <wp:extent cx="2959735" cy="1459865"/>
                  <wp:effectExtent l="0" t="0" r="12065" b="635"/>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7"/>
                          <a:stretch>
                            <a:fillRect/>
                          </a:stretch>
                        </pic:blipFill>
                        <pic:spPr>
                          <a:xfrm>
                            <a:off x="0" y="0"/>
                            <a:ext cx="2959735" cy="1459865"/>
                          </a:xfrm>
                          <a:prstGeom prst="rect">
                            <a:avLst/>
                          </a:prstGeom>
                          <a:noFill/>
                          <a:ln>
                            <a:noFill/>
                          </a:ln>
                        </pic:spPr>
                      </pic:pic>
                    </a:graphicData>
                  </a:graphic>
                </wp:inline>
              </w:drawing>
            </w:r>
          </w:p>
        </w:tc>
      </w:tr>
      <w:tr w14:paraId="2E287F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076" w:type="dxa"/>
          </w:tcPr>
          <w:p w14:paraId="139AA13E">
            <w:pPr>
              <w:pStyle w:val="10"/>
              <w:widowControl/>
              <w:spacing w:line="240" w:lineRule="atLeast"/>
              <w:jc w:val="center"/>
              <w:rPr>
                <w:rFonts w:ascii="Times New Roman" w:hAnsi="Times New Roman" w:cs="Times New Roman"/>
                <w:sz w:val="21"/>
                <w:szCs w:val="21"/>
              </w:rPr>
            </w:pPr>
            <w:r>
              <w:rPr>
                <w:rFonts w:ascii="Times New Roman" w:hAnsi="Times New Roman" w:cs="Times New Roman"/>
                <w:sz w:val="21"/>
                <w:szCs w:val="21"/>
              </w:rPr>
              <w:drawing>
                <wp:inline distT="0" distB="0" distL="114300" distR="114300">
                  <wp:extent cx="2785110" cy="1529080"/>
                  <wp:effectExtent l="0" t="0" r="8890" b="7620"/>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8"/>
                          <a:stretch>
                            <a:fillRect/>
                          </a:stretch>
                        </pic:blipFill>
                        <pic:spPr>
                          <a:xfrm>
                            <a:off x="0" y="0"/>
                            <a:ext cx="2785110" cy="1529080"/>
                          </a:xfrm>
                          <a:prstGeom prst="rect">
                            <a:avLst/>
                          </a:prstGeom>
                          <a:noFill/>
                          <a:ln>
                            <a:noFill/>
                          </a:ln>
                        </pic:spPr>
                      </pic:pic>
                    </a:graphicData>
                  </a:graphic>
                </wp:inline>
              </w:drawing>
            </w:r>
          </w:p>
        </w:tc>
      </w:tr>
      <w:tr w14:paraId="29936C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076" w:type="dxa"/>
          </w:tcPr>
          <w:p w14:paraId="62C13822">
            <w:pPr>
              <w:pStyle w:val="10"/>
              <w:widowControl/>
              <w:spacing w:line="240" w:lineRule="atLeast"/>
              <w:jc w:val="center"/>
              <w:rPr>
                <w:rFonts w:ascii="Times New Roman" w:hAnsi="Times New Roman" w:cs="Times New Roman"/>
                <w:sz w:val="21"/>
                <w:szCs w:val="21"/>
              </w:rPr>
            </w:pPr>
            <w:r>
              <w:rPr>
                <w:rFonts w:ascii="Times New Roman" w:hAnsi="Times New Roman" w:cs="Times New Roman"/>
                <w:sz w:val="21"/>
                <w:szCs w:val="21"/>
              </w:rPr>
              <w:drawing>
                <wp:inline distT="0" distB="0" distL="114300" distR="114300">
                  <wp:extent cx="2828290" cy="1530350"/>
                  <wp:effectExtent l="0" t="0" r="3810" b="6350"/>
                  <wp:docPr id="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
                          <pic:cNvPicPr>
                            <a:picLocks noChangeAspect="1"/>
                          </pic:cNvPicPr>
                        </pic:nvPicPr>
                        <pic:blipFill>
                          <a:blip r:embed="rId9"/>
                          <a:stretch>
                            <a:fillRect/>
                          </a:stretch>
                        </pic:blipFill>
                        <pic:spPr>
                          <a:xfrm>
                            <a:off x="0" y="0"/>
                            <a:ext cx="2828290" cy="1530350"/>
                          </a:xfrm>
                          <a:prstGeom prst="rect">
                            <a:avLst/>
                          </a:prstGeom>
                          <a:noFill/>
                          <a:ln>
                            <a:noFill/>
                          </a:ln>
                        </pic:spPr>
                      </pic:pic>
                    </a:graphicData>
                  </a:graphic>
                </wp:inline>
              </w:drawing>
            </w:r>
          </w:p>
        </w:tc>
      </w:tr>
    </w:tbl>
    <w:p w14:paraId="17BC4FFC">
      <w:pPr>
        <w:pStyle w:val="10"/>
        <w:widowControl/>
        <w:spacing w:line="240" w:lineRule="atLeast"/>
        <w:rPr>
          <w:rFonts w:ascii="Times New Roman" w:hAnsi="Times New Roman" w:eastAsia="宋体" w:cs="Times New Roman"/>
          <w:sz w:val="21"/>
          <w:szCs w:val="21"/>
        </w:rPr>
      </w:pPr>
      <w:r>
        <w:rPr>
          <w:rFonts w:ascii="Times New Roman" w:hAnsi="Times New Roman" w:eastAsia="宋体" w:cs="Times New Roman"/>
          <w:b/>
          <w:bCs/>
          <w:sz w:val="21"/>
          <w:szCs w:val="21"/>
        </w:rPr>
        <w:t xml:space="preserve">Figure S3. Ablation studies quantifying component contributions. </w:t>
      </w:r>
      <w:r>
        <w:rPr>
          <w:rFonts w:ascii="Times New Roman" w:hAnsi="Times New Roman" w:eastAsia="宋体" w:cs="Times New Roman"/>
          <w:sz w:val="21"/>
          <w:szCs w:val="21"/>
        </w:rPr>
        <w:t>Performance comparison of full GMAMLink against variants lacking GraphMAE or MLA across multiple cell types under (A) TFs+500 and (B) TFs+1000 settings. Values represent mean AUC averaged across four benchmark networks. The full model consistently outperforms ablation variants, with the most pronounced gaps observed in mESC (GraphMAE ablation) and mHSC-L (MLA ablation).</w:t>
      </w:r>
    </w:p>
    <w:p w14:paraId="178713D5">
      <w:pPr>
        <w:spacing w:before="240" w:after="240" w:line="360" w:lineRule="atLeast"/>
        <w:outlineLvl w:val="0"/>
        <w:rPr>
          <w:rFonts w:ascii="Times New Roman" w:hAnsi="Times New Roman" w:cs="Times New Roman"/>
          <w:b/>
          <w:bCs/>
          <w:szCs w:val="21"/>
        </w:rPr>
      </w:pPr>
      <w:r>
        <w:rPr>
          <w:rFonts w:ascii="Times New Roman" w:hAnsi="Times New Roman" w:cs="Times New Roman"/>
          <w:b/>
          <w:bCs/>
          <w:szCs w:val="21"/>
        </w:rPr>
        <w:t>Supplementary Note 3</w:t>
      </w:r>
      <w:r>
        <w:rPr>
          <w:rFonts w:hint="eastAsia" w:ascii="Times New Roman" w:hAnsi="Times New Roman" w:cs="Times New Roman"/>
          <w:b/>
          <w:bCs/>
          <w:szCs w:val="21"/>
        </w:rPr>
        <w:t>: Functional enrichment and hub gene analysis of metastasis-specific GRNs</w:t>
      </w:r>
    </w:p>
    <w:p w14:paraId="34109571">
      <w:pPr>
        <w:pStyle w:val="10"/>
        <w:widowControl/>
        <w:spacing w:before="240" w:line="240" w:lineRule="atLeast"/>
        <w:rPr>
          <w:rFonts w:ascii="Times New Roman" w:hAnsi="Times New Roman" w:cs="Times New Roman"/>
          <w:sz w:val="21"/>
          <w:szCs w:val="21"/>
        </w:rPr>
      </w:pPr>
      <w:r>
        <w:rPr>
          <w:rFonts w:ascii="Times New Roman" w:hAnsi="Times New Roman" w:cs="Times New Roman"/>
          <w:b/>
          <w:bCs/>
          <w:sz w:val="21"/>
          <w:szCs w:val="21"/>
        </w:rPr>
        <w:t>Table S1.</w:t>
      </w:r>
      <w:r>
        <w:rPr>
          <w:rFonts w:ascii="Times New Roman" w:hAnsi="Times New Roman" w:cs="Times New Roman"/>
          <w:sz w:val="21"/>
          <w:szCs w:val="21"/>
        </w:rPr>
        <w:t xml:space="preserve"> The enriched outcome of the GRN of metastasis and primary tumor.</w:t>
      </w:r>
    </w:p>
    <w:tbl>
      <w:tblPr>
        <w:tblStyle w:val="11"/>
        <w:tblW w:w="5000" w:type="pct"/>
        <w:tblInd w:w="0" w:type="dxa"/>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954"/>
        <w:gridCol w:w="996"/>
        <w:gridCol w:w="1040"/>
      </w:tblGrid>
      <w:tr w14:paraId="5B3E901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2959" w:type="pct"/>
            <w:tcBorders>
              <w:top w:val="single" w:color="auto" w:sz="8" w:space="0"/>
              <w:bottom w:val="single" w:color="auto" w:sz="4" w:space="0"/>
            </w:tcBorders>
            <w:noWrap/>
            <w:vAlign w:val="center"/>
          </w:tcPr>
          <w:p w14:paraId="7B41D954">
            <w:pPr>
              <w:pStyle w:val="18"/>
              <w:spacing w:before="0" w:after="0" w:line="240" w:lineRule="atLeast"/>
              <w:rPr>
                <w:rFonts w:ascii="Times New Roman" w:hAnsi="Times New Roman" w:cs="Times New Roman"/>
                <w:sz w:val="21"/>
                <w:szCs w:val="21"/>
              </w:rPr>
            </w:pPr>
            <w:r>
              <w:rPr>
                <w:rFonts w:ascii="Times New Roman" w:hAnsi="Times New Roman" w:cs="Times New Roman"/>
                <w:sz w:val="21"/>
                <w:szCs w:val="21"/>
              </w:rPr>
              <w:t>Pathway</w:t>
            </w:r>
          </w:p>
        </w:tc>
        <w:tc>
          <w:tcPr>
            <w:tcW w:w="997" w:type="pct"/>
            <w:tcBorders>
              <w:top w:val="single" w:color="auto" w:sz="8" w:space="0"/>
              <w:bottom w:val="single" w:color="auto" w:sz="4" w:space="0"/>
            </w:tcBorders>
            <w:noWrap/>
            <w:vAlign w:val="center"/>
          </w:tcPr>
          <w:p w14:paraId="283B5E15">
            <w:pPr>
              <w:pStyle w:val="18"/>
              <w:spacing w:before="0" w:after="0" w:line="240" w:lineRule="atLeast"/>
              <w:jc w:val="center"/>
              <w:rPr>
                <w:rFonts w:ascii="Times New Roman" w:hAnsi="Times New Roman" w:cs="Times New Roman"/>
                <w:sz w:val="21"/>
                <w:szCs w:val="21"/>
              </w:rPr>
            </w:pPr>
            <m:oMath>
              <m:sSub>
                <m:sSubPr>
                  <m:ctrlPr>
                    <w:rPr>
                      <w:rFonts w:ascii="Cambria Math" w:hAnsi="Cambria Math" w:cs="Times New Roman"/>
                      <w:sz w:val="21"/>
                      <w:szCs w:val="21"/>
                    </w:rPr>
                  </m:ctrlPr>
                </m:sSubPr>
                <m:e>
                  <m:r>
                    <m:rPr/>
                    <w:rPr>
                      <w:rFonts w:ascii="Cambria Math" w:hAnsi="Cambria Math" w:cs="Times New Roman"/>
                      <w:sz w:val="21"/>
                      <w:szCs w:val="21"/>
                    </w:rPr>
                    <m:t>P</m:t>
                  </m:r>
                  <m:ctrlPr>
                    <w:rPr>
                      <w:rFonts w:ascii="Cambria Math" w:hAnsi="Cambria Math" w:cs="Times New Roman"/>
                      <w:sz w:val="21"/>
                      <w:szCs w:val="21"/>
                    </w:rPr>
                  </m:ctrlPr>
                </m:e>
                <m:sub>
                  <m:r>
                    <m:rPr/>
                    <w:rPr>
                      <w:rFonts w:ascii="Cambria Math" w:hAnsi="Cambria Math" w:cs="Times New Roman"/>
                      <w:sz w:val="21"/>
                      <w:szCs w:val="21"/>
                    </w:rPr>
                    <m:t>p</m:t>
                  </m:r>
                  <m:ctrlPr>
                    <w:rPr>
                      <w:rFonts w:ascii="Cambria Math" w:hAnsi="Cambria Math" w:cs="Times New Roman"/>
                      <w:sz w:val="21"/>
                      <w:szCs w:val="21"/>
                    </w:rPr>
                  </m:ctrlPr>
                </m:sub>
              </m:sSub>
            </m:oMath>
            <w:r>
              <w:rPr>
                <w:rFonts w:ascii="Times New Roman" w:hAnsi="Times New Roman" w:cs="Times New Roman"/>
                <w:sz w:val="21"/>
                <w:szCs w:val="21"/>
              </w:rPr>
              <w:t xml:space="preserve"> adj</w:t>
            </w:r>
          </w:p>
        </w:tc>
        <w:tc>
          <w:tcPr>
            <w:tcW w:w="1042" w:type="pct"/>
            <w:tcBorders>
              <w:top w:val="single" w:color="auto" w:sz="8" w:space="0"/>
              <w:bottom w:val="single" w:color="auto" w:sz="4" w:space="0"/>
            </w:tcBorders>
            <w:noWrap/>
            <w:vAlign w:val="center"/>
          </w:tcPr>
          <w:p w14:paraId="08951B22">
            <w:pPr>
              <w:pStyle w:val="18"/>
              <w:spacing w:before="0" w:after="0" w:line="240" w:lineRule="atLeast"/>
              <w:jc w:val="center"/>
              <w:rPr>
                <w:rFonts w:ascii="Times New Roman" w:hAnsi="Times New Roman" w:cs="Times New Roman"/>
                <w:sz w:val="21"/>
                <w:szCs w:val="21"/>
              </w:rPr>
            </w:pPr>
            <m:oMath>
              <m:sSub>
                <m:sSubPr>
                  <m:ctrlPr>
                    <w:rPr>
                      <w:rFonts w:ascii="Cambria Math" w:hAnsi="Cambria Math" w:cs="Times New Roman"/>
                      <w:sz w:val="21"/>
                      <w:szCs w:val="21"/>
                    </w:rPr>
                  </m:ctrlPr>
                </m:sSubPr>
                <m:e>
                  <m:r>
                    <m:rPr/>
                    <w:rPr>
                      <w:rFonts w:ascii="Cambria Math" w:hAnsi="Cambria Math" w:cs="Times New Roman"/>
                      <w:sz w:val="21"/>
                      <w:szCs w:val="21"/>
                    </w:rPr>
                    <m:t>P</m:t>
                  </m:r>
                  <m:ctrlPr>
                    <w:rPr>
                      <w:rFonts w:ascii="Cambria Math" w:hAnsi="Cambria Math" w:cs="Times New Roman"/>
                      <w:sz w:val="21"/>
                      <w:szCs w:val="21"/>
                    </w:rPr>
                  </m:ctrlPr>
                </m:e>
                <m:sub>
                  <m:r>
                    <m:rPr/>
                    <w:rPr>
                      <w:rFonts w:ascii="Cambria Math" w:hAnsi="Cambria Math" w:cs="Times New Roman"/>
                      <w:sz w:val="21"/>
                      <w:szCs w:val="21"/>
                    </w:rPr>
                    <m:t>m</m:t>
                  </m:r>
                  <m:ctrlPr>
                    <w:rPr>
                      <w:rFonts w:ascii="Cambria Math" w:hAnsi="Cambria Math" w:cs="Times New Roman"/>
                      <w:sz w:val="21"/>
                      <w:szCs w:val="21"/>
                    </w:rPr>
                  </m:ctrlPr>
                </m:sub>
              </m:sSub>
            </m:oMath>
            <w:r>
              <w:rPr>
                <w:rFonts w:ascii="Times New Roman" w:hAnsi="Times New Roman" w:cs="Times New Roman"/>
                <w:sz w:val="21"/>
                <w:szCs w:val="21"/>
              </w:rPr>
              <w:t xml:space="preserve"> adj</w:t>
            </w:r>
          </w:p>
        </w:tc>
      </w:tr>
      <w:tr w14:paraId="3F63B40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2959" w:type="pct"/>
            <w:tcBorders>
              <w:top w:val="single" w:color="auto" w:sz="4" w:space="0"/>
            </w:tcBorders>
            <w:noWrap/>
            <w:vAlign w:val="center"/>
          </w:tcPr>
          <w:p w14:paraId="0A2B7B2F">
            <w:pPr>
              <w:pStyle w:val="18"/>
              <w:spacing w:before="0" w:after="0" w:line="240" w:lineRule="atLeast"/>
              <w:rPr>
                <w:rFonts w:ascii="Times New Roman" w:hAnsi="Times New Roman" w:cs="Times New Roman"/>
                <w:sz w:val="21"/>
                <w:szCs w:val="21"/>
              </w:rPr>
            </w:pPr>
            <w:r>
              <w:rPr>
                <w:rFonts w:ascii="Times New Roman" w:hAnsi="Times New Roman" w:cs="Times New Roman"/>
                <w:sz w:val="21"/>
                <w:szCs w:val="21"/>
              </w:rPr>
              <w:t>Breast cancer</w:t>
            </w:r>
          </w:p>
        </w:tc>
        <w:tc>
          <w:tcPr>
            <w:tcW w:w="997" w:type="pct"/>
            <w:tcBorders>
              <w:top w:val="single" w:color="auto" w:sz="4" w:space="0"/>
            </w:tcBorders>
            <w:noWrap/>
            <w:vAlign w:val="center"/>
          </w:tcPr>
          <w:p w14:paraId="41217AF6">
            <w:pPr>
              <w:pStyle w:val="18"/>
              <w:spacing w:before="0" w:after="0" w:line="240" w:lineRule="atLeast"/>
              <w:rPr>
                <w:rFonts w:ascii="Times New Roman" w:hAnsi="Times New Roman" w:cs="Times New Roman"/>
                <w:sz w:val="21"/>
                <w:szCs w:val="21"/>
              </w:rPr>
            </w:pPr>
            <w:r>
              <w:rPr>
                <w:rFonts w:ascii="Times New Roman" w:hAnsi="Times New Roman" w:cs="Times New Roman"/>
                <w:sz w:val="21"/>
                <w:szCs w:val="21"/>
              </w:rPr>
              <w:t>5.88E-64</w:t>
            </w:r>
          </w:p>
        </w:tc>
        <w:tc>
          <w:tcPr>
            <w:tcW w:w="1042" w:type="pct"/>
            <w:tcBorders>
              <w:top w:val="single" w:color="auto" w:sz="4" w:space="0"/>
            </w:tcBorders>
            <w:noWrap/>
            <w:vAlign w:val="center"/>
          </w:tcPr>
          <w:p w14:paraId="3C7714BF">
            <w:pPr>
              <w:pStyle w:val="18"/>
              <w:spacing w:before="0" w:after="0" w:line="240" w:lineRule="atLeast"/>
              <w:rPr>
                <w:rFonts w:ascii="Times New Roman" w:hAnsi="Times New Roman" w:cs="Times New Roman"/>
                <w:sz w:val="21"/>
                <w:szCs w:val="21"/>
              </w:rPr>
            </w:pPr>
            <w:r>
              <w:rPr>
                <w:rFonts w:ascii="Times New Roman" w:hAnsi="Times New Roman" w:cs="Times New Roman"/>
                <w:sz w:val="21"/>
                <w:szCs w:val="21"/>
              </w:rPr>
              <w:t>4.91E-64</w:t>
            </w:r>
          </w:p>
        </w:tc>
      </w:tr>
      <w:tr w14:paraId="06E2666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2959" w:type="pct"/>
            <w:noWrap/>
            <w:vAlign w:val="center"/>
          </w:tcPr>
          <w:p w14:paraId="6EFD9BA6">
            <w:pPr>
              <w:pStyle w:val="18"/>
              <w:spacing w:before="0" w:after="0" w:line="240" w:lineRule="atLeast"/>
              <w:rPr>
                <w:rFonts w:ascii="Times New Roman" w:hAnsi="Times New Roman" w:cs="Times New Roman"/>
                <w:sz w:val="21"/>
                <w:szCs w:val="21"/>
              </w:rPr>
            </w:pPr>
            <w:r>
              <w:rPr>
                <w:rFonts w:ascii="Times New Roman" w:hAnsi="Times New Roman" w:cs="Times New Roman"/>
                <w:sz w:val="21"/>
                <w:szCs w:val="21"/>
              </w:rPr>
              <w:t>Pathway in cancer</w:t>
            </w:r>
          </w:p>
        </w:tc>
        <w:tc>
          <w:tcPr>
            <w:tcW w:w="997" w:type="pct"/>
            <w:noWrap/>
            <w:vAlign w:val="center"/>
          </w:tcPr>
          <w:p w14:paraId="124910DD">
            <w:pPr>
              <w:pStyle w:val="18"/>
              <w:spacing w:before="0" w:after="0" w:line="240" w:lineRule="atLeast"/>
              <w:rPr>
                <w:rFonts w:ascii="Times New Roman" w:hAnsi="Times New Roman" w:cs="Times New Roman"/>
                <w:sz w:val="21"/>
                <w:szCs w:val="21"/>
              </w:rPr>
            </w:pPr>
            <w:r>
              <w:rPr>
                <w:rFonts w:ascii="Times New Roman" w:hAnsi="Times New Roman" w:cs="Times New Roman"/>
                <w:sz w:val="21"/>
                <w:szCs w:val="21"/>
              </w:rPr>
              <w:t>1.61E-30</w:t>
            </w:r>
          </w:p>
        </w:tc>
        <w:tc>
          <w:tcPr>
            <w:tcW w:w="1042" w:type="pct"/>
            <w:noWrap/>
            <w:vAlign w:val="center"/>
          </w:tcPr>
          <w:p w14:paraId="1818B4F2">
            <w:pPr>
              <w:pStyle w:val="18"/>
              <w:spacing w:before="0" w:after="0" w:line="240" w:lineRule="atLeast"/>
              <w:rPr>
                <w:rFonts w:ascii="Times New Roman" w:hAnsi="Times New Roman" w:cs="Times New Roman"/>
                <w:sz w:val="21"/>
                <w:szCs w:val="21"/>
              </w:rPr>
            </w:pPr>
            <w:r>
              <w:rPr>
                <w:rFonts w:ascii="Times New Roman" w:hAnsi="Times New Roman" w:cs="Times New Roman"/>
                <w:sz w:val="21"/>
                <w:szCs w:val="21"/>
              </w:rPr>
              <w:t>7.00E-30</w:t>
            </w:r>
          </w:p>
        </w:tc>
      </w:tr>
      <w:tr w14:paraId="1EC1D29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2959" w:type="pct"/>
            <w:noWrap/>
            <w:vAlign w:val="center"/>
          </w:tcPr>
          <w:p w14:paraId="367F69FD">
            <w:pPr>
              <w:pStyle w:val="18"/>
              <w:spacing w:before="0" w:after="0" w:line="240" w:lineRule="atLeast"/>
              <w:rPr>
                <w:rFonts w:ascii="Times New Roman" w:hAnsi="Times New Roman" w:cs="Times New Roman"/>
                <w:sz w:val="21"/>
                <w:szCs w:val="21"/>
              </w:rPr>
            </w:pPr>
            <w:r>
              <w:rPr>
                <w:rFonts w:ascii="Times New Roman" w:hAnsi="Times New Roman" w:cs="Times New Roman"/>
                <w:sz w:val="21"/>
                <w:szCs w:val="21"/>
              </w:rPr>
              <w:t>Cell cycle</w:t>
            </w:r>
          </w:p>
        </w:tc>
        <w:tc>
          <w:tcPr>
            <w:tcW w:w="997" w:type="pct"/>
            <w:noWrap/>
            <w:vAlign w:val="center"/>
          </w:tcPr>
          <w:p w14:paraId="5111F051">
            <w:pPr>
              <w:pStyle w:val="18"/>
              <w:spacing w:before="0" w:after="0" w:line="240" w:lineRule="atLeast"/>
              <w:rPr>
                <w:rFonts w:ascii="Times New Roman" w:hAnsi="Times New Roman" w:cs="Times New Roman"/>
                <w:sz w:val="21"/>
                <w:szCs w:val="21"/>
              </w:rPr>
            </w:pPr>
            <w:r>
              <w:rPr>
                <w:rFonts w:ascii="Times New Roman" w:hAnsi="Times New Roman" w:cs="Times New Roman"/>
                <w:sz w:val="21"/>
                <w:szCs w:val="21"/>
              </w:rPr>
              <w:t>5.30E-10</w:t>
            </w:r>
          </w:p>
        </w:tc>
        <w:tc>
          <w:tcPr>
            <w:tcW w:w="1042" w:type="pct"/>
            <w:noWrap/>
            <w:vAlign w:val="center"/>
          </w:tcPr>
          <w:p w14:paraId="383D325C">
            <w:pPr>
              <w:pStyle w:val="18"/>
              <w:spacing w:before="0" w:after="0" w:line="240" w:lineRule="atLeast"/>
              <w:rPr>
                <w:rFonts w:ascii="Times New Roman" w:hAnsi="Times New Roman" w:cs="Times New Roman"/>
                <w:sz w:val="21"/>
                <w:szCs w:val="21"/>
              </w:rPr>
            </w:pPr>
            <w:r>
              <w:rPr>
                <w:rFonts w:ascii="Times New Roman" w:hAnsi="Times New Roman" w:cs="Times New Roman"/>
                <w:sz w:val="21"/>
                <w:szCs w:val="21"/>
              </w:rPr>
              <w:t>5.19E-10</w:t>
            </w:r>
          </w:p>
        </w:tc>
      </w:tr>
      <w:tr w14:paraId="1E9E929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2959" w:type="pct"/>
            <w:noWrap/>
            <w:vAlign w:val="center"/>
          </w:tcPr>
          <w:p w14:paraId="0CB86BD5">
            <w:pPr>
              <w:pStyle w:val="18"/>
              <w:spacing w:before="0" w:after="0" w:line="240" w:lineRule="atLeast"/>
              <w:rPr>
                <w:rFonts w:ascii="Times New Roman" w:hAnsi="Times New Roman" w:cs="Times New Roman"/>
                <w:sz w:val="21"/>
                <w:szCs w:val="21"/>
              </w:rPr>
            </w:pPr>
            <w:r>
              <w:rPr>
                <w:rFonts w:ascii="Times New Roman" w:hAnsi="Times New Roman" w:cs="Times New Roman"/>
                <w:sz w:val="21"/>
                <w:szCs w:val="21"/>
              </w:rPr>
              <w:t>Cell differentiation (GO:0030154)</w:t>
            </w:r>
          </w:p>
        </w:tc>
        <w:tc>
          <w:tcPr>
            <w:tcW w:w="997" w:type="pct"/>
            <w:noWrap/>
            <w:vAlign w:val="center"/>
          </w:tcPr>
          <w:p w14:paraId="1A0D8BB8">
            <w:pPr>
              <w:pStyle w:val="18"/>
              <w:spacing w:before="0" w:after="0" w:line="240" w:lineRule="atLeast"/>
              <w:rPr>
                <w:rFonts w:ascii="Times New Roman" w:hAnsi="Times New Roman" w:cs="Times New Roman"/>
                <w:sz w:val="21"/>
                <w:szCs w:val="21"/>
              </w:rPr>
            </w:pPr>
            <w:r>
              <w:rPr>
                <w:rFonts w:ascii="Times New Roman" w:hAnsi="Times New Roman" w:cs="Times New Roman"/>
                <w:sz w:val="21"/>
                <w:szCs w:val="21"/>
              </w:rPr>
              <w:t>2.45E-10</w:t>
            </w:r>
          </w:p>
        </w:tc>
        <w:tc>
          <w:tcPr>
            <w:tcW w:w="1042" w:type="pct"/>
            <w:noWrap/>
            <w:vAlign w:val="center"/>
          </w:tcPr>
          <w:p w14:paraId="14B5D44F">
            <w:pPr>
              <w:pStyle w:val="18"/>
              <w:spacing w:before="0" w:after="0" w:line="240" w:lineRule="atLeast"/>
              <w:rPr>
                <w:rFonts w:ascii="Times New Roman" w:hAnsi="Times New Roman" w:cs="Times New Roman"/>
                <w:sz w:val="21"/>
                <w:szCs w:val="21"/>
              </w:rPr>
            </w:pPr>
            <w:r>
              <w:rPr>
                <w:rFonts w:ascii="Times New Roman" w:hAnsi="Times New Roman" w:cs="Times New Roman"/>
                <w:sz w:val="21"/>
                <w:szCs w:val="21"/>
              </w:rPr>
              <w:t>1.83E-10</w:t>
            </w:r>
          </w:p>
        </w:tc>
      </w:tr>
      <w:tr w14:paraId="062C1F3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2959" w:type="pct"/>
            <w:noWrap/>
            <w:vAlign w:val="center"/>
          </w:tcPr>
          <w:p w14:paraId="446ABE64">
            <w:pPr>
              <w:pStyle w:val="18"/>
              <w:spacing w:before="0" w:after="0" w:line="240" w:lineRule="atLeast"/>
              <w:rPr>
                <w:rFonts w:ascii="Times New Roman" w:hAnsi="Times New Roman" w:cs="Times New Roman"/>
                <w:sz w:val="21"/>
                <w:szCs w:val="21"/>
              </w:rPr>
            </w:pPr>
            <w:r>
              <w:rPr>
                <w:rFonts w:ascii="Times New Roman" w:hAnsi="Times New Roman" w:cs="Times New Roman"/>
                <w:sz w:val="21"/>
                <w:szCs w:val="21"/>
              </w:rPr>
              <w:t>Regulation of cell differentiation (GO:0045595)</w:t>
            </w:r>
          </w:p>
        </w:tc>
        <w:tc>
          <w:tcPr>
            <w:tcW w:w="997" w:type="pct"/>
            <w:noWrap/>
            <w:vAlign w:val="center"/>
          </w:tcPr>
          <w:p w14:paraId="4E16CEC1">
            <w:pPr>
              <w:pStyle w:val="18"/>
              <w:spacing w:before="0" w:after="0" w:line="240" w:lineRule="atLeast"/>
              <w:rPr>
                <w:rFonts w:ascii="Times New Roman" w:hAnsi="Times New Roman" w:cs="Times New Roman"/>
                <w:sz w:val="21"/>
                <w:szCs w:val="21"/>
              </w:rPr>
            </w:pPr>
            <w:r>
              <w:rPr>
                <w:rFonts w:ascii="Times New Roman" w:hAnsi="Times New Roman" w:cs="Times New Roman"/>
                <w:sz w:val="21"/>
                <w:szCs w:val="21"/>
              </w:rPr>
              <w:t>1.55E-08</w:t>
            </w:r>
          </w:p>
        </w:tc>
        <w:tc>
          <w:tcPr>
            <w:tcW w:w="1042" w:type="pct"/>
            <w:noWrap/>
            <w:vAlign w:val="center"/>
          </w:tcPr>
          <w:p w14:paraId="5C06A671">
            <w:pPr>
              <w:pStyle w:val="18"/>
              <w:spacing w:before="0" w:after="0" w:line="240" w:lineRule="atLeast"/>
              <w:rPr>
                <w:rFonts w:ascii="Times New Roman" w:hAnsi="Times New Roman" w:cs="Times New Roman"/>
                <w:sz w:val="21"/>
                <w:szCs w:val="21"/>
              </w:rPr>
            </w:pPr>
            <w:r>
              <w:rPr>
                <w:rFonts w:ascii="Times New Roman" w:hAnsi="Times New Roman" w:cs="Times New Roman"/>
                <w:sz w:val="21"/>
                <w:szCs w:val="21"/>
              </w:rPr>
              <w:t>1.31E-08</w:t>
            </w:r>
          </w:p>
        </w:tc>
      </w:tr>
      <w:tr w14:paraId="75C61CC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2959" w:type="pct"/>
            <w:noWrap/>
            <w:vAlign w:val="center"/>
          </w:tcPr>
          <w:p w14:paraId="65B60C25">
            <w:pPr>
              <w:pStyle w:val="18"/>
              <w:spacing w:before="0" w:after="0" w:line="240" w:lineRule="atLeast"/>
              <w:rPr>
                <w:rFonts w:ascii="Times New Roman" w:hAnsi="Times New Roman" w:cs="Times New Roman"/>
                <w:sz w:val="21"/>
                <w:szCs w:val="21"/>
              </w:rPr>
            </w:pPr>
            <w:r>
              <w:rPr>
                <w:rFonts w:ascii="Times New Roman" w:hAnsi="Times New Roman" w:cs="Times New Roman"/>
                <w:sz w:val="21"/>
                <w:szCs w:val="21"/>
              </w:rPr>
              <w:t>Positive regulation of macromolecule biosynthetic process (GO:0010557)</w:t>
            </w:r>
          </w:p>
        </w:tc>
        <w:tc>
          <w:tcPr>
            <w:tcW w:w="997" w:type="pct"/>
            <w:noWrap/>
            <w:vAlign w:val="center"/>
          </w:tcPr>
          <w:p w14:paraId="13FCC3C2">
            <w:pPr>
              <w:pStyle w:val="18"/>
              <w:spacing w:before="0" w:after="0" w:line="240" w:lineRule="atLeast"/>
              <w:rPr>
                <w:rFonts w:ascii="Times New Roman" w:hAnsi="Times New Roman" w:cs="Times New Roman"/>
                <w:sz w:val="21"/>
                <w:szCs w:val="21"/>
              </w:rPr>
            </w:pPr>
            <w:r>
              <w:rPr>
                <w:rFonts w:ascii="Times New Roman" w:hAnsi="Times New Roman" w:cs="Times New Roman"/>
                <w:sz w:val="21"/>
                <w:szCs w:val="21"/>
              </w:rPr>
              <w:t>5.71E-31</w:t>
            </w:r>
          </w:p>
        </w:tc>
        <w:tc>
          <w:tcPr>
            <w:tcW w:w="1042" w:type="pct"/>
            <w:noWrap/>
            <w:vAlign w:val="center"/>
          </w:tcPr>
          <w:p w14:paraId="62EE948F">
            <w:pPr>
              <w:pStyle w:val="18"/>
              <w:spacing w:before="0" w:after="0" w:line="240" w:lineRule="atLeast"/>
              <w:rPr>
                <w:rFonts w:ascii="Times New Roman" w:hAnsi="Times New Roman" w:cs="Times New Roman"/>
                <w:sz w:val="21"/>
                <w:szCs w:val="21"/>
              </w:rPr>
            </w:pPr>
            <w:r>
              <w:rPr>
                <w:rFonts w:ascii="Times New Roman" w:hAnsi="Times New Roman" w:cs="Times New Roman"/>
                <w:sz w:val="21"/>
                <w:szCs w:val="21"/>
              </w:rPr>
              <w:t>9.51E-31</w:t>
            </w:r>
          </w:p>
        </w:tc>
      </w:tr>
      <w:tr w14:paraId="12E7974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2959" w:type="pct"/>
            <w:noWrap/>
            <w:vAlign w:val="center"/>
          </w:tcPr>
          <w:p w14:paraId="4C4B98B2">
            <w:pPr>
              <w:pStyle w:val="18"/>
              <w:spacing w:before="0" w:after="0" w:line="240" w:lineRule="atLeast"/>
              <w:rPr>
                <w:rFonts w:ascii="Times New Roman" w:hAnsi="Times New Roman" w:cs="Times New Roman"/>
                <w:sz w:val="21"/>
                <w:szCs w:val="21"/>
              </w:rPr>
            </w:pPr>
            <w:r>
              <w:rPr>
                <w:rFonts w:ascii="Times New Roman" w:hAnsi="Times New Roman" w:cs="Times New Roman"/>
                <w:sz w:val="21"/>
                <w:szCs w:val="21"/>
              </w:rPr>
              <w:t>Positive regulation of DNA biosynthetic process (GO:2000573)</w:t>
            </w:r>
          </w:p>
        </w:tc>
        <w:tc>
          <w:tcPr>
            <w:tcW w:w="997" w:type="pct"/>
            <w:noWrap/>
            <w:vAlign w:val="center"/>
          </w:tcPr>
          <w:p w14:paraId="0B2DD5BC">
            <w:pPr>
              <w:pStyle w:val="18"/>
              <w:spacing w:before="0" w:after="0" w:line="240" w:lineRule="atLeast"/>
              <w:rPr>
                <w:rFonts w:ascii="Times New Roman" w:hAnsi="Times New Roman" w:cs="Times New Roman"/>
                <w:sz w:val="21"/>
                <w:szCs w:val="21"/>
              </w:rPr>
            </w:pPr>
            <w:r>
              <w:rPr>
                <w:rFonts w:ascii="Times New Roman" w:hAnsi="Times New Roman" w:cs="Times New Roman"/>
                <w:sz w:val="21"/>
                <w:szCs w:val="21"/>
              </w:rPr>
              <w:t>4.51E-11</w:t>
            </w:r>
          </w:p>
        </w:tc>
        <w:tc>
          <w:tcPr>
            <w:tcW w:w="1042" w:type="pct"/>
            <w:noWrap/>
            <w:vAlign w:val="center"/>
          </w:tcPr>
          <w:p w14:paraId="786D4471">
            <w:pPr>
              <w:pStyle w:val="18"/>
              <w:spacing w:before="0" w:after="0" w:line="240" w:lineRule="atLeast"/>
              <w:rPr>
                <w:rFonts w:ascii="Times New Roman" w:hAnsi="Times New Roman" w:cs="Times New Roman"/>
                <w:sz w:val="21"/>
                <w:szCs w:val="21"/>
              </w:rPr>
            </w:pPr>
            <w:r>
              <w:rPr>
                <w:rFonts w:ascii="Times New Roman" w:hAnsi="Times New Roman" w:cs="Times New Roman"/>
                <w:sz w:val="21"/>
                <w:szCs w:val="21"/>
              </w:rPr>
              <w:t>4.01E-10</w:t>
            </w:r>
          </w:p>
        </w:tc>
      </w:tr>
      <w:tr w14:paraId="418572E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2959" w:type="pct"/>
            <w:noWrap/>
            <w:vAlign w:val="center"/>
          </w:tcPr>
          <w:p w14:paraId="59A2DB0D">
            <w:pPr>
              <w:pStyle w:val="18"/>
              <w:spacing w:before="0" w:after="0" w:line="240" w:lineRule="atLeast"/>
              <w:rPr>
                <w:rFonts w:ascii="Times New Roman" w:hAnsi="Times New Roman" w:cs="Times New Roman"/>
                <w:sz w:val="21"/>
                <w:szCs w:val="21"/>
              </w:rPr>
            </w:pPr>
            <w:r>
              <w:rPr>
                <w:rFonts w:ascii="Times New Roman" w:hAnsi="Times New Roman" w:cs="Times New Roman"/>
                <w:sz w:val="21"/>
                <w:szCs w:val="21"/>
              </w:rPr>
              <w:t>Positive regulation of cellular biosynthetic process (GO:0031328)</w:t>
            </w:r>
          </w:p>
        </w:tc>
        <w:tc>
          <w:tcPr>
            <w:tcW w:w="997" w:type="pct"/>
            <w:noWrap/>
            <w:vAlign w:val="center"/>
          </w:tcPr>
          <w:p w14:paraId="57BA6946">
            <w:pPr>
              <w:pStyle w:val="18"/>
              <w:spacing w:before="0" w:after="0" w:line="240" w:lineRule="atLeast"/>
              <w:rPr>
                <w:rFonts w:ascii="Times New Roman" w:hAnsi="Times New Roman" w:cs="Times New Roman"/>
                <w:sz w:val="21"/>
                <w:szCs w:val="21"/>
              </w:rPr>
            </w:pPr>
            <w:r>
              <w:rPr>
                <w:rFonts w:ascii="Times New Roman" w:hAnsi="Times New Roman" w:cs="Times New Roman"/>
                <w:sz w:val="21"/>
                <w:szCs w:val="21"/>
              </w:rPr>
              <w:t>6.76E-15</w:t>
            </w:r>
          </w:p>
        </w:tc>
        <w:tc>
          <w:tcPr>
            <w:tcW w:w="1042" w:type="pct"/>
            <w:noWrap/>
            <w:vAlign w:val="center"/>
          </w:tcPr>
          <w:p w14:paraId="25657D52">
            <w:pPr>
              <w:pStyle w:val="18"/>
              <w:spacing w:before="0" w:after="0" w:line="240" w:lineRule="atLeast"/>
              <w:rPr>
                <w:rFonts w:ascii="Times New Roman" w:hAnsi="Times New Roman" w:cs="Times New Roman"/>
                <w:sz w:val="21"/>
                <w:szCs w:val="21"/>
              </w:rPr>
            </w:pPr>
            <w:r>
              <w:rPr>
                <w:rFonts w:ascii="Times New Roman" w:hAnsi="Times New Roman" w:cs="Times New Roman"/>
                <w:sz w:val="21"/>
                <w:szCs w:val="21"/>
              </w:rPr>
              <w:t>1.23E-14</w:t>
            </w:r>
          </w:p>
        </w:tc>
      </w:tr>
    </w:tbl>
    <w:p w14:paraId="3796DA85">
      <w:pPr>
        <w:pStyle w:val="6"/>
        <w:spacing w:before="240" w:after="0" w:line="240" w:lineRule="atLeast"/>
        <w:jc w:val="both"/>
        <w:rPr>
          <w:rFonts w:ascii="Times New Roman" w:hAnsi="Times New Roman" w:cs="Times New Roman"/>
          <w:sz w:val="21"/>
          <w:szCs w:val="21"/>
        </w:rPr>
      </w:pPr>
      <w:r>
        <w:rPr>
          <w:rFonts w:ascii="Times New Roman" w:hAnsi="Times New Roman" w:cs="Times New Roman"/>
          <w:b/>
          <w:bCs/>
          <w:sz w:val="21"/>
          <w:szCs w:val="21"/>
        </w:rPr>
        <w:t>Table S2.</w:t>
      </w:r>
      <w:r>
        <w:rPr>
          <w:rFonts w:ascii="Times New Roman" w:hAnsi="Times New Roman" w:cs="Times New Roman"/>
          <w:sz w:val="21"/>
          <w:szCs w:val="21"/>
        </w:rPr>
        <w:t xml:space="preserve"> Top10 go enrichment results metastatic and primary tumor specific GRNs.</w:t>
      </w:r>
    </w:p>
    <w:tbl>
      <w:tblPr>
        <w:tblStyle w:val="19"/>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98"/>
        <w:gridCol w:w="992"/>
      </w:tblGrid>
      <w:tr w14:paraId="5B08FCA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000" w:type="pct"/>
            <w:gridSpan w:val="2"/>
            <w:tcBorders>
              <w:top w:val="single" w:color="auto" w:sz="8" w:space="0"/>
              <w:bottom w:val="single" w:color="auto" w:sz="4" w:space="0"/>
            </w:tcBorders>
            <w:vAlign w:val="bottom"/>
          </w:tcPr>
          <w:p w14:paraId="5815E542">
            <w:pPr>
              <w:pStyle w:val="18"/>
              <w:spacing w:before="0" w:after="0" w:line="240" w:lineRule="atLeast"/>
              <w:jc w:val="center"/>
              <w:rPr>
                <w:rFonts w:ascii="Times New Roman" w:hAnsi="Times New Roman" w:cs="Times New Roman"/>
                <w:b/>
                <w:bCs/>
                <w:sz w:val="21"/>
                <w:szCs w:val="21"/>
              </w:rPr>
            </w:pPr>
            <w:r>
              <w:rPr>
                <w:rFonts w:ascii="Times New Roman" w:hAnsi="Times New Roman" w:cs="Times New Roman"/>
                <w:b/>
                <w:bCs/>
                <w:sz w:val="21"/>
                <w:szCs w:val="21"/>
              </w:rPr>
              <w:t>Metastasis</w:t>
            </w:r>
          </w:p>
        </w:tc>
      </w:tr>
      <w:tr w14:paraId="1C56233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006" w:type="pct"/>
            <w:tcBorders>
              <w:top w:val="single" w:color="auto" w:sz="4" w:space="0"/>
              <w:bottom w:val="single" w:color="auto" w:sz="4" w:space="0"/>
            </w:tcBorders>
            <w:vAlign w:val="center"/>
          </w:tcPr>
          <w:p w14:paraId="02D261AD">
            <w:pPr>
              <w:pStyle w:val="18"/>
              <w:spacing w:before="0" w:after="0" w:line="240" w:lineRule="atLeast"/>
              <w:rPr>
                <w:rFonts w:ascii="Times New Roman" w:hAnsi="Times New Roman" w:cs="Times New Roman"/>
                <w:sz w:val="21"/>
                <w:szCs w:val="21"/>
              </w:rPr>
            </w:pPr>
            <w:r>
              <w:rPr>
                <w:rFonts w:ascii="Times New Roman" w:hAnsi="Times New Roman" w:cs="Times New Roman"/>
                <w:sz w:val="21"/>
                <w:szCs w:val="21"/>
              </w:rPr>
              <w:t>Pathway</w:t>
            </w:r>
          </w:p>
        </w:tc>
        <w:tc>
          <w:tcPr>
            <w:tcW w:w="994" w:type="pct"/>
            <w:tcBorders>
              <w:top w:val="single" w:color="auto" w:sz="4" w:space="0"/>
              <w:bottom w:val="single" w:color="auto" w:sz="4" w:space="0"/>
            </w:tcBorders>
          </w:tcPr>
          <w:p w14:paraId="5BF9E1BE">
            <w:pPr>
              <w:pStyle w:val="18"/>
              <w:spacing w:before="0" w:after="0" w:line="240" w:lineRule="atLeast"/>
              <w:jc w:val="center"/>
              <w:rPr>
                <w:rFonts w:ascii="Times New Roman" w:hAnsi="Times New Roman" w:cs="Times New Roman"/>
                <w:sz w:val="21"/>
                <w:szCs w:val="21"/>
              </w:rPr>
            </w:pPr>
            <m:oMath>
              <m:sSub>
                <m:sSubPr>
                  <m:ctrlPr>
                    <w:rPr>
                      <w:rFonts w:ascii="Cambria Math" w:hAnsi="Cambria Math" w:cs="Times New Roman"/>
                      <w:sz w:val="21"/>
                      <w:szCs w:val="21"/>
                    </w:rPr>
                  </m:ctrlPr>
                </m:sSubPr>
                <m:e>
                  <m:r>
                    <m:rPr/>
                    <w:rPr>
                      <w:rFonts w:ascii="Cambria Math" w:hAnsi="Cambria Math" w:cs="Times New Roman"/>
                      <w:sz w:val="21"/>
                      <w:szCs w:val="21"/>
                    </w:rPr>
                    <m:t>P</m:t>
                  </m:r>
                  <m:ctrlPr>
                    <w:rPr>
                      <w:rFonts w:ascii="Cambria Math" w:hAnsi="Cambria Math" w:cs="Times New Roman"/>
                      <w:sz w:val="21"/>
                      <w:szCs w:val="21"/>
                    </w:rPr>
                  </m:ctrlPr>
                </m:e>
                <m:sub>
                  <m:r>
                    <m:rPr/>
                    <w:rPr>
                      <w:rFonts w:ascii="Cambria Math" w:hAnsi="Cambria Math" w:cs="Times New Roman"/>
                      <w:sz w:val="21"/>
                      <w:szCs w:val="21"/>
                    </w:rPr>
                    <m:t>m</m:t>
                  </m:r>
                  <m:ctrlPr>
                    <w:rPr>
                      <w:rFonts w:ascii="Cambria Math" w:hAnsi="Cambria Math" w:cs="Times New Roman"/>
                      <w:sz w:val="21"/>
                      <w:szCs w:val="21"/>
                    </w:rPr>
                  </m:ctrlPr>
                </m:sub>
              </m:sSub>
            </m:oMath>
            <w:r>
              <w:rPr>
                <w:rFonts w:ascii="Times New Roman" w:hAnsi="Times New Roman" w:cs="Times New Roman"/>
                <w:sz w:val="21"/>
                <w:szCs w:val="21"/>
              </w:rPr>
              <w:t xml:space="preserve"> adj</w:t>
            </w:r>
          </w:p>
        </w:tc>
      </w:tr>
      <w:tr w14:paraId="20C103A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006" w:type="pct"/>
            <w:tcBorders>
              <w:top w:val="single" w:color="auto" w:sz="4" w:space="0"/>
            </w:tcBorders>
            <w:vAlign w:val="center"/>
          </w:tcPr>
          <w:p w14:paraId="2F911898">
            <w:pPr>
              <w:pStyle w:val="18"/>
              <w:spacing w:before="0" w:after="0" w:line="240" w:lineRule="atLeast"/>
              <w:rPr>
                <w:rFonts w:ascii="Times New Roman" w:hAnsi="Times New Roman" w:cs="Times New Roman"/>
                <w:sz w:val="21"/>
                <w:szCs w:val="21"/>
              </w:rPr>
            </w:pPr>
            <w:r>
              <w:rPr>
                <w:rFonts w:ascii="Times New Roman" w:hAnsi="Times New Roman" w:cs="Times New Roman"/>
                <w:sz w:val="21"/>
                <w:szCs w:val="21"/>
              </w:rPr>
              <w:t>Extracellular exosome</w:t>
            </w:r>
          </w:p>
        </w:tc>
        <w:tc>
          <w:tcPr>
            <w:tcW w:w="994" w:type="pct"/>
            <w:tcBorders>
              <w:top w:val="single" w:color="auto" w:sz="4" w:space="0"/>
            </w:tcBorders>
          </w:tcPr>
          <w:p w14:paraId="6C695A7B">
            <w:pPr>
              <w:pStyle w:val="18"/>
              <w:spacing w:before="0" w:after="0" w:line="240" w:lineRule="atLeast"/>
              <w:jc w:val="center"/>
              <w:rPr>
                <w:rFonts w:ascii="Times New Roman" w:hAnsi="Times New Roman" w:cs="Times New Roman"/>
                <w:sz w:val="21"/>
                <w:szCs w:val="21"/>
              </w:rPr>
            </w:pPr>
            <w:r>
              <w:rPr>
                <w:rFonts w:ascii="Times New Roman" w:hAnsi="Times New Roman" w:cs="Times New Roman"/>
                <w:sz w:val="21"/>
                <w:szCs w:val="21"/>
              </w:rPr>
              <w:t>1.24E-12</w:t>
            </w:r>
          </w:p>
        </w:tc>
      </w:tr>
      <w:tr w14:paraId="02C172D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006" w:type="pct"/>
            <w:vAlign w:val="center"/>
          </w:tcPr>
          <w:p w14:paraId="27B668A7">
            <w:pPr>
              <w:pStyle w:val="18"/>
              <w:spacing w:before="0" w:after="0" w:line="240" w:lineRule="atLeast"/>
              <w:rPr>
                <w:rFonts w:ascii="Times New Roman" w:hAnsi="Times New Roman" w:cs="Times New Roman"/>
                <w:sz w:val="21"/>
                <w:szCs w:val="21"/>
              </w:rPr>
            </w:pPr>
            <w:r>
              <w:rPr>
                <w:rFonts w:ascii="Times New Roman" w:hAnsi="Times New Roman" w:cs="Times New Roman"/>
                <w:sz w:val="21"/>
                <w:szCs w:val="21"/>
              </w:rPr>
              <w:t>Extracellular vesicle</w:t>
            </w:r>
          </w:p>
        </w:tc>
        <w:tc>
          <w:tcPr>
            <w:tcW w:w="994" w:type="pct"/>
          </w:tcPr>
          <w:p w14:paraId="1BD9849E">
            <w:pPr>
              <w:pStyle w:val="18"/>
              <w:spacing w:before="0" w:after="0" w:line="240" w:lineRule="atLeast"/>
              <w:jc w:val="center"/>
              <w:rPr>
                <w:rFonts w:ascii="Times New Roman" w:hAnsi="Times New Roman" w:cs="Times New Roman"/>
                <w:sz w:val="21"/>
                <w:szCs w:val="21"/>
              </w:rPr>
            </w:pPr>
            <w:r>
              <w:rPr>
                <w:rFonts w:ascii="Times New Roman" w:hAnsi="Times New Roman" w:cs="Times New Roman"/>
                <w:sz w:val="21"/>
                <w:szCs w:val="21"/>
              </w:rPr>
              <w:t>1.94E-12</w:t>
            </w:r>
          </w:p>
        </w:tc>
      </w:tr>
      <w:tr w14:paraId="0A204C1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006" w:type="pct"/>
            <w:vAlign w:val="center"/>
          </w:tcPr>
          <w:p w14:paraId="525FB351">
            <w:pPr>
              <w:pStyle w:val="18"/>
              <w:spacing w:before="0" w:after="0" w:line="240" w:lineRule="atLeast"/>
              <w:rPr>
                <w:rFonts w:ascii="Times New Roman" w:hAnsi="Times New Roman" w:cs="Times New Roman"/>
                <w:sz w:val="21"/>
                <w:szCs w:val="21"/>
              </w:rPr>
            </w:pPr>
            <w:r>
              <w:rPr>
                <w:rFonts w:ascii="Times New Roman" w:hAnsi="Times New Roman" w:cs="Times New Roman"/>
                <w:sz w:val="21"/>
                <w:szCs w:val="21"/>
              </w:rPr>
              <w:t>Extracellular organelle</w:t>
            </w:r>
          </w:p>
        </w:tc>
        <w:tc>
          <w:tcPr>
            <w:tcW w:w="994" w:type="pct"/>
          </w:tcPr>
          <w:p w14:paraId="3C6F0504">
            <w:pPr>
              <w:pStyle w:val="18"/>
              <w:spacing w:before="0" w:after="0" w:line="240" w:lineRule="atLeast"/>
              <w:jc w:val="center"/>
              <w:rPr>
                <w:rFonts w:ascii="Times New Roman" w:hAnsi="Times New Roman" w:cs="Times New Roman"/>
                <w:sz w:val="21"/>
                <w:szCs w:val="21"/>
              </w:rPr>
            </w:pPr>
            <w:r>
              <w:rPr>
                <w:rFonts w:ascii="Times New Roman" w:hAnsi="Times New Roman" w:cs="Times New Roman"/>
                <w:sz w:val="21"/>
                <w:szCs w:val="21"/>
              </w:rPr>
              <w:t>2.01E-12</w:t>
            </w:r>
          </w:p>
        </w:tc>
      </w:tr>
      <w:tr w14:paraId="62FABE2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006" w:type="pct"/>
            <w:vAlign w:val="center"/>
          </w:tcPr>
          <w:p w14:paraId="1413B579">
            <w:pPr>
              <w:pStyle w:val="18"/>
              <w:spacing w:before="0" w:after="0" w:line="240" w:lineRule="atLeast"/>
              <w:rPr>
                <w:rFonts w:ascii="Times New Roman" w:hAnsi="Times New Roman" w:cs="Times New Roman"/>
                <w:sz w:val="21"/>
                <w:szCs w:val="21"/>
              </w:rPr>
            </w:pPr>
            <w:r>
              <w:rPr>
                <w:rFonts w:ascii="Times New Roman" w:hAnsi="Times New Roman" w:cs="Times New Roman"/>
                <w:sz w:val="21"/>
                <w:szCs w:val="21"/>
              </w:rPr>
              <w:t>Extracellular space</w:t>
            </w:r>
          </w:p>
        </w:tc>
        <w:tc>
          <w:tcPr>
            <w:tcW w:w="994" w:type="pct"/>
          </w:tcPr>
          <w:p w14:paraId="53258F63">
            <w:pPr>
              <w:pStyle w:val="18"/>
              <w:spacing w:before="0" w:after="0" w:line="240" w:lineRule="atLeast"/>
              <w:jc w:val="center"/>
              <w:rPr>
                <w:rFonts w:ascii="Times New Roman" w:hAnsi="Times New Roman" w:cs="Times New Roman"/>
                <w:sz w:val="21"/>
                <w:szCs w:val="21"/>
              </w:rPr>
            </w:pPr>
            <w:r>
              <w:rPr>
                <w:rFonts w:ascii="Times New Roman" w:hAnsi="Times New Roman" w:cs="Times New Roman"/>
                <w:sz w:val="21"/>
                <w:szCs w:val="21"/>
              </w:rPr>
              <w:t>2.40E-09</w:t>
            </w:r>
          </w:p>
        </w:tc>
      </w:tr>
      <w:tr w14:paraId="1FDBB3A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006" w:type="pct"/>
            <w:vAlign w:val="center"/>
          </w:tcPr>
          <w:p w14:paraId="485DBB4E">
            <w:pPr>
              <w:pStyle w:val="18"/>
              <w:spacing w:before="0" w:after="0" w:line="240" w:lineRule="atLeast"/>
              <w:rPr>
                <w:rFonts w:ascii="Times New Roman" w:hAnsi="Times New Roman" w:cs="Times New Roman"/>
                <w:sz w:val="21"/>
                <w:szCs w:val="21"/>
              </w:rPr>
            </w:pPr>
            <w:r>
              <w:rPr>
                <w:rFonts w:ascii="Times New Roman" w:hAnsi="Times New Roman" w:cs="Times New Roman"/>
                <w:sz w:val="21"/>
                <w:szCs w:val="21"/>
              </w:rPr>
              <w:t>Response to chemical</w:t>
            </w:r>
          </w:p>
        </w:tc>
        <w:tc>
          <w:tcPr>
            <w:tcW w:w="994" w:type="pct"/>
          </w:tcPr>
          <w:p w14:paraId="4EE770B5">
            <w:pPr>
              <w:pStyle w:val="18"/>
              <w:spacing w:before="0" w:after="0" w:line="240" w:lineRule="atLeast"/>
              <w:jc w:val="center"/>
              <w:rPr>
                <w:rFonts w:ascii="Times New Roman" w:hAnsi="Times New Roman" w:cs="Times New Roman"/>
                <w:sz w:val="21"/>
                <w:szCs w:val="21"/>
              </w:rPr>
            </w:pPr>
            <w:r>
              <w:rPr>
                <w:rFonts w:ascii="Times New Roman" w:hAnsi="Times New Roman" w:cs="Times New Roman"/>
                <w:sz w:val="21"/>
                <w:szCs w:val="21"/>
              </w:rPr>
              <w:t>1.49E-08</w:t>
            </w:r>
          </w:p>
        </w:tc>
      </w:tr>
      <w:tr w14:paraId="343046B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006" w:type="pct"/>
            <w:vAlign w:val="center"/>
          </w:tcPr>
          <w:p w14:paraId="4A872C90">
            <w:pPr>
              <w:pStyle w:val="18"/>
              <w:spacing w:before="0" w:after="0" w:line="240" w:lineRule="atLeast"/>
              <w:rPr>
                <w:rFonts w:ascii="Times New Roman" w:hAnsi="Times New Roman" w:cs="Times New Roman"/>
                <w:spacing w:val="-10"/>
                <w:sz w:val="21"/>
                <w:szCs w:val="21"/>
              </w:rPr>
            </w:pPr>
            <w:r>
              <w:rPr>
                <w:rFonts w:ascii="Times New Roman" w:hAnsi="Times New Roman" w:cs="Times New Roman"/>
                <w:spacing w:val="-10"/>
                <w:sz w:val="21"/>
                <w:szCs w:val="21"/>
              </w:rPr>
              <w:t>Cellular nitrogen compound biosynthetic process</w:t>
            </w:r>
          </w:p>
        </w:tc>
        <w:tc>
          <w:tcPr>
            <w:tcW w:w="994" w:type="pct"/>
          </w:tcPr>
          <w:p w14:paraId="3EC55A91">
            <w:pPr>
              <w:pStyle w:val="18"/>
              <w:spacing w:before="0" w:after="0" w:line="240" w:lineRule="atLeast"/>
              <w:jc w:val="center"/>
              <w:rPr>
                <w:rFonts w:ascii="Times New Roman" w:hAnsi="Times New Roman" w:cs="Times New Roman"/>
                <w:sz w:val="21"/>
                <w:szCs w:val="21"/>
              </w:rPr>
            </w:pPr>
            <w:r>
              <w:rPr>
                <w:rFonts w:ascii="Times New Roman" w:hAnsi="Times New Roman" w:cs="Times New Roman"/>
                <w:sz w:val="21"/>
                <w:szCs w:val="21"/>
              </w:rPr>
              <w:t>4.86E-08</w:t>
            </w:r>
          </w:p>
        </w:tc>
      </w:tr>
      <w:tr w14:paraId="6AE6ACC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006" w:type="pct"/>
            <w:vAlign w:val="center"/>
          </w:tcPr>
          <w:p w14:paraId="3B16A73D">
            <w:pPr>
              <w:pStyle w:val="18"/>
              <w:spacing w:before="0" w:after="0" w:line="240" w:lineRule="atLeast"/>
              <w:rPr>
                <w:rFonts w:ascii="Times New Roman" w:hAnsi="Times New Roman" w:cs="Times New Roman"/>
                <w:sz w:val="21"/>
                <w:szCs w:val="21"/>
              </w:rPr>
            </w:pPr>
            <w:r>
              <w:rPr>
                <w:rFonts w:ascii="Times New Roman" w:hAnsi="Times New Roman" w:cs="Times New Roman"/>
                <w:sz w:val="21"/>
                <w:szCs w:val="21"/>
              </w:rPr>
              <w:t>Extracellular region part</w:t>
            </w:r>
          </w:p>
        </w:tc>
        <w:tc>
          <w:tcPr>
            <w:tcW w:w="994" w:type="pct"/>
          </w:tcPr>
          <w:p w14:paraId="6F1A9C2F">
            <w:pPr>
              <w:pStyle w:val="18"/>
              <w:spacing w:before="0" w:after="0" w:line="240" w:lineRule="atLeast"/>
              <w:jc w:val="center"/>
              <w:rPr>
                <w:rFonts w:ascii="Times New Roman" w:hAnsi="Times New Roman" w:cs="Times New Roman"/>
                <w:sz w:val="21"/>
                <w:szCs w:val="21"/>
              </w:rPr>
            </w:pPr>
            <w:r>
              <w:rPr>
                <w:rFonts w:ascii="Times New Roman" w:hAnsi="Times New Roman" w:cs="Times New Roman"/>
                <w:sz w:val="21"/>
                <w:szCs w:val="21"/>
              </w:rPr>
              <w:t>7.14E-08</w:t>
            </w:r>
          </w:p>
        </w:tc>
      </w:tr>
      <w:tr w14:paraId="2FF0B55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006" w:type="pct"/>
            <w:vAlign w:val="center"/>
          </w:tcPr>
          <w:p w14:paraId="2E7F82A6">
            <w:pPr>
              <w:pStyle w:val="18"/>
              <w:spacing w:before="0" w:after="0" w:line="240" w:lineRule="atLeast"/>
              <w:rPr>
                <w:rFonts w:ascii="Times New Roman" w:hAnsi="Times New Roman" w:cs="Times New Roman"/>
                <w:sz w:val="21"/>
                <w:szCs w:val="21"/>
              </w:rPr>
            </w:pPr>
            <w:r>
              <w:rPr>
                <w:rFonts w:ascii="Times New Roman" w:hAnsi="Times New Roman" w:cs="Times New Roman"/>
                <w:sz w:val="21"/>
                <w:szCs w:val="21"/>
              </w:rPr>
              <w:t>Protein-containing complex</w:t>
            </w:r>
          </w:p>
        </w:tc>
        <w:tc>
          <w:tcPr>
            <w:tcW w:w="994" w:type="pct"/>
          </w:tcPr>
          <w:p w14:paraId="6CC3D5DF">
            <w:pPr>
              <w:pStyle w:val="18"/>
              <w:spacing w:before="0" w:after="0" w:line="240" w:lineRule="atLeast"/>
              <w:jc w:val="center"/>
              <w:rPr>
                <w:rFonts w:ascii="Times New Roman" w:hAnsi="Times New Roman" w:cs="Times New Roman"/>
                <w:sz w:val="21"/>
                <w:szCs w:val="21"/>
              </w:rPr>
            </w:pPr>
            <w:r>
              <w:rPr>
                <w:rFonts w:ascii="Times New Roman" w:hAnsi="Times New Roman" w:cs="Times New Roman"/>
                <w:sz w:val="21"/>
                <w:szCs w:val="21"/>
              </w:rPr>
              <w:t>9.41E-08</w:t>
            </w:r>
          </w:p>
        </w:tc>
      </w:tr>
      <w:tr w14:paraId="3962769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006" w:type="pct"/>
            <w:vAlign w:val="center"/>
          </w:tcPr>
          <w:p w14:paraId="406A733F">
            <w:pPr>
              <w:pStyle w:val="18"/>
              <w:spacing w:before="0" w:after="0" w:line="240" w:lineRule="atLeast"/>
              <w:rPr>
                <w:rFonts w:ascii="Times New Roman" w:hAnsi="Times New Roman" w:cs="Times New Roman"/>
                <w:sz w:val="21"/>
                <w:szCs w:val="21"/>
              </w:rPr>
            </w:pPr>
            <w:r>
              <w:rPr>
                <w:rFonts w:ascii="Times New Roman" w:hAnsi="Times New Roman" w:cs="Times New Roman"/>
                <w:sz w:val="21"/>
                <w:szCs w:val="21"/>
              </w:rPr>
              <w:t>Translation</w:t>
            </w:r>
          </w:p>
        </w:tc>
        <w:tc>
          <w:tcPr>
            <w:tcW w:w="994" w:type="pct"/>
          </w:tcPr>
          <w:p w14:paraId="4ED41625">
            <w:pPr>
              <w:pStyle w:val="18"/>
              <w:spacing w:before="0" w:after="0" w:line="240" w:lineRule="atLeast"/>
              <w:jc w:val="center"/>
              <w:rPr>
                <w:rFonts w:ascii="Times New Roman" w:hAnsi="Times New Roman" w:cs="Times New Roman"/>
                <w:sz w:val="21"/>
                <w:szCs w:val="21"/>
              </w:rPr>
            </w:pPr>
            <w:r>
              <w:rPr>
                <w:rFonts w:ascii="Times New Roman" w:hAnsi="Times New Roman" w:cs="Times New Roman"/>
                <w:sz w:val="21"/>
                <w:szCs w:val="21"/>
              </w:rPr>
              <w:t>1.29E-07</w:t>
            </w:r>
          </w:p>
        </w:tc>
      </w:tr>
      <w:tr w14:paraId="59EA405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006" w:type="pct"/>
            <w:tcBorders>
              <w:bottom w:val="single" w:color="auto" w:sz="4" w:space="0"/>
            </w:tcBorders>
            <w:vAlign w:val="center"/>
          </w:tcPr>
          <w:p w14:paraId="116D3177">
            <w:pPr>
              <w:pStyle w:val="18"/>
              <w:spacing w:before="0" w:after="0" w:line="240" w:lineRule="atLeast"/>
              <w:rPr>
                <w:rFonts w:ascii="Times New Roman" w:hAnsi="Times New Roman" w:cs="Times New Roman"/>
                <w:sz w:val="21"/>
                <w:szCs w:val="21"/>
              </w:rPr>
            </w:pPr>
            <w:r>
              <w:rPr>
                <w:rFonts w:ascii="Times New Roman" w:hAnsi="Times New Roman" w:cs="Times New Roman"/>
                <w:sz w:val="21"/>
                <w:szCs w:val="21"/>
              </w:rPr>
              <w:t>Vesicle</w:t>
            </w:r>
          </w:p>
        </w:tc>
        <w:tc>
          <w:tcPr>
            <w:tcW w:w="994" w:type="pct"/>
            <w:tcBorders>
              <w:bottom w:val="single" w:color="auto" w:sz="4" w:space="0"/>
            </w:tcBorders>
          </w:tcPr>
          <w:p w14:paraId="250F6033">
            <w:pPr>
              <w:pStyle w:val="18"/>
              <w:spacing w:before="0" w:after="0" w:line="240" w:lineRule="atLeast"/>
              <w:jc w:val="center"/>
              <w:rPr>
                <w:rFonts w:ascii="Times New Roman" w:hAnsi="Times New Roman" w:cs="Times New Roman"/>
                <w:sz w:val="21"/>
                <w:szCs w:val="21"/>
              </w:rPr>
            </w:pPr>
            <w:r>
              <w:rPr>
                <w:rFonts w:ascii="Times New Roman" w:hAnsi="Times New Roman" w:cs="Times New Roman"/>
                <w:sz w:val="21"/>
                <w:szCs w:val="21"/>
              </w:rPr>
              <w:t>1.33E-07</w:t>
            </w:r>
          </w:p>
        </w:tc>
      </w:tr>
      <w:tr w14:paraId="785A2C8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000" w:type="pct"/>
            <w:gridSpan w:val="2"/>
            <w:tcBorders>
              <w:top w:val="single" w:color="auto" w:sz="4" w:space="0"/>
              <w:bottom w:val="single" w:color="auto" w:sz="4" w:space="0"/>
            </w:tcBorders>
            <w:vAlign w:val="center"/>
          </w:tcPr>
          <w:p w14:paraId="0AB261AF">
            <w:pPr>
              <w:pStyle w:val="18"/>
              <w:spacing w:before="0" w:after="0" w:line="240" w:lineRule="atLeast"/>
              <w:jc w:val="center"/>
              <w:rPr>
                <w:rFonts w:ascii="Times New Roman" w:hAnsi="Times New Roman" w:cs="Times New Roman"/>
                <w:sz w:val="21"/>
                <w:szCs w:val="21"/>
              </w:rPr>
            </w:pPr>
            <w:r>
              <w:rPr>
                <w:rFonts w:ascii="Times New Roman" w:hAnsi="Times New Roman" w:cs="Times New Roman"/>
                <w:b/>
                <w:bCs/>
                <w:sz w:val="21"/>
                <w:szCs w:val="21"/>
              </w:rPr>
              <w:t>Primary</w:t>
            </w:r>
          </w:p>
        </w:tc>
      </w:tr>
      <w:tr w14:paraId="525A6C6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006" w:type="pct"/>
            <w:tcBorders>
              <w:top w:val="single" w:color="auto" w:sz="4" w:space="0"/>
              <w:bottom w:val="single" w:color="auto" w:sz="4" w:space="0"/>
            </w:tcBorders>
            <w:vAlign w:val="center"/>
          </w:tcPr>
          <w:p w14:paraId="366AE221">
            <w:pPr>
              <w:pStyle w:val="18"/>
              <w:spacing w:before="0" w:after="0" w:line="240" w:lineRule="atLeast"/>
              <w:rPr>
                <w:rFonts w:ascii="Times New Roman" w:hAnsi="Times New Roman" w:cs="Times New Roman"/>
                <w:sz w:val="21"/>
                <w:szCs w:val="21"/>
              </w:rPr>
            </w:pPr>
            <w:r>
              <w:rPr>
                <w:rFonts w:ascii="Times New Roman" w:hAnsi="Times New Roman" w:cs="Times New Roman"/>
                <w:sz w:val="21"/>
                <w:szCs w:val="21"/>
              </w:rPr>
              <w:t>Pathway</w:t>
            </w:r>
          </w:p>
        </w:tc>
        <w:tc>
          <w:tcPr>
            <w:tcW w:w="994" w:type="pct"/>
            <w:tcBorders>
              <w:top w:val="single" w:color="auto" w:sz="4" w:space="0"/>
              <w:bottom w:val="single" w:color="auto" w:sz="4" w:space="0"/>
            </w:tcBorders>
          </w:tcPr>
          <w:p w14:paraId="3D71D08C">
            <w:pPr>
              <w:pStyle w:val="18"/>
              <w:spacing w:before="0" w:after="0" w:line="240" w:lineRule="atLeast"/>
              <w:rPr>
                <w:rFonts w:ascii="Times New Roman" w:hAnsi="Times New Roman" w:cs="Times New Roman"/>
                <w:sz w:val="21"/>
                <w:szCs w:val="21"/>
              </w:rPr>
            </w:pPr>
            <m:oMath>
              <m:sSub>
                <m:sSubPr>
                  <m:ctrlPr>
                    <w:rPr>
                      <w:rFonts w:ascii="Cambria Math" w:hAnsi="Cambria Math" w:cs="Times New Roman"/>
                      <w:sz w:val="21"/>
                      <w:szCs w:val="21"/>
                    </w:rPr>
                  </m:ctrlPr>
                </m:sSubPr>
                <m:e>
                  <m:r>
                    <m:rPr>
                      <m:sty m:val="p"/>
                    </m:rPr>
                    <w:rPr>
                      <w:rFonts w:ascii="Times New Roman" w:hAnsi="Times New Roman" w:cs="Times New Roman"/>
                      <w:sz w:val="21"/>
                      <w:szCs w:val="21"/>
                    </w:rPr>
                    <m:t>P</m:t>
                  </m:r>
                  <m:ctrlPr>
                    <w:rPr>
                      <w:rFonts w:ascii="Cambria Math" w:hAnsi="Cambria Math" w:cs="Times New Roman"/>
                      <w:sz w:val="21"/>
                      <w:szCs w:val="21"/>
                    </w:rPr>
                  </m:ctrlPr>
                </m:e>
                <m:sub>
                  <m:r>
                    <m:rPr>
                      <m:sty m:val="p"/>
                    </m:rPr>
                    <w:rPr>
                      <w:rFonts w:ascii="Times New Roman" w:hAnsi="Times New Roman" w:cs="Times New Roman"/>
                      <w:sz w:val="21"/>
                      <w:szCs w:val="21"/>
                    </w:rPr>
                    <m:t>p</m:t>
                  </m:r>
                  <m:ctrlPr>
                    <w:rPr>
                      <w:rFonts w:ascii="Cambria Math" w:hAnsi="Cambria Math" w:cs="Times New Roman"/>
                      <w:sz w:val="21"/>
                      <w:szCs w:val="21"/>
                    </w:rPr>
                  </m:ctrlPr>
                </m:sub>
              </m:sSub>
            </m:oMath>
            <w:r>
              <w:rPr>
                <w:rFonts w:ascii="Times New Roman" w:hAnsi="Times New Roman" w:cs="Times New Roman"/>
                <w:sz w:val="21"/>
                <w:szCs w:val="21"/>
              </w:rPr>
              <w:t xml:space="preserve"> adj</w:t>
            </w:r>
          </w:p>
        </w:tc>
      </w:tr>
      <w:tr w14:paraId="47DA4FF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006" w:type="pct"/>
            <w:tcBorders>
              <w:top w:val="single" w:color="auto" w:sz="4" w:space="0"/>
              <w:bottom w:val="nil"/>
            </w:tcBorders>
            <w:vAlign w:val="center"/>
          </w:tcPr>
          <w:p w14:paraId="71FE0B60">
            <w:pPr>
              <w:pStyle w:val="18"/>
              <w:spacing w:before="0" w:after="0" w:line="240" w:lineRule="atLeast"/>
              <w:rPr>
                <w:rFonts w:ascii="Times New Roman" w:hAnsi="Times New Roman" w:cs="Times New Roman"/>
                <w:sz w:val="21"/>
                <w:szCs w:val="21"/>
              </w:rPr>
            </w:pPr>
            <w:r>
              <w:rPr>
                <w:rFonts w:ascii="Times New Roman" w:hAnsi="Times New Roman" w:cs="Times New Roman"/>
                <w:sz w:val="21"/>
                <w:szCs w:val="21"/>
              </w:rPr>
              <w:t>Nucleoplasm</w:t>
            </w:r>
          </w:p>
        </w:tc>
        <w:tc>
          <w:tcPr>
            <w:tcW w:w="994" w:type="pct"/>
            <w:tcBorders>
              <w:top w:val="single" w:color="auto" w:sz="4" w:space="0"/>
              <w:bottom w:val="nil"/>
            </w:tcBorders>
          </w:tcPr>
          <w:p w14:paraId="3A075F28">
            <w:pPr>
              <w:pStyle w:val="18"/>
              <w:spacing w:before="0" w:after="0" w:line="240" w:lineRule="atLeast"/>
              <w:jc w:val="center"/>
              <w:rPr>
                <w:rFonts w:ascii="Times New Roman" w:hAnsi="Times New Roman" w:cs="Times New Roman"/>
                <w:sz w:val="21"/>
                <w:szCs w:val="21"/>
              </w:rPr>
            </w:pPr>
            <w:r>
              <w:rPr>
                <w:rFonts w:ascii="Times New Roman" w:hAnsi="Times New Roman" w:cs="Times New Roman"/>
                <w:sz w:val="21"/>
                <w:szCs w:val="21"/>
              </w:rPr>
              <w:t>1.52E-10</w:t>
            </w:r>
          </w:p>
        </w:tc>
      </w:tr>
      <w:tr w14:paraId="22D09DA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006" w:type="pct"/>
            <w:tcBorders>
              <w:top w:val="nil"/>
              <w:bottom w:val="nil"/>
            </w:tcBorders>
            <w:vAlign w:val="center"/>
          </w:tcPr>
          <w:p w14:paraId="1D3B30D8">
            <w:pPr>
              <w:pStyle w:val="18"/>
              <w:spacing w:before="0" w:after="0" w:line="240" w:lineRule="atLeast"/>
              <w:rPr>
                <w:rFonts w:ascii="Times New Roman" w:hAnsi="Times New Roman" w:cs="Times New Roman"/>
                <w:sz w:val="21"/>
                <w:szCs w:val="21"/>
              </w:rPr>
            </w:pPr>
            <w:r>
              <w:rPr>
                <w:rFonts w:ascii="Times New Roman" w:hAnsi="Times New Roman" w:cs="Times New Roman"/>
                <w:sz w:val="21"/>
                <w:szCs w:val="21"/>
              </w:rPr>
              <w:t>Nuclear lumen</w:t>
            </w:r>
          </w:p>
        </w:tc>
        <w:tc>
          <w:tcPr>
            <w:tcW w:w="994" w:type="pct"/>
            <w:tcBorders>
              <w:top w:val="nil"/>
              <w:bottom w:val="nil"/>
            </w:tcBorders>
          </w:tcPr>
          <w:p w14:paraId="02CD8E16">
            <w:pPr>
              <w:pStyle w:val="18"/>
              <w:spacing w:before="0" w:after="0" w:line="240" w:lineRule="atLeast"/>
              <w:jc w:val="center"/>
              <w:rPr>
                <w:rFonts w:ascii="Times New Roman" w:hAnsi="Times New Roman" w:cs="Times New Roman"/>
                <w:sz w:val="21"/>
                <w:szCs w:val="21"/>
              </w:rPr>
            </w:pPr>
            <w:r>
              <w:rPr>
                <w:rFonts w:ascii="Times New Roman" w:hAnsi="Times New Roman" w:cs="Times New Roman"/>
                <w:sz w:val="21"/>
                <w:szCs w:val="21"/>
              </w:rPr>
              <w:t>1.21E-07</w:t>
            </w:r>
          </w:p>
        </w:tc>
      </w:tr>
      <w:tr w14:paraId="35DE855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006" w:type="pct"/>
            <w:tcBorders>
              <w:top w:val="nil"/>
              <w:bottom w:val="nil"/>
            </w:tcBorders>
            <w:vAlign w:val="center"/>
          </w:tcPr>
          <w:p w14:paraId="383C402C">
            <w:pPr>
              <w:pStyle w:val="18"/>
              <w:spacing w:before="0" w:after="0" w:line="240" w:lineRule="atLeast"/>
              <w:rPr>
                <w:rFonts w:ascii="Times New Roman" w:hAnsi="Times New Roman" w:cs="Times New Roman"/>
                <w:sz w:val="21"/>
                <w:szCs w:val="21"/>
              </w:rPr>
            </w:pPr>
            <w:r>
              <w:rPr>
                <w:rFonts w:ascii="Times New Roman" w:hAnsi="Times New Roman" w:cs="Times New Roman"/>
                <w:sz w:val="21"/>
                <w:szCs w:val="21"/>
              </w:rPr>
              <w:t>Nuclear part</w:t>
            </w:r>
          </w:p>
        </w:tc>
        <w:tc>
          <w:tcPr>
            <w:tcW w:w="994" w:type="pct"/>
            <w:tcBorders>
              <w:top w:val="nil"/>
              <w:bottom w:val="nil"/>
            </w:tcBorders>
          </w:tcPr>
          <w:p w14:paraId="7A76AD2D">
            <w:pPr>
              <w:pStyle w:val="18"/>
              <w:spacing w:before="0" w:after="0" w:line="240" w:lineRule="atLeast"/>
              <w:jc w:val="center"/>
              <w:rPr>
                <w:rFonts w:ascii="Times New Roman" w:hAnsi="Times New Roman" w:cs="Times New Roman"/>
                <w:sz w:val="21"/>
                <w:szCs w:val="21"/>
              </w:rPr>
            </w:pPr>
            <w:r>
              <w:rPr>
                <w:rFonts w:ascii="Times New Roman" w:hAnsi="Times New Roman" w:cs="Times New Roman"/>
                <w:sz w:val="21"/>
                <w:szCs w:val="21"/>
              </w:rPr>
              <w:t>1.23E-07</w:t>
            </w:r>
          </w:p>
        </w:tc>
      </w:tr>
      <w:tr w14:paraId="2DB3381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006" w:type="pct"/>
            <w:tcBorders>
              <w:top w:val="nil"/>
              <w:bottom w:val="nil"/>
            </w:tcBorders>
            <w:vAlign w:val="center"/>
          </w:tcPr>
          <w:p w14:paraId="34AE4D52">
            <w:pPr>
              <w:pStyle w:val="18"/>
              <w:spacing w:before="0" w:after="0" w:line="240" w:lineRule="atLeast"/>
              <w:rPr>
                <w:rFonts w:ascii="Times New Roman" w:hAnsi="Times New Roman" w:cs="Times New Roman"/>
                <w:sz w:val="21"/>
                <w:szCs w:val="21"/>
              </w:rPr>
            </w:pPr>
            <w:r>
              <w:rPr>
                <w:rFonts w:ascii="Times New Roman" w:hAnsi="Times New Roman" w:cs="Times New Roman"/>
                <w:sz w:val="21"/>
                <w:szCs w:val="21"/>
              </w:rPr>
              <w:t>Cytosolic small ribosomal subunit</w:t>
            </w:r>
          </w:p>
        </w:tc>
        <w:tc>
          <w:tcPr>
            <w:tcW w:w="994" w:type="pct"/>
            <w:tcBorders>
              <w:top w:val="nil"/>
              <w:bottom w:val="nil"/>
            </w:tcBorders>
          </w:tcPr>
          <w:p w14:paraId="1DD92027">
            <w:pPr>
              <w:pStyle w:val="18"/>
              <w:spacing w:before="0" w:after="0" w:line="240" w:lineRule="atLeast"/>
              <w:jc w:val="center"/>
              <w:rPr>
                <w:rFonts w:ascii="Times New Roman" w:hAnsi="Times New Roman" w:cs="Times New Roman"/>
                <w:sz w:val="21"/>
                <w:szCs w:val="21"/>
              </w:rPr>
            </w:pPr>
            <w:r>
              <w:rPr>
                <w:rFonts w:ascii="Times New Roman" w:hAnsi="Times New Roman" w:cs="Times New Roman"/>
                <w:sz w:val="21"/>
                <w:szCs w:val="21"/>
              </w:rPr>
              <w:t>1.93E-07</w:t>
            </w:r>
          </w:p>
        </w:tc>
      </w:tr>
      <w:tr w14:paraId="0D40FF7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006" w:type="pct"/>
            <w:tcBorders>
              <w:top w:val="nil"/>
              <w:bottom w:val="nil"/>
            </w:tcBorders>
            <w:vAlign w:val="center"/>
          </w:tcPr>
          <w:p w14:paraId="4F7B5525">
            <w:pPr>
              <w:pStyle w:val="18"/>
              <w:spacing w:before="0" w:after="0" w:line="240" w:lineRule="atLeast"/>
              <w:rPr>
                <w:rFonts w:ascii="Times New Roman" w:hAnsi="Times New Roman" w:cs="Times New Roman"/>
                <w:sz w:val="21"/>
                <w:szCs w:val="21"/>
              </w:rPr>
            </w:pPr>
            <w:r>
              <w:rPr>
                <w:rFonts w:ascii="Times New Roman" w:hAnsi="Times New Roman" w:cs="Times New Roman"/>
                <w:sz w:val="21"/>
                <w:szCs w:val="21"/>
              </w:rPr>
              <w:t>Protein-containing complex</w:t>
            </w:r>
          </w:p>
        </w:tc>
        <w:tc>
          <w:tcPr>
            <w:tcW w:w="994" w:type="pct"/>
            <w:tcBorders>
              <w:top w:val="nil"/>
              <w:bottom w:val="nil"/>
            </w:tcBorders>
          </w:tcPr>
          <w:p w14:paraId="497E4C46">
            <w:pPr>
              <w:pStyle w:val="18"/>
              <w:spacing w:before="0" w:after="0" w:line="240" w:lineRule="atLeast"/>
              <w:jc w:val="center"/>
              <w:rPr>
                <w:rFonts w:ascii="Times New Roman" w:hAnsi="Times New Roman" w:cs="Times New Roman"/>
                <w:sz w:val="21"/>
                <w:szCs w:val="21"/>
              </w:rPr>
            </w:pPr>
            <w:r>
              <w:rPr>
                <w:rFonts w:ascii="Times New Roman" w:hAnsi="Times New Roman" w:cs="Times New Roman"/>
                <w:sz w:val="21"/>
                <w:szCs w:val="21"/>
              </w:rPr>
              <w:t>4.85E-07</w:t>
            </w:r>
          </w:p>
        </w:tc>
      </w:tr>
      <w:tr w14:paraId="2DF5F50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006" w:type="pct"/>
            <w:tcBorders>
              <w:top w:val="nil"/>
              <w:bottom w:val="nil"/>
            </w:tcBorders>
            <w:vAlign w:val="center"/>
          </w:tcPr>
          <w:p w14:paraId="1195FAA9">
            <w:pPr>
              <w:pStyle w:val="18"/>
              <w:spacing w:before="0" w:after="0" w:line="240" w:lineRule="atLeast"/>
              <w:rPr>
                <w:rFonts w:ascii="Times New Roman" w:hAnsi="Times New Roman" w:cs="Times New Roman"/>
                <w:sz w:val="21"/>
                <w:szCs w:val="21"/>
              </w:rPr>
            </w:pPr>
            <w:r>
              <w:rPr>
                <w:rFonts w:ascii="Times New Roman" w:hAnsi="Times New Roman" w:cs="Times New Roman"/>
                <w:spacing w:val="-10"/>
                <w:sz w:val="21"/>
                <w:szCs w:val="21"/>
              </w:rPr>
              <w:t>Establishment of protein localization to organelle</w:t>
            </w:r>
          </w:p>
        </w:tc>
        <w:tc>
          <w:tcPr>
            <w:tcW w:w="994" w:type="pct"/>
            <w:tcBorders>
              <w:top w:val="nil"/>
              <w:bottom w:val="nil"/>
            </w:tcBorders>
          </w:tcPr>
          <w:p w14:paraId="41BDEB3A">
            <w:pPr>
              <w:pStyle w:val="18"/>
              <w:spacing w:before="0" w:after="0" w:line="240" w:lineRule="atLeast"/>
              <w:jc w:val="center"/>
              <w:rPr>
                <w:rFonts w:ascii="Times New Roman" w:hAnsi="Times New Roman" w:cs="Times New Roman"/>
                <w:sz w:val="21"/>
                <w:szCs w:val="21"/>
              </w:rPr>
            </w:pPr>
            <w:r>
              <w:rPr>
                <w:rFonts w:ascii="Times New Roman" w:hAnsi="Times New Roman" w:cs="Times New Roman"/>
                <w:sz w:val="21"/>
                <w:szCs w:val="21"/>
              </w:rPr>
              <w:t>1.20E-06</w:t>
            </w:r>
          </w:p>
        </w:tc>
      </w:tr>
      <w:tr w14:paraId="79E2332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006" w:type="pct"/>
            <w:tcBorders>
              <w:top w:val="nil"/>
              <w:bottom w:val="nil"/>
            </w:tcBorders>
            <w:vAlign w:val="center"/>
          </w:tcPr>
          <w:p w14:paraId="4FC4CE2D">
            <w:pPr>
              <w:pStyle w:val="18"/>
              <w:spacing w:before="0" w:after="0" w:line="240" w:lineRule="atLeast"/>
              <w:rPr>
                <w:rFonts w:ascii="Times New Roman" w:hAnsi="Times New Roman" w:cs="Times New Roman"/>
                <w:spacing w:val="-10"/>
                <w:sz w:val="21"/>
                <w:szCs w:val="21"/>
              </w:rPr>
            </w:pPr>
            <w:r>
              <w:rPr>
                <w:rFonts w:ascii="Times New Roman" w:hAnsi="Times New Roman" w:cs="Times New Roman"/>
                <w:sz w:val="21"/>
                <w:szCs w:val="21"/>
              </w:rPr>
              <w:t>Cytosolic part</w:t>
            </w:r>
          </w:p>
        </w:tc>
        <w:tc>
          <w:tcPr>
            <w:tcW w:w="994" w:type="pct"/>
            <w:tcBorders>
              <w:top w:val="nil"/>
              <w:bottom w:val="nil"/>
            </w:tcBorders>
          </w:tcPr>
          <w:p w14:paraId="4C2671A2">
            <w:pPr>
              <w:pStyle w:val="18"/>
              <w:spacing w:before="0" w:after="0" w:line="240" w:lineRule="atLeast"/>
              <w:jc w:val="center"/>
              <w:rPr>
                <w:rFonts w:ascii="Times New Roman" w:hAnsi="Times New Roman" w:cs="Times New Roman"/>
                <w:sz w:val="21"/>
                <w:szCs w:val="21"/>
              </w:rPr>
            </w:pPr>
            <w:r>
              <w:rPr>
                <w:rFonts w:ascii="Times New Roman" w:hAnsi="Times New Roman" w:cs="Times New Roman"/>
                <w:sz w:val="21"/>
                <w:szCs w:val="21"/>
              </w:rPr>
              <w:t>1.22E-06</w:t>
            </w:r>
          </w:p>
        </w:tc>
      </w:tr>
      <w:tr w14:paraId="50F326C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006" w:type="pct"/>
            <w:tcBorders>
              <w:top w:val="nil"/>
              <w:bottom w:val="nil"/>
            </w:tcBorders>
            <w:vAlign w:val="center"/>
          </w:tcPr>
          <w:p w14:paraId="75D18787">
            <w:pPr>
              <w:pStyle w:val="18"/>
              <w:spacing w:before="0" w:after="0" w:line="240" w:lineRule="atLeast"/>
              <w:rPr>
                <w:rFonts w:ascii="Times New Roman" w:hAnsi="Times New Roman" w:cs="Times New Roman"/>
                <w:sz w:val="21"/>
                <w:szCs w:val="21"/>
              </w:rPr>
            </w:pPr>
            <w:r>
              <w:rPr>
                <w:rFonts w:ascii="Times New Roman" w:hAnsi="Times New Roman" w:cs="Times New Roman"/>
                <w:sz w:val="21"/>
                <w:szCs w:val="21"/>
              </w:rPr>
              <w:t>Viral transcription</w:t>
            </w:r>
          </w:p>
        </w:tc>
        <w:tc>
          <w:tcPr>
            <w:tcW w:w="994" w:type="pct"/>
            <w:tcBorders>
              <w:top w:val="nil"/>
              <w:bottom w:val="nil"/>
            </w:tcBorders>
          </w:tcPr>
          <w:p w14:paraId="02494BF2">
            <w:pPr>
              <w:pStyle w:val="18"/>
              <w:spacing w:before="0" w:after="0" w:line="240" w:lineRule="atLeast"/>
              <w:jc w:val="center"/>
              <w:rPr>
                <w:rFonts w:ascii="Times New Roman" w:hAnsi="Times New Roman" w:cs="Times New Roman"/>
                <w:sz w:val="21"/>
                <w:szCs w:val="21"/>
              </w:rPr>
            </w:pPr>
            <w:r>
              <w:rPr>
                <w:rFonts w:ascii="Times New Roman" w:hAnsi="Times New Roman" w:cs="Times New Roman"/>
                <w:sz w:val="21"/>
                <w:szCs w:val="21"/>
              </w:rPr>
              <w:t>2.49E-06</w:t>
            </w:r>
          </w:p>
        </w:tc>
      </w:tr>
      <w:tr w14:paraId="4748B9A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006" w:type="pct"/>
            <w:tcBorders>
              <w:top w:val="nil"/>
              <w:bottom w:val="nil"/>
            </w:tcBorders>
            <w:vAlign w:val="center"/>
          </w:tcPr>
          <w:p w14:paraId="1B2486E8">
            <w:pPr>
              <w:pStyle w:val="18"/>
              <w:spacing w:before="0" w:after="0" w:line="240" w:lineRule="atLeast"/>
              <w:rPr>
                <w:rFonts w:ascii="Times New Roman" w:hAnsi="Times New Roman" w:cs="Times New Roman"/>
                <w:sz w:val="21"/>
                <w:szCs w:val="21"/>
              </w:rPr>
            </w:pPr>
            <w:r>
              <w:rPr>
                <w:rFonts w:ascii="Times New Roman" w:hAnsi="Times New Roman" w:cs="Times New Roman"/>
                <w:spacing w:val="-8"/>
                <w:sz w:val="21"/>
                <w:szCs w:val="21"/>
              </w:rPr>
              <w:t>Cellular macromolecule biosynthetic process</w:t>
            </w:r>
          </w:p>
        </w:tc>
        <w:tc>
          <w:tcPr>
            <w:tcW w:w="994" w:type="pct"/>
            <w:tcBorders>
              <w:top w:val="nil"/>
              <w:bottom w:val="nil"/>
            </w:tcBorders>
          </w:tcPr>
          <w:p w14:paraId="63582322">
            <w:pPr>
              <w:pStyle w:val="18"/>
              <w:spacing w:before="0" w:after="0" w:line="240" w:lineRule="atLeast"/>
              <w:jc w:val="center"/>
              <w:rPr>
                <w:rFonts w:ascii="Times New Roman" w:hAnsi="Times New Roman" w:cs="Times New Roman"/>
                <w:sz w:val="21"/>
                <w:szCs w:val="21"/>
              </w:rPr>
            </w:pPr>
            <w:r>
              <w:rPr>
                <w:rFonts w:ascii="Times New Roman" w:hAnsi="Times New Roman" w:cs="Times New Roman"/>
                <w:sz w:val="21"/>
                <w:szCs w:val="21"/>
              </w:rPr>
              <w:t>2.76E-06</w:t>
            </w:r>
          </w:p>
        </w:tc>
      </w:tr>
      <w:tr w14:paraId="13BEBE2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006" w:type="pct"/>
            <w:tcBorders>
              <w:top w:val="nil"/>
              <w:bottom w:val="single" w:color="auto" w:sz="8" w:space="0"/>
            </w:tcBorders>
            <w:vAlign w:val="center"/>
          </w:tcPr>
          <w:p w14:paraId="4C07F205">
            <w:pPr>
              <w:pStyle w:val="18"/>
              <w:spacing w:before="0" w:after="0" w:line="240" w:lineRule="atLeast"/>
              <w:rPr>
                <w:rFonts w:ascii="Times New Roman" w:hAnsi="Times New Roman" w:cs="Times New Roman"/>
                <w:spacing w:val="-8"/>
                <w:sz w:val="21"/>
                <w:szCs w:val="21"/>
              </w:rPr>
            </w:pPr>
            <w:r>
              <w:rPr>
                <w:rFonts w:ascii="Times New Roman" w:hAnsi="Times New Roman" w:cs="Times New Roman"/>
                <w:sz w:val="21"/>
                <w:szCs w:val="21"/>
              </w:rPr>
              <w:t>Viral process</w:t>
            </w:r>
          </w:p>
        </w:tc>
        <w:tc>
          <w:tcPr>
            <w:tcW w:w="994" w:type="pct"/>
            <w:tcBorders>
              <w:top w:val="nil"/>
              <w:bottom w:val="single" w:color="auto" w:sz="8" w:space="0"/>
            </w:tcBorders>
          </w:tcPr>
          <w:p w14:paraId="67DC914A">
            <w:pPr>
              <w:pStyle w:val="18"/>
              <w:spacing w:before="0" w:after="0" w:line="240" w:lineRule="atLeast"/>
              <w:jc w:val="center"/>
              <w:rPr>
                <w:rFonts w:ascii="Times New Roman" w:hAnsi="Times New Roman" w:cs="Times New Roman"/>
                <w:sz w:val="21"/>
                <w:szCs w:val="21"/>
              </w:rPr>
            </w:pPr>
            <w:r>
              <w:rPr>
                <w:rFonts w:ascii="Times New Roman" w:hAnsi="Times New Roman" w:cs="Times New Roman"/>
                <w:sz w:val="21"/>
                <w:szCs w:val="21"/>
              </w:rPr>
              <w:t>4.23E-06</w:t>
            </w:r>
          </w:p>
        </w:tc>
      </w:tr>
    </w:tbl>
    <w:p w14:paraId="2C586FA7">
      <w:pPr>
        <w:pStyle w:val="6"/>
        <w:spacing w:before="240" w:after="0" w:line="240" w:lineRule="atLeast"/>
        <w:jc w:val="center"/>
        <w:rPr>
          <w:rFonts w:ascii="Times New Roman" w:hAnsi="Times New Roman" w:cs="Times New Roman"/>
          <w:sz w:val="21"/>
          <w:szCs w:val="21"/>
        </w:rPr>
      </w:pPr>
      <w:r>
        <w:rPr>
          <w:rFonts w:ascii="Times New Roman" w:hAnsi="Times New Roman" w:cs="Times New Roman"/>
          <w:b/>
          <w:bCs/>
          <w:sz w:val="21"/>
          <w:szCs w:val="21"/>
        </w:rPr>
        <w:t>Table S3.</w:t>
      </w:r>
      <w:r>
        <w:rPr>
          <w:rFonts w:ascii="Times New Roman" w:hAnsi="Times New Roman" w:cs="Times New Roman"/>
          <w:sz w:val="21"/>
          <w:szCs w:val="21"/>
        </w:rPr>
        <w:t xml:space="preserve"> TERMS related to glycolysis</w:t>
      </w:r>
    </w:p>
    <w:tbl>
      <w:tblPr>
        <w:tblStyle w:val="19"/>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103"/>
        <w:gridCol w:w="887"/>
      </w:tblGrid>
      <w:tr w14:paraId="2994A9F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11" w:type="pct"/>
            <w:tcBorders>
              <w:top w:val="single" w:color="auto" w:sz="8" w:space="0"/>
              <w:bottom w:val="single" w:color="auto" w:sz="4" w:space="0"/>
            </w:tcBorders>
            <w:vAlign w:val="center"/>
          </w:tcPr>
          <w:p w14:paraId="57C030BC">
            <w:pPr>
              <w:pStyle w:val="18"/>
              <w:spacing w:before="0" w:after="0" w:line="240" w:lineRule="atLeast"/>
              <w:rPr>
                <w:rFonts w:ascii="Times New Roman" w:hAnsi="Times New Roman" w:cs="Times New Roman"/>
                <w:sz w:val="21"/>
                <w:szCs w:val="21"/>
              </w:rPr>
            </w:pPr>
            <w:r>
              <w:rPr>
                <w:rFonts w:ascii="Times New Roman" w:hAnsi="Times New Roman" w:cs="Times New Roman"/>
                <w:sz w:val="21"/>
                <w:szCs w:val="21"/>
              </w:rPr>
              <w:t>Pathway</w:t>
            </w:r>
          </w:p>
        </w:tc>
        <w:tc>
          <w:tcPr>
            <w:tcW w:w="889" w:type="pct"/>
            <w:tcBorders>
              <w:top w:val="single" w:color="auto" w:sz="8" w:space="0"/>
              <w:bottom w:val="single" w:color="auto" w:sz="4" w:space="0"/>
            </w:tcBorders>
            <w:vAlign w:val="center"/>
          </w:tcPr>
          <w:p w14:paraId="031A78B0">
            <w:pPr>
              <w:pStyle w:val="18"/>
              <w:spacing w:before="0" w:after="0" w:line="240" w:lineRule="atLeast"/>
              <w:jc w:val="center"/>
              <w:rPr>
                <w:rFonts w:ascii="Times New Roman" w:hAnsi="Times New Roman" w:cs="Times New Roman"/>
                <w:sz w:val="21"/>
                <w:szCs w:val="21"/>
              </w:rPr>
            </w:pPr>
            <m:oMath>
              <m:sSub>
                <m:sSubPr>
                  <m:ctrlPr>
                    <w:rPr>
                      <w:rFonts w:ascii="Cambria Math" w:hAnsi="Cambria Math" w:cs="Times New Roman"/>
                      <w:sz w:val="21"/>
                      <w:szCs w:val="21"/>
                    </w:rPr>
                  </m:ctrlPr>
                </m:sSubPr>
                <m:e>
                  <m:r>
                    <m:rPr/>
                    <w:rPr>
                      <w:rFonts w:ascii="Cambria Math" w:hAnsi="Cambria Math" w:cs="Times New Roman"/>
                      <w:sz w:val="21"/>
                      <w:szCs w:val="21"/>
                    </w:rPr>
                    <m:t>P</m:t>
                  </m:r>
                  <m:ctrlPr>
                    <w:rPr>
                      <w:rFonts w:ascii="Cambria Math" w:hAnsi="Cambria Math" w:cs="Times New Roman"/>
                      <w:sz w:val="21"/>
                      <w:szCs w:val="21"/>
                    </w:rPr>
                  </m:ctrlPr>
                </m:e>
                <m:sub>
                  <m:r>
                    <m:rPr/>
                    <w:rPr>
                      <w:rFonts w:ascii="Cambria Math" w:hAnsi="Cambria Math" w:cs="Times New Roman"/>
                      <w:sz w:val="21"/>
                      <w:szCs w:val="21"/>
                    </w:rPr>
                    <m:t>m</m:t>
                  </m:r>
                  <m:ctrlPr>
                    <w:rPr>
                      <w:rFonts w:ascii="Cambria Math" w:hAnsi="Cambria Math" w:cs="Times New Roman"/>
                      <w:sz w:val="21"/>
                      <w:szCs w:val="21"/>
                    </w:rPr>
                  </m:ctrlPr>
                </m:sub>
              </m:sSub>
            </m:oMath>
            <w:r>
              <w:rPr>
                <w:rFonts w:ascii="Times New Roman" w:hAnsi="Times New Roman" w:cs="Times New Roman"/>
                <w:sz w:val="21"/>
                <w:szCs w:val="21"/>
              </w:rPr>
              <w:t xml:space="preserve"> adj</w:t>
            </w:r>
          </w:p>
        </w:tc>
      </w:tr>
      <w:tr w14:paraId="5125E91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11" w:type="pct"/>
            <w:tcBorders>
              <w:top w:val="single" w:color="auto" w:sz="4" w:space="0"/>
            </w:tcBorders>
            <w:vAlign w:val="center"/>
          </w:tcPr>
          <w:p w14:paraId="474A35A4">
            <w:pPr>
              <w:pStyle w:val="18"/>
              <w:spacing w:before="0" w:after="0" w:line="240" w:lineRule="atLeast"/>
              <w:rPr>
                <w:rFonts w:ascii="Times New Roman" w:hAnsi="Times New Roman" w:cs="Times New Roman"/>
                <w:sz w:val="21"/>
                <w:szCs w:val="21"/>
              </w:rPr>
            </w:pPr>
            <w:r>
              <w:rPr>
                <w:rFonts w:ascii="Times New Roman" w:hAnsi="Times New Roman" w:cs="Times New Roman"/>
                <w:sz w:val="21"/>
                <w:szCs w:val="21"/>
              </w:rPr>
              <w:t>HIF-1 signaling pathway</w:t>
            </w:r>
          </w:p>
        </w:tc>
        <w:tc>
          <w:tcPr>
            <w:tcW w:w="889" w:type="pct"/>
            <w:tcBorders>
              <w:top w:val="single" w:color="auto" w:sz="4" w:space="0"/>
            </w:tcBorders>
            <w:vAlign w:val="center"/>
          </w:tcPr>
          <w:p w14:paraId="04F8A02F">
            <w:pPr>
              <w:pStyle w:val="18"/>
              <w:spacing w:before="0" w:after="0" w:line="240" w:lineRule="atLeast"/>
              <w:jc w:val="center"/>
              <w:rPr>
                <w:rFonts w:ascii="Times New Roman" w:hAnsi="Times New Roman" w:cs="Times New Roman"/>
                <w:sz w:val="21"/>
                <w:szCs w:val="21"/>
              </w:rPr>
            </w:pPr>
            <w:r>
              <w:rPr>
                <w:rFonts w:ascii="Times New Roman" w:hAnsi="Times New Roman" w:cs="Times New Roman"/>
                <w:sz w:val="21"/>
                <w:szCs w:val="21"/>
              </w:rPr>
              <w:t>3.5E-04</w:t>
            </w:r>
          </w:p>
        </w:tc>
      </w:tr>
      <w:tr w14:paraId="5D07E8F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11" w:type="pct"/>
            <w:vAlign w:val="center"/>
          </w:tcPr>
          <w:p w14:paraId="366CE6A9">
            <w:pPr>
              <w:pStyle w:val="18"/>
              <w:spacing w:before="0" w:after="0" w:line="240" w:lineRule="atLeast"/>
              <w:rPr>
                <w:rFonts w:ascii="Times New Roman" w:hAnsi="Times New Roman" w:cs="Times New Roman"/>
                <w:sz w:val="21"/>
                <w:szCs w:val="21"/>
              </w:rPr>
            </w:pPr>
            <w:r>
              <w:rPr>
                <w:rFonts w:ascii="Times New Roman" w:hAnsi="Times New Roman" w:cs="Times New Roman"/>
                <w:sz w:val="21"/>
                <w:szCs w:val="21"/>
              </w:rPr>
              <w:t>ErbB signaling pathway</w:t>
            </w:r>
          </w:p>
        </w:tc>
        <w:tc>
          <w:tcPr>
            <w:tcW w:w="889" w:type="pct"/>
            <w:vAlign w:val="center"/>
          </w:tcPr>
          <w:p w14:paraId="0AD9B52B">
            <w:pPr>
              <w:pStyle w:val="18"/>
              <w:spacing w:before="0" w:after="0" w:line="240" w:lineRule="atLeast"/>
              <w:jc w:val="center"/>
              <w:rPr>
                <w:rFonts w:ascii="Times New Roman" w:hAnsi="Times New Roman" w:cs="Times New Roman"/>
                <w:sz w:val="21"/>
                <w:szCs w:val="21"/>
              </w:rPr>
            </w:pPr>
            <w:r>
              <w:rPr>
                <w:rFonts w:ascii="Times New Roman" w:hAnsi="Times New Roman" w:cs="Times New Roman"/>
                <w:sz w:val="21"/>
                <w:szCs w:val="21"/>
              </w:rPr>
              <w:t>2.8E-02</w:t>
            </w:r>
          </w:p>
        </w:tc>
      </w:tr>
      <w:tr w14:paraId="230729C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11" w:type="pct"/>
            <w:vAlign w:val="center"/>
          </w:tcPr>
          <w:p w14:paraId="138059D8">
            <w:pPr>
              <w:pStyle w:val="18"/>
              <w:spacing w:before="0" w:after="0" w:line="240" w:lineRule="atLeast"/>
              <w:rPr>
                <w:rFonts w:ascii="Times New Roman" w:hAnsi="Times New Roman" w:cs="Times New Roman"/>
                <w:sz w:val="21"/>
                <w:szCs w:val="21"/>
              </w:rPr>
            </w:pPr>
            <w:r>
              <w:rPr>
                <w:rFonts w:ascii="Times New Roman" w:hAnsi="Times New Roman" w:cs="Times New Roman"/>
                <w:sz w:val="21"/>
                <w:szCs w:val="21"/>
              </w:rPr>
              <w:t>Canonical glycolysis (GO:0061621)</w:t>
            </w:r>
          </w:p>
        </w:tc>
        <w:tc>
          <w:tcPr>
            <w:tcW w:w="889" w:type="pct"/>
            <w:vAlign w:val="center"/>
          </w:tcPr>
          <w:p w14:paraId="3E036359">
            <w:pPr>
              <w:pStyle w:val="18"/>
              <w:spacing w:before="0" w:after="0" w:line="240" w:lineRule="atLeast"/>
              <w:jc w:val="center"/>
              <w:rPr>
                <w:rFonts w:ascii="Times New Roman" w:hAnsi="Times New Roman" w:cs="Times New Roman"/>
                <w:sz w:val="21"/>
                <w:szCs w:val="21"/>
              </w:rPr>
            </w:pPr>
            <w:r>
              <w:rPr>
                <w:rFonts w:ascii="Times New Roman" w:hAnsi="Times New Roman" w:cs="Times New Roman"/>
                <w:sz w:val="21"/>
                <w:szCs w:val="21"/>
              </w:rPr>
              <w:t>6.2E-03</w:t>
            </w:r>
          </w:p>
        </w:tc>
      </w:tr>
      <w:tr w14:paraId="689E568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11" w:type="pct"/>
            <w:vAlign w:val="center"/>
          </w:tcPr>
          <w:p w14:paraId="64DB3021">
            <w:pPr>
              <w:pStyle w:val="18"/>
              <w:spacing w:before="0" w:after="0" w:line="240" w:lineRule="atLeast"/>
              <w:rPr>
                <w:rFonts w:ascii="Times New Roman" w:hAnsi="Times New Roman" w:cs="Times New Roman"/>
                <w:sz w:val="21"/>
                <w:szCs w:val="21"/>
              </w:rPr>
            </w:pPr>
            <w:r>
              <w:rPr>
                <w:rFonts w:ascii="Times New Roman" w:hAnsi="Times New Roman" w:cs="Times New Roman"/>
                <w:sz w:val="21"/>
                <w:szCs w:val="21"/>
              </w:rPr>
              <w:t>Glycolytic process (GO:0006096)</w:t>
            </w:r>
          </w:p>
        </w:tc>
        <w:tc>
          <w:tcPr>
            <w:tcW w:w="889" w:type="pct"/>
            <w:vAlign w:val="center"/>
          </w:tcPr>
          <w:p w14:paraId="47D24498">
            <w:pPr>
              <w:pStyle w:val="18"/>
              <w:spacing w:before="0" w:after="0" w:line="240" w:lineRule="atLeast"/>
              <w:jc w:val="center"/>
              <w:rPr>
                <w:rFonts w:ascii="Times New Roman" w:hAnsi="Times New Roman" w:cs="Times New Roman"/>
                <w:sz w:val="21"/>
                <w:szCs w:val="21"/>
              </w:rPr>
            </w:pPr>
            <w:r>
              <w:rPr>
                <w:rFonts w:ascii="Times New Roman" w:hAnsi="Times New Roman" w:cs="Times New Roman"/>
                <w:sz w:val="21"/>
                <w:szCs w:val="21"/>
              </w:rPr>
              <w:t>7.2E-03</w:t>
            </w:r>
          </w:p>
        </w:tc>
      </w:tr>
      <w:tr w14:paraId="250BE0F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11" w:type="pct"/>
            <w:vAlign w:val="center"/>
          </w:tcPr>
          <w:p w14:paraId="1D6B6F89">
            <w:pPr>
              <w:pStyle w:val="18"/>
              <w:spacing w:before="0" w:after="0" w:line="240" w:lineRule="atLeast"/>
              <w:rPr>
                <w:rFonts w:ascii="Times New Roman" w:hAnsi="Times New Roman" w:cs="Times New Roman"/>
                <w:sz w:val="21"/>
                <w:szCs w:val="21"/>
              </w:rPr>
            </w:pPr>
            <w:r>
              <w:rPr>
                <w:rFonts w:ascii="Times New Roman" w:hAnsi="Times New Roman" w:cs="Times New Roman"/>
                <w:sz w:val="21"/>
                <w:szCs w:val="21"/>
              </w:rPr>
              <w:t>Glycolytic process through fructose-6-phosphate (GO:0061615)</w:t>
            </w:r>
          </w:p>
        </w:tc>
        <w:tc>
          <w:tcPr>
            <w:tcW w:w="889" w:type="pct"/>
            <w:vAlign w:val="center"/>
          </w:tcPr>
          <w:p w14:paraId="3DA2AE77">
            <w:pPr>
              <w:pStyle w:val="18"/>
              <w:spacing w:before="0" w:after="0" w:line="240" w:lineRule="atLeast"/>
              <w:jc w:val="center"/>
              <w:rPr>
                <w:rFonts w:ascii="Times New Roman" w:hAnsi="Times New Roman" w:cs="Times New Roman"/>
                <w:sz w:val="21"/>
                <w:szCs w:val="21"/>
              </w:rPr>
            </w:pPr>
            <w:r>
              <w:rPr>
                <w:rFonts w:ascii="Times New Roman" w:hAnsi="Times New Roman" w:cs="Times New Roman"/>
                <w:sz w:val="21"/>
                <w:szCs w:val="21"/>
              </w:rPr>
              <w:t>7.5E-03</w:t>
            </w:r>
          </w:p>
        </w:tc>
      </w:tr>
      <w:tr w14:paraId="4ACF89C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11" w:type="pct"/>
            <w:vAlign w:val="center"/>
          </w:tcPr>
          <w:p w14:paraId="53C19C53">
            <w:pPr>
              <w:pStyle w:val="18"/>
              <w:spacing w:before="0" w:after="0" w:line="240" w:lineRule="atLeast"/>
              <w:rPr>
                <w:rFonts w:ascii="Times New Roman" w:hAnsi="Times New Roman" w:cs="Times New Roman"/>
                <w:sz w:val="21"/>
                <w:szCs w:val="21"/>
              </w:rPr>
            </w:pPr>
            <w:r>
              <w:rPr>
                <w:rFonts w:ascii="Times New Roman" w:hAnsi="Times New Roman" w:cs="Times New Roman"/>
                <w:sz w:val="21"/>
                <w:szCs w:val="21"/>
              </w:rPr>
              <w:t>Glycolytic process through glucose-6-phosphate (GO:0061620)</w:t>
            </w:r>
          </w:p>
        </w:tc>
        <w:tc>
          <w:tcPr>
            <w:tcW w:w="889" w:type="pct"/>
            <w:vAlign w:val="center"/>
          </w:tcPr>
          <w:p w14:paraId="4596F205">
            <w:pPr>
              <w:pStyle w:val="18"/>
              <w:spacing w:before="0" w:after="0" w:line="240" w:lineRule="atLeast"/>
              <w:jc w:val="center"/>
              <w:rPr>
                <w:rFonts w:ascii="Times New Roman" w:hAnsi="Times New Roman" w:cs="Times New Roman"/>
                <w:sz w:val="21"/>
                <w:szCs w:val="21"/>
              </w:rPr>
            </w:pPr>
            <w:r>
              <w:rPr>
                <w:rFonts w:ascii="Times New Roman" w:hAnsi="Times New Roman" w:cs="Times New Roman"/>
                <w:sz w:val="21"/>
                <w:szCs w:val="21"/>
              </w:rPr>
              <w:t>7.5E-03</w:t>
            </w:r>
          </w:p>
        </w:tc>
      </w:tr>
      <w:tr w14:paraId="5CFFBE8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11" w:type="pct"/>
            <w:vAlign w:val="center"/>
          </w:tcPr>
          <w:p w14:paraId="16E64B1A">
            <w:pPr>
              <w:pStyle w:val="18"/>
              <w:spacing w:before="0" w:after="0" w:line="240" w:lineRule="atLeast"/>
              <w:rPr>
                <w:rFonts w:ascii="Times New Roman" w:hAnsi="Times New Roman" w:cs="Times New Roman"/>
                <w:sz w:val="21"/>
                <w:szCs w:val="21"/>
              </w:rPr>
            </w:pPr>
            <w:r>
              <w:rPr>
                <w:rFonts w:ascii="Times New Roman" w:hAnsi="Times New Roman" w:cs="Times New Roman"/>
                <w:sz w:val="21"/>
                <w:szCs w:val="21"/>
              </w:rPr>
              <w:t>Glucose catabolic process to pyruvate (GO:0061718)</w:t>
            </w:r>
          </w:p>
        </w:tc>
        <w:tc>
          <w:tcPr>
            <w:tcW w:w="889" w:type="pct"/>
            <w:vAlign w:val="center"/>
          </w:tcPr>
          <w:p w14:paraId="1BDBDED1">
            <w:pPr>
              <w:pStyle w:val="18"/>
              <w:spacing w:before="0" w:after="0" w:line="240" w:lineRule="atLeast"/>
              <w:jc w:val="center"/>
              <w:rPr>
                <w:rFonts w:ascii="Times New Roman" w:hAnsi="Times New Roman" w:cs="Times New Roman"/>
                <w:sz w:val="21"/>
                <w:szCs w:val="21"/>
              </w:rPr>
            </w:pPr>
            <w:r>
              <w:rPr>
                <w:rFonts w:ascii="Times New Roman" w:hAnsi="Times New Roman" w:cs="Times New Roman"/>
                <w:sz w:val="21"/>
                <w:szCs w:val="21"/>
              </w:rPr>
              <w:t>6.2E-03</w:t>
            </w:r>
          </w:p>
        </w:tc>
      </w:tr>
      <w:tr w14:paraId="47FCF05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11" w:type="pct"/>
            <w:vAlign w:val="center"/>
          </w:tcPr>
          <w:p w14:paraId="5A3C5F1C">
            <w:pPr>
              <w:pStyle w:val="18"/>
              <w:spacing w:before="0" w:after="0" w:line="240" w:lineRule="atLeast"/>
              <w:rPr>
                <w:rFonts w:ascii="Times New Roman" w:hAnsi="Times New Roman" w:cs="Times New Roman"/>
                <w:sz w:val="21"/>
                <w:szCs w:val="21"/>
              </w:rPr>
            </w:pPr>
            <w:r>
              <w:rPr>
                <w:rFonts w:ascii="Times New Roman" w:hAnsi="Times New Roman" w:cs="Times New Roman"/>
                <w:sz w:val="21"/>
                <w:szCs w:val="21"/>
              </w:rPr>
              <w:t>Glucose metabolic process (GO:0006006)</w:t>
            </w:r>
          </w:p>
        </w:tc>
        <w:tc>
          <w:tcPr>
            <w:tcW w:w="889" w:type="pct"/>
            <w:vAlign w:val="center"/>
          </w:tcPr>
          <w:p w14:paraId="5919A5DD">
            <w:pPr>
              <w:pStyle w:val="18"/>
              <w:spacing w:before="0" w:after="0" w:line="240" w:lineRule="atLeast"/>
              <w:jc w:val="center"/>
              <w:rPr>
                <w:rFonts w:ascii="Times New Roman" w:hAnsi="Times New Roman" w:cs="Times New Roman"/>
                <w:sz w:val="21"/>
                <w:szCs w:val="21"/>
              </w:rPr>
            </w:pPr>
            <w:r>
              <w:rPr>
                <w:rFonts w:ascii="Times New Roman" w:hAnsi="Times New Roman" w:cs="Times New Roman"/>
                <w:sz w:val="21"/>
                <w:szCs w:val="21"/>
              </w:rPr>
              <w:t>1.3E-02</w:t>
            </w:r>
          </w:p>
        </w:tc>
      </w:tr>
      <w:tr w14:paraId="363CDCB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11" w:type="pct"/>
            <w:vAlign w:val="center"/>
          </w:tcPr>
          <w:p w14:paraId="4D9C35E2">
            <w:pPr>
              <w:pStyle w:val="18"/>
              <w:spacing w:before="0" w:after="0" w:line="240" w:lineRule="atLeast"/>
              <w:rPr>
                <w:rFonts w:ascii="Times New Roman" w:hAnsi="Times New Roman" w:cs="Times New Roman"/>
                <w:sz w:val="21"/>
                <w:szCs w:val="21"/>
              </w:rPr>
            </w:pPr>
            <w:r>
              <w:rPr>
                <w:rFonts w:ascii="Times New Roman" w:hAnsi="Times New Roman" w:cs="Times New Roman"/>
                <w:sz w:val="21"/>
                <w:szCs w:val="21"/>
              </w:rPr>
              <w:t>Glucose catabolic process (GO:0006007)</w:t>
            </w:r>
          </w:p>
        </w:tc>
        <w:tc>
          <w:tcPr>
            <w:tcW w:w="889" w:type="pct"/>
            <w:vAlign w:val="center"/>
          </w:tcPr>
          <w:p w14:paraId="7CCBEC80">
            <w:pPr>
              <w:pStyle w:val="18"/>
              <w:spacing w:before="0" w:after="0" w:line="240" w:lineRule="atLeast"/>
              <w:jc w:val="center"/>
              <w:rPr>
                <w:rFonts w:ascii="Times New Roman" w:hAnsi="Times New Roman" w:cs="Times New Roman"/>
                <w:sz w:val="21"/>
                <w:szCs w:val="21"/>
              </w:rPr>
            </w:pPr>
            <w:r>
              <w:rPr>
                <w:rFonts w:ascii="Times New Roman" w:hAnsi="Times New Roman" w:cs="Times New Roman"/>
                <w:sz w:val="21"/>
                <w:szCs w:val="21"/>
              </w:rPr>
              <w:t>1.0E-03</w:t>
            </w:r>
          </w:p>
        </w:tc>
      </w:tr>
    </w:tbl>
    <w:p w14:paraId="57EB453F">
      <w:pPr>
        <w:pStyle w:val="6"/>
        <w:spacing w:before="240" w:after="0" w:line="240" w:lineRule="atLeast"/>
        <w:jc w:val="center"/>
        <w:rPr>
          <w:rFonts w:ascii="Times New Roman" w:hAnsi="Times New Roman" w:cs="Times New Roman"/>
          <w:sz w:val="21"/>
          <w:szCs w:val="21"/>
        </w:rPr>
      </w:pPr>
      <w:r>
        <w:rPr>
          <w:rFonts w:ascii="Times New Roman" w:hAnsi="Times New Roman" w:cs="Times New Roman"/>
          <w:b/>
          <w:bCs/>
          <w:sz w:val="21"/>
          <w:szCs w:val="21"/>
        </w:rPr>
        <w:t>Table S4.</w:t>
      </w:r>
      <w:r>
        <w:rPr>
          <w:rFonts w:ascii="Times New Roman" w:hAnsi="Times New Roman" w:cs="Times New Roman"/>
          <w:sz w:val="21"/>
          <w:szCs w:val="21"/>
        </w:rPr>
        <w:t xml:space="preserve"> TOP10 MCC score rank</w:t>
      </w:r>
    </w:p>
    <w:tbl>
      <w:tblPr>
        <w:tblStyle w:val="19"/>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39"/>
        <w:gridCol w:w="1612"/>
        <w:gridCol w:w="1739"/>
      </w:tblGrid>
      <w:tr w14:paraId="27C56E1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43" w:type="pct"/>
            <w:tcBorders>
              <w:top w:val="single" w:color="auto" w:sz="8" w:space="0"/>
              <w:bottom w:val="single" w:color="auto" w:sz="4" w:space="0"/>
            </w:tcBorders>
            <w:vAlign w:val="bottom"/>
          </w:tcPr>
          <w:p w14:paraId="77CC5EA5">
            <w:pPr>
              <w:pStyle w:val="18"/>
              <w:spacing w:before="0" w:after="0" w:line="240" w:lineRule="atLeast"/>
              <w:jc w:val="center"/>
              <w:rPr>
                <w:rFonts w:ascii="Times New Roman" w:hAnsi="Times New Roman" w:cs="Times New Roman"/>
                <w:sz w:val="21"/>
                <w:szCs w:val="21"/>
              </w:rPr>
            </w:pPr>
            <w:r>
              <w:rPr>
                <w:rFonts w:ascii="Times New Roman" w:hAnsi="Times New Roman" w:cs="Times New Roman"/>
                <w:sz w:val="21"/>
                <w:szCs w:val="21"/>
              </w:rPr>
              <w:t>Rank</w:t>
            </w:r>
          </w:p>
        </w:tc>
        <w:tc>
          <w:tcPr>
            <w:tcW w:w="1615" w:type="pct"/>
            <w:tcBorders>
              <w:top w:val="single" w:color="auto" w:sz="8" w:space="0"/>
              <w:bottom w:val="single" w:color="auto" w:sz="4" w:space="0"/>
            </w:tcBorders>
            <w:vAlign w:val="bottom"/>
          </w:tcPr>
          <w:p w14:paraId="7657DB32">
            <w:pPr>
              <w:pStyle w:val="18"/>
              <w:spacing w:before="0" w:after="0" w:line="240" w:lineRule="atLeast"/>
              <w:jc w:val="center"/>
              <w:rPr>
                <w:rFonts w:ascii="Times New Roman" w:hAnsi="Times New Roman" w:cs="Times New Roman"/>
                <w:sz w:val="21"/>
                <w:szCs w:val="21"/>
              </w:rPr>
            </w:pPr>
            <w:r>
              <w:rPr>
                <w:rFonts w:ascii="Times New Roman" w:hAnsi="Times New Roman" w:cs="Times New Roman"/>
                <w:sz w:val="21"/>
                <w:szCs w:val="21"/>
              </w:rPr>
              <w:t>Gene</w:t>
            </w:r>
          </w:p>
        </w:tc>
        <w:tc>
          <w:tcPr>
            <w:tcW w:w="1742" w:type="pct"/>
            <w:tcBorders>
              <w:top w:val="single" w:color="auto" w:sz="8" w:space="0"/>
              <w:bottom w:val="single" w:color="auto" w:sz="4" w:space="0"/>
            </w:tcBorders>
            <w:vAlign w:val="bottom"/>
          </w:tcPr>
          <w:p w14:paraId="238105BA">
            <w:pPr>
              <w:pStyle w:val="18"/>
              <w:spacing w:before="0" w:after="0" w:line="240" w:lineRule="atLeast"/>
              <w:jc w:val="center"/>
              <w:rPr>
                <w:rFonts w:ascii="Times New Roman" w:hAnsi="Times New Roman" w:cs="Times New Roman"/>
                <w:sz w:val="21"/>
                <w:szCs w:val="21"/>
              </w:rPr>
            </w:pPr>
            <w:r>
              <w:rPr>
                <w:rFonts w:ascii="Times New Roman" w:hAnsi="Times New Roman" w:cs="Times New Roman"/>
                <w:sz w:val="21"/>
                <w:szCs w:val="21"/>
              </w:rPr>
              <w:t>Score</w:t>
            </w:r>
          </w:p>
        </w:tc>
      </w:tr>
      <w:tr w14:paraId="236C8BF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43" w:type="pct"/>
            <w:tcBorders>
              <w:top w:val="single" w:color="auto" w:sz="4" w:space="0"/>
            </w:tcBorders>
          </w:tcPr>
          <w:p w14:paraId="5C1D20B3">
            <w:pPr>
              <w:pStyle w:val="18"/>
              <w:spacing w:before="0" w:after="0" w:line="240" w:lineRule="atLeast"/>
              <w:jc w:val="center"/>
              <w:rPr>
                <w:rFonts w:ascii="Times New Roman" w:hAnsi="Times New Roman" w:cs="Times New Roman"/>
                <w:sz w:val="21"/>
                <w:szCs w:val="21"/>
              </w:rPr>
            </w:pPr>
            <w:r>
              <w:rPr>
                <w:rFonts w:ascii="Times New Roman" w:hAnsi="Times New Roman" w:cs="Times New Roman"/>
                <w:sz w:val="21"/>
                <w:szCs w:val="21"/>
              </w:rPr>
              <w:t>1</w:t>
            </w:r>
          </w:p>
        </w:tc>
        <w:tc>
          <w:tcPr>
            <w:tcW w:w="1615" w:type="pct"/>
            <w:tcBorders>
              <w:top w:val="single" w:color="auto" w:sz="4" w:space="0"/>
            </w:tcBorders>
          </w:tcPr>
          <w:p w14:paraId="647C63A5">
            <w:pPr>
              <w:pStyle w:val="18"/>
              <w:spacing w:before="0" w:after="0" w:line="240" w:lineRule="atLeast"/>
              <w:jc w:val="center"/>
              <w:rPr>
                <w:rFonts w:ascii="Times New Roman" w:hAnsi="Times New Roman" w:cs="Times New Roman"/>
                <w:sz w:val="21"/>
                <w:szCs w:val="21"/>
              </w:rPr>
            </w:pPr>
            <w:r>
              <w:rPr>
                <w:rFonts w:ascii="Times New Roman" w:hAnsi="Times New Roman" w:cs="Times New Roman"/>
                <w:sz w:val="21"/>
                <w:szCs w:val="21"/>
              </w:rPr>
              <w:t>NUPR1</w:t>
            </w:r>
          </w:p>
        </w:tc>
        <w:tc>
          <w:tcPr>
            <w:tcW w:w="1742" w:type="pct"/>
            <w:tcBorders>
              <w:top w:val="single" w:color="auto" w:sz="4" w:space="0"/>
            </w:tcBorders>
          </w:tcPr>
          <w:p w14:paraId="13078B02">
            <w:pPr>
              <w:pStyle w:val="18"/>
              <w:spacing w:before="0" w:after="0" w:line="240" w:lineRule="atLeast"/>
              <w:jc w:val="center"/>
              <w:rPr>
                <w:rFonts w:ascii="Times New Roman" w:hAnsi="Times New Roman" w:cs="Times New Roman"/>
                <w:sz w:val="21"/>
                <w:szCs w:val="21"/>
              </w:rPr>
            </w:pPr>
            <w:r>
              <w:rPr>
                <w:rFonts w:ascii="Times New Roman" w:hAnsi="Times New Roman" w:cs="Times New Roman"/>
                <w:sz w:val="21"/>
                <w:szCs w:val="21"/>
              </w:rPr>
              <w:t>9</w:t>
            </w:r>
          </w:p>
        </w:tc>
      </w:tr>
      <w:tr w14:paraId="7A6518E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43" w:type="pct"/>
          </w:tcPr>
          <w:p w14:paraId="16416994">
            <w:pPr>
              <w:pStyle w:val="18"/>
              <w:spacing w:before="0" w:after="0" w:line="240" w:lineRule="atLeast"/>
              <w:jc w:val="center"/>
              <w:rPr>
                <w:rFonts w:ascii="Times New Roman" w:hAnsi="Times New Roman" w:cs="Times New Roman"/>
                <w:sz w:val="21"/>
                <w:szCs w:val="21"/>
              </w:rPr>
            </w:pPr>
            <w:r>
              <w:rPr>
                <w:rFonts w:ascii="Times New Roman" w:hAnsi="Times New Roman" w:cs="Times New Roman"/>
                <w:sz w:val="21"/>
                <w:szCs w:val="21"/>
              </w:rPr>
              <w:t>2</w:t>
            </w:r>
          </w:p>
        </w:tc>
        <w:tc>
          <w:tcPr>
            <w:tcW w:w="1615" w:type="pct"/>
          </w:tcPr>
          <w:p w14:paraId="667C221D">
            <w:pPr>
              <w:pStyle w:val="18"/>
              <w:spacing w:before="0" w:after="0" w:line="240" w:lineRule="atLeast"/>
              <w:jc w:val="center"/>
              <w:rPr>
                <w:rFonts w:ascii="Times New Roman" w:hAnsi="Times New Roman" w:cs="Times New Roman"/>
                <w:sz w:val="21"/>
                <w:szCs w:val="21"/>
              </w:rPr>
            </w:pPr>
            <w:r>
              <w:rPr>
                <w:rFonts w:ascii="Times New Roman" w:hAnsi="Times New Roman" w:cs="Times New Roman"/>
                <w:sz w:val="21"/>
                <w:szCs w:val="21"/>
              </w:rPr>
              <w:t>PKM</w:t>
            </w:r>
          </w:p>
        </w:tc>
        <w:tc>
          <w:tcPr>
            <w:tcW w:w="1742" w:type="pct"/>
          </w:tcPr>
          <w:p w14:paraId="43359A16">
            <w:pPr>
              <w:pStyle w:val="18"/>
              <w:spacing w:before="0" w:after="0" w:line="240" w:lineRule="atLeast"/>
              <w:jc w:val="center"/>
              <w:rPr>
                <w:rFonts w:ascii="Times New Roman" w:hAnsi="Times New Roman" w:cs="Times New Roman"/>
                <w:sz w:val="21"/>
                <w:szCs w:val="21"/>
              </w:rPr>
            </w:pPr>
            <w:r>
              <w:rPr>
                <w:rFonts w:ascii="Times New Roman" w:hAnsi="Times New Roman" w:cs="Times New Roman"/>
                <w:sz w:val="21"/>
                <w:szCs w:val="21"/>
              </w:rPr>
              <w:t>8</w:t>
            </w:r>
          </w:p>
        </w:tc>
      </w:tr>
      <w:tr w14:paraId="735F3DC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43" w:type="pct"/>
          </w:tcPr>
          <w:p w14:paraId="1378563E">
            <w:pPr>
              <w:pStyle w:val="18"/>
              <w:spacing w:before="0" w:after="0" w:line="240" w:lineRule="atLeast"/>
              <w:jc w:val="center"/>
              <w:rPr>
                <w:rFonts w:ascii="Times New Roman" w:hAnsi="Times New Roman" w:cs="Times New Roman"/>
                <w:sz w:val="21"/>
                <w:szCs w:val="21"/>
              </w:rPr>
            </w:pPr>
            <w:r>
              <w:rPr>
                <w:rFonts w:ascii="Times New Roman" w:hAnsi="Times New Roman" w:cs="Times New Roman"/>
                <w:sz w:val="21"/>
                <w:szCs w:val="21"/>
              </w:rPr>
              <w:t>2</w:t>
            </w:r>
          </w:p>
        </w:tc>
        <w:tc>
          <w:tcPr>
            <w:tcW w:w="1615" w:type="pct"/>
          </w:tcPr>
          <w:p w14:paraId="0A914E96">
            <w:pPr>
              <w:pStyle w:val="18"/>
              <w:spacing w:before="0" w:after="0" w:line="240" w:lineRule="atLeast"/>
              <w:jc w:val="center"/>
              <w:rPr>
                <w:rFonts w:ascii="Times New Roman" w:hAnsi="Times New Roman" w:cs="Times New Roman"/>
                <w:sz w:val="21"/>
                <w:szCs w:val="21"/>
              </w:rPr>
            </w:pPr>
            <w:r>
              <w:rPr>
                <w:rFonts w:ascii="Times New Roman" w:hAnsi="Times New Roman" w:cs="Times New Roman"/>
                <w:sz w:val="21"/>
                <w:szCs w:val="21"/>
              </w:rPr>
              <w:t>GAPDH</w:t>
            </w:r>
          </w:p>
        </w:tc>
        <w:tc>
          <w:tcPr>
            <w:tcW w:w="1742" w:type="pct"/>
          </w:tcPr>
          <w:p w14:paraId="03807D9A">
            <w:pPr>
              <w:pStyle w:val="18"/>
              <w:spacing w:before="0" w:after="0" w:line="240" w:lineRule="atLeast"/>
              <w:jc w:val="center"/>
              <w:rPr>
                <w:rFonts w:ascii="Times New Roman" w:hAnsi="Times New Roman" w:cs="Times New Roman"/>
                <w:sz w:val="21"/>
                <w:szCs w:val="21"/>
              </w:rPr>
            </w:pPr>
            <w:r>
              <w:rPr>
                <w:rFonts w:ascii="Times New Roman" w:hAnsi="Times New Roman" w:cs="Times New Roman"/>
                <w:sz w:val="21"/>
                <w:szCs w:val="21"/>
              </w:rPr>
              <w:t>8</w:t>
            </w:r>
          </w:p>
        </w:tc>
      </w:tr>
      <w:tr w14:paraId="1CDC0A8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43" w:type="pct"/>
          </w:tcPr>
          <w:p w14:paraId="27D119E3">
            <w:pPr>
              <w:pStyle w:val="18"/>
              <w:spacing w:before="0" w:after="0" w:line="240" w:lineRule="atLeast"/>
              <w:jc w:val="center"/>
              <w:rPr>
                <w:rFonts w:ascii="Times New Roman" w:hAnsi="Times New Roman" w:cs="Times New Roman"/>
                <w:sz w:val="21"/>
                <w:szCs w:val="21"/>
              </w:rPr>
            </w:pPr>
            <w:r>
              <w:rPr>
                <w:rFonts w:ascii="Times New Roman" w:hAnsi="Times New Roman" w:cs="Times New Roman"/>
                <w:sz w:val="21"/>
                <w:szCs w:val="21"/>
              </w:rPr>
              <w:t>4</w:t>
            </w:r>
          </w:p>
        </w:tc>
        <w:tc>
          <w:tcPr>
            <w:tcW w:w="1615" w:type="pct"/>
          </w:tcPr>
          <w:p w14:paraId="1BDAEE36">
            <w:pPr>
              <w:pStyle w:val="18"/>
              <w:spacing w:before="0" w:after="0" w:line="240" w:lineRule="atLeast"/>
              <w:jc w:val="center"/>
              <w:rPr>
                <w:rFonts w:ascii="Times New Roman" w:hAnsi="Times New Roman" w:cs="Times New Roman"/>
                <w:sz w:val="21"/>
                <w:szCs w:val="21"/>
              </w:rPr>
            </w:pPr>
            <w:r>
              <w:rPr>
                <w:rFonts w:ascii="Times New Roman" w:hAnsi="Times New Roman" w:cs="Times New Roman"/>
                <w:sz w:val="21"/>
                <w:szCs w:val="21"/>
              </w:rPr>
              <w:t>PGM1</w:t>
            </w:r>
          </w:p>
        </w:tc>
        <w:tc>
          <w:tcPr>
            <w:tcW w:w="1742" w:type="pct"/>
          </w:tcPr>
          <w:p w14:paraId="38F151CD">
            <w:pPr>
              <w:pStyle w:val="18"/>
              <w:spacing w:before="0" w:after="0" w:line="240" w:lineRule="atLeast"/>
              <w:jc w:val="center"/>
              <w:rPr>
                <w:rFonts w:ascii="Times New Roman" w:hAnsi="Times New Roman" w:cs="Times New Roman"/>
                <w:sz w:val="21"/>
                <w:szCs w:val="21"/>
              </w:rPr>
            </w:pPr>
            <w:r>
              <w:rPr>
                <w:rFonts w:ascii="Times New Roman" w:hAnsi="Times New Roman" w:cs="Times New Roman"/>
                <w:sz w:val="21"/>
                <w:szCs w:val="21"/>
              </w:rPr>
              <w:t>7</w:t>
            </w:r>
          </w:p>
        </w:tc>
      </w:tr>
      <w:tr w14:paraId="27E7205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43" w:type="pct"/>
          </w:tcPr>
          <w:p w14:paraId="408D9E56">
            <w:pPr>
              <w:pStyle w:val="18"/>
              <w:spacing w:before="0" w:after="0" w:line="240" w:lineRule="atLeast"/>
              <w:jc w:val="center"/>
              <w:rPr>
                <w:rFonts w:ascii="Times New Roman" w:hAnsi="Times New Roman" w:cs="Times New Roman"/>
                <w:sz w:val="21"/>
                <w:szCs w:val="21"/>
              </w:rPr>
            </w:pPr>
            <w:r>
              <w:rPr>
                <w:rFonts w:ascii="Times New Roman" w:hAnsi="Times New Roman" w:cs="Times New Roman"/>
                <w:sz w:val="21"/>
                <w:szCs w:val="21"/>
              </w:rPr>
              <w:t>5</w:t>
            </w:r>
          </w:p>
        </w:tc>
        <w:tc>
          <w:tcPr>
            <w:tcW w:w="1615" w:type="pct"/>
          </w:tcPr>
          <w:p w14:paraId="14001E4A">
            <w:pPr>
              <w:pStyle w:val="18"/>
              <w:spacing w:before="0" w:after="0" w:line="240" w:lineRule="atLeast"/>
              <w:jc w:val="center"/>
              <w:rPr>
                <w:rFonts w:ascii="Times New Roman" w:hAnsi="Times New Roman" w:cs="Times New Roman"/>
                <w:sz w:val="21"/>
                <w:szCs w:val="21"/>
              </w:rPr>
            </w:pPr>
            <w:r>
              <w:rPr>
                <w:rFonts w:ascii="Times New Roman" w:hAnsi="Times New Roman" w:cs="Times New Roman"/>
                <w:sz w:val="21"/>
                <w:szCs w:val="21"/>
              </w:rPr>
              <w:t>ALDOA</w:t>
            </w:r>
          </w:p>
        </w:tc>
        <w:tc>
          <w:tcPr>
            <w:tcW w:w="1742" w:type="pct"/>
          </w:tcPr>
          <w:p w14:paraId="6396B693">
            <w:pPr>
              <w:pStyle w:val="18"/>
              <w:spacing w:before="0" w:after="0" w:line="240" w:lineRule="atLeast"/>
              <w:jc w:val="center"/>
              <w:rPr>
                <w:rFonts w:ascii="Times New Roman" w:hAnsi="Times New Roman" w:cs="Times New Roman"/>
                <w:sz w:val="21"/>
                <w:szCs w:val="21"/>
              </w:rPr>
            </w:pPr>
            <w:r>
              <w:rPr>
                <w:rFonts w:ascii="Times New Roman" w:hAnsi="Times New Roman" w:cs="Times New Roman"/>
                <w:sz w:val="21"/>
                <w:szCs w:val="21"/>
              </w:rPr>
              <w:t>6</w:t>
            </w:r>
          </w:p>
        </w:tc>
      </w:tr>
      <w:tr w14:paraId="6D107B6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43" w:type="pct"/>
          </w:tcPr>
          <w:p w14:paraId="68D14608">
            <w:pPr>
              <w:pStyle w:val="18"/>
              <w:spacing w:before="0" w:after="0" w:line="240" w:lineRule="atLeast"/>
              <w:jc w:val="center"/>
              <w:rPr>
                <w:rFonts w:ascii="Times New Roman" w:hAnsi="Times New Roman" w:cs="Times New Roman"/>
                <w:sz w:val="21"/>
                <w:szCs w:val="21"/>
              </w:rPr>
            </w:pPr>
            <w:r>
              <w:rPr>
                <w:rFonts w:ascii="Times New Roman" w:hAnsi="Times New Roman" w:cs="Times New Roman"/>
                <w:sz w:val="21"/>
                <w:szCs w:val="21"/>
              </w:rPr>
              <w:t>5</w:t>
            </w:r>
          </w:p>
        </w:tc>
        <w:tc>
          <w:tcPr>
            <w:tcW w:w="1615" w:type="pct"/>
          </w:tcPr>
          <w:p w14:paraId="3F788E3A">
            <w:pPr>
              <w:pStyle w:val="18"/>
              <w:spacing w:before="0" w:after="0" w:line="240" w:lineRule="atLeast"/>
              <w:jc w:val="center"/>
              <w:rPr>
                <w:rFonts w:ascii="Times New Roman" w:hAnsi="Times New Roman" w:cs="Times New Roman"/>
                <w:sz w:val="21"/>
                <w:szCs w:val="21"/>
              </w:rPr>
            </w:pPr>
            <w:r>
              <w:rPr>
                <w:rFonts w:ascii="Times New Roman" w:hAnsi="Times New Roman" w:cs="Times New Roman"/>
                <w:sz w:val="21"/>
                <w:szCs w:val="21"/>
              </w:rPr>
              <w:t>TP53</w:t>
            </w:r>
          </w:p>
        </w:tc>
        <w:tc>
          <w:tcPr>
            <w:tcW w:w="1742" w:type="pct"/>
          </w:tcPr>
          <w:p w14:paraId="0EF52170">
            <w:pPr>
              <w:pStyle w:val="18"/>
              <w:spacing w:before="0" w:after="0" w:line="240" w:lineRule="atLeast"/>
              <w:jc w:val="center"/>
              <w:rPr>
                <w:rFonts w:ascii="Times New Roman" w:hAnsi="Times New Roman" w:cs="Times New Roman"/>
                <w:sz w:val="21"/>
                <w:szCs w:val="21"/>
              </w:rPr>
            </w:pPr>
            <w:r>
              <w:rPr>
                <w:rFonts w:ascii="Times New Roman" w:hAnsi="Times New Roman" w:cs="Times New Roman"/>
                <w:sz w:val="21"/>
                <w:szCs w:val="21"/>
              </w:rPr>
              <w:t>6</w:t>
            </w:r>
          </w:p>
        </w:tc>
      </w:tr>
      <w:tr w14:paraId="3CA05D0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43" w:type="pct"/>
          </w:tcPr>
          <w:p w14:paraId="2C5B4E0D">
            <w:pPr>
              <w:pStyle w:val="18"/>
              <w:spacing w:before="0" w:after="0" w:line="240" w:lineRule="atLeast"/>
              <w:jc w:val="center"/>
              <w:rPr>
                <w:rFonts w:ascii="Times New Roman" w:hAnsi="Times New Roman" w:cs="Times New Roman"/>
                <w:sz w:val="21"/>
                <w:szCs w:val="21"/>
              </w:rPr>
            </w:pPr>
            <w:r>
              <w:rPr>
                <w:rFonts w:ascii="Times New Roman" w:hAnsi="Times New Roman" w:cs="Times New Roman"/>
                <w:sz w:val="21"/>
                <w:szCs w:val="21"/>
              </w:rPr>
              <w:t>5</w:t>
            </w:r>
          </w:p>
        </w:tc>
        <w:tc>
          <w:tcPr>
            <w:tcW w:w="1615" w:type="pct"/>
          </w:tcPr>
          <w:p w14:paraId="45CE1992">
            <w:pPr>
              <w:pStyle w:val="18"/>
              <w:spacing w:before="0" w:after="0" w:line="240" w:lineRule="atLeast"/>
              <w:jc w:val="center"/>
              <w:rPr>
                <w:rFonts w:ascii="Times New Roman" w:hAnsi="Times New Roman" w:cs="Times New Roman"/>
                <w:sz w:val="21"/>
                <w:szCs w:val="21"/>
              </w:rPr>
            </w:pPr>
            <w:r>
              <w:rPr>
                <w:rFonts w:ascii="Times New Roman" w:hAnsi="Times New Roman" w:cs="Times New Roman"/>
                <w:sz w:val="21"/>
                <w:szCs w:val="21"/>
              </w:rPr>
              <w:t>PGK1</w:t>
            </w:r>
          </w:p>
        </w:tc>
        <w:tc>
          <w:tcPr>
            <w:tcW w:w="1742" w:type="pct"/>
          </w:tcPr>
          <w:p w14:paraId="0EB7CF82">
            <w:pPr>
              <w:pStyle w:val="18"/>
              <w:spacing w:before="0" w:after="0" w:line="240" w:lineRule="atLeast"/>
              <w:jc w:val="center"/>
              <w:rPr>
                <w:rFonts w:ascii="Times New Roman" w:hAnsi="Times New Roman" w:cs="Times New Roman"/>
                <w:sz w:val="21"/>
                <w:szCs w:val="21"/>
              </w:rPr>
            </w:pPr>
            <w:r>
              <w:rPr>
                <w:rFonts w:ascii="Times New Roman" w:hAnsi="Times New Roman" w:cs="Times New Roman"/>
                <w:sz w:val="21"/>
                <w:szCs w:val="21"/>
              </w:rPr>
              <w:t>6</w:t>
            </w:r>
          </w:p>
        </w:tc>
      </w:tr>
      <w:tr w14:paraId="7C2235A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43" w:type="pct"/>
          </w:tcPr>
          <w:p w14:paraId="6F1ED014">
            <w:pPr>
              <w:pStyle w:val="18"/>
              <w:spacing w:before="0" w:after="0" w:line="240" w:lineRule="atLeast"/>
              <w:jc w:val="center"/>
              <w:rPr>
                <w:rFonts w:ascii="Times New Roman" w:hAnsi="Times New Roman" w:cs="Times New Roman"/>
                <w:sz w:val="21"/>
                <w:szCs w:val="21"/>
              </w:rPr>
            </w:pPr>
            <w:r>
              <w:rPr>
                <w:rFonts w:ascii="Times New Roman" w:hAnsi="Times New Roman" w:cs="Times New Roman"/>
                <w:sz w:val="21"/>
                <w:szCs w:val="21"/>
              </w:rPr>
              <w:t>8</w:t>
            </w:r>
          </w:p>
        </w:tc>
        <w:tc>
          <w:tcPr>
            <w:tcW w:w="1615" w:type="pct"/>
          </w:tcPr>
          <w:p w14:paraId="0C2181FC">
            <w:pPr>
              <w:pStyle w:val="18"/>
              <w:spacing w:before="0" w:after="0" w:line="240" w:lineRule="atLeast"/>
              <w:jc w:val="center"/>
              <w:rPr>
                <w:rFonts w:ascii="Times New Roman" w:hAnsi="Times New Roman" w:cs="Times New Roman"/>
                <w:sz w:val="21"/>
                <w:szCs w:val="21"/>
              </w:rPr>
            </w:pPr>
            <w:r>
              <w:rPr>
                <w:rFonts w:ascii="Times New Roman" w:hAnsi="Times New Roman" w:cs="Times New Roman"/>
                <w:sz w:val="21"/>
                <w:szCs w:val="21"/>
              </w:rPr>
              <w:t>RB1</w:t>
            </w:r>
          </w:p>
        </w:tc>
        <w:tc>
          <w:tcPr>
            <w:tcW w:w="1742" w:type="pct"/>
          </w:tcPr>
          <w:p w14:paraId="7C84579E">
            <w:pPr>
              <w:pStyle w:val="18"/>
              <w:spacing w:before="0" w:after="0" w:line="240" w:lineRule="atLeast"/>
              <w:jc w:val="center"/>
              <w:rPr>
                <w:rFonts w:ascii="Times New Roman" w:hAnsi="Times New Roman" w:cs="Times New Roman"/>
                <w:sz w:val="21"/>
                <w:szCs w:val="21"/>
              </w:rPr>
            </w:pPr>
            <w:r>
              <w:rPr>
                <w:rFonts w:ascii="Times New Roman" w:hAnsi="Times New Roman" w:cs="Times New Roman"/>
                <w:sz w:val="21"/>
                <w:szCs w:val="21"/>
              </w:rPr>
              <w:t>3</w:t>
            </w:r>
          </w:p>
        </w:tc>
      </w:tr>
      <w:tr w14:paraId="7BB1BC5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43" w:type="pct"/>
          </w:tcPr>
          <w:p w14:paraId="4770CE7D">
            <w:pPr>
              <w:pStyle w:val="18"/>
              <w:spacing w:before="0" w:after="0" w:line="240" w:lineRule="atLeast"/>
              <w:jc w:val="center"/>
              <w:rPr>
                <w:rFonts w:ascii="Times New Roman" w:hAnsi="Times New Roman" w:cs="Times New Roman"/>
                <w:sz w:val="21"/>
                <w:szCs w:val="21"/>
              </w:rPr>
            </w:pPr>
            <w:r>
              <w:rPr>
                <w:rFonts w:ascii="Times New Roman" w:hAnsi="Times New Roman" w:cs="Times New Roman"/>
                <w:sz w:val="21"/>
                <w:szCs w:val="21"/>
              </w:rPr>
              <w:t>9</w:t>
            </w:r>
          </w:p>
        </w:tc>
        <w:tc>
          <w:tcPr>
            <w:tcW w:w="1615" w:type="pct"/>
          </w:tcPr>
          <w:p w14:paraId="4DAE5944">
            <w:pPr>
              <w:pStyle w:val="18"/>
              <w:spacing w:before="0" w:after="0" w:line="240" w:lineRule="atLeast"/>
              <w:jc w:val="center"/>
              <w:rPr>
                <w:rFonts w:ascii="Times New Roman" w:hAnsi="Times New Roman" w:cs="Times New Roman"/>
                <w:sz w:val="21"/>
                <w:szCs w:val="21"/>
              </w:rPr>
            </w:pPr>
            <w:r>
              <w:rPr>
                <w:rFonts w:ascii="Times New Roman" w:hAnsi="Times New Roman" w:cs="Times New Roman"/>
                <w:sz w:val="21"/>
                <w:szCs w:val="21"/>
              </w:rPr>
              <w:t>FOS</w:t>
            </w:r>
          </w:p>
        </w:tc>
        <w:tc>
          <w:tcPr>
            <w:tcW w:w="1742" w:type="pct"/>
          </w:tcPr>
          <w:p w14:paraId="34A366F6">
            <w:pPr>
              <w:pStyle w:val="18"/>
              <w:spacing w:before="0" w:after="0" w:line="240" w:lineRule="atLeast"/>
              <w:jc w:val="center"/>
              <w:rPr>
                <w:rFonts w:ascii="Times New Roman" w:hAnsi="Times New Roman" w:cs="Times New Roman"/>
                <w:sz w:val="21"/>
                <w:szCs w:val="21"/>
              </w:rPr>
            </w:pPr>
            <w:r>
              <w:rPr>
                <w:rFonts w:ascii="Times New Roman" w:hAnsi="Times New Roman" w:cs="Times New Roman"/>
                <w:sz w:val="21"/>
                <w:szCs w:val="21"/>
              </w:rPr>
              <w:t>2</w:t>
            </w:r>
          </w:p>
        </w:tc>
      </w:tr>
      <w:tr w14:paraId="4DCE3C4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43" w:type="pct"/>
          </w:tcPr>
          <w:p w14:paraId="6C94232F">
            <w:pPr>
              <w:pStyle w:val="18"/>
              <w:spacing w:before="0" w:after="0" w:line="240" w:lineRule="atLeast"/>
              <w:jc w:val="center"/>
              <w:rPr>
                <w:rFonts w:ascii="Times New Roman" w:hAnsi="Times New Roman" w:cs="Times New Roman"/>
                <w:sz w:val="21"/>
                <w:szCs w:val="21"/>
              </w:rPr>
            </w:pPr>
            <w:r>
              <w:rPr>
                <w:rFonts w:ascii="Times New Roman" w:hAnsi="Times New Roman" w:cs="Times New Roman"/>
                <w:sz w:val="21"/>
                <w:szCs w:val="21"/>
              </w:rPr>
              <w:t>9</w:t>
            </w:r>
          </w:p>
        </w:tc>
        <w:tc>
          <w:tcPr>
            <w:tcW w:w="1615" w:type="pct"/>
          </w:tcPr>
          <w:p w14:paraId="0A16B564">
            <w:pPr>
              <w:pStyle w:val="18"/>
              <w:spacing w:before="0" w:after="0" w:line="240" w:lineRule="atLeast"/>
              <w:jc w:val="center"/>
              <w:rPr>
                <w:rFonts w:ascii="Times New Roman" w:hAnsi="Times New Roman" w:cs="Times New Roman"/>
                <w:sz w:val="21"/>
                <w:szCs w:val="21"/>
              </w:rPr>
            </w:pPr>
            <w:r>
              <w:rPr>
                <w:rFonts w:ascii="Times New Roman" w:hAnsi="Times New Roman" w:cs="Times New Roman"/>
                <w:sz w:val="21"/>
                <w:szCs w:val="21"/>
              </w:rPr>
              <w:t>BBC3</w:t>
            </w:r>
          </w:p>
        </w:tc>
        <w:tc>
          <w:tcPr>
            <w:tcW w:w="1742" w:type="pct"/>
          </w:tcPr>
          <w:p w14:paraId="243985C9">
            <w:pPr>
              <w:pStyle w:val="18"/>
              <w:spacing w:before="0" w:after="0" w:line="240" w:lineRule="atLeast"/>
              <w:jc w:val="center"/>
              <w:rPr>
                <w:rFonts w:ascii="Times New Roman" w:hAnsi="Times New Roman" w:cs="Times New Roman"/>
                <w:sz w:val="21"/>
                <w:szCs w:val="21"/>
              </w:rPr>
            </w:pPr>
            <w:r>
              <w:rPr>
                <w:rFonts w:ascii="Times New Roman" w:hAnsi="Times New Roman" w:cs="Times New Roman"/>
                <w:sz w:val="21"/>
                <w:szCs w:val="21"/>
              </w:rPr>
              <w:t>2</w:t>
            </w:r>
          </w:p>
        </w:tc>
      </w:tr>
    </w:tbl>
    <w:p w14:paraId="7BEC0600">
      <w:pPr>
        <w:pStyle w:val="10"/>
        <w:widowControl/>
        <w:spacing w:line="360" w:lineRule="atLeast"/>
        <w:rPr>
          <w:rFonts w:ascii="Times New Roman" w:hAnsi="Times New Roman" w:eastAsia="宋体" w:cs="Times New Roman"/>
          <w:sz w:val="21"/>
          <w:szCs w:val="21"/>
        </w:rPr>
      </w:pPr>
    </w:p>
    <w:p w14:paraId="320D622D">
      <w:pPr>
        <w:pStyle w:val="10"/>
        <w:widowControl/>
        <w:spacing w:line="360" w:lineRule="atLeast"/>
        <w:rPr>
          <w:rFonts w:ascii="Times New Roman" w:hAnsi="Times New Roman" w:eastAsia="宋体" w:cs="Times New Roman"/>
          <w:sz w:val="21"/>
          <w:szCs w:val="21"/>
        </w:rPr>
      </w:pPr>
    </w:p>
    <w:p w14:paraId="265624D6">
      <w:pPr>
        <w:pStyle w:val="10"/>
        <w:widowControl/>
        <w:spacing w:line="360" w:lineRule="atLeast"/>
        <w:rPr>
          <w:rFonts w:ascii="Times New Roman" w:hAnsi="Times New Roman" w:eastAsia="宋体" w:cs="Times New Roman"/>
          <w:sz w:val="21"/>
          <w:szCs w:val="21"/>
        </w:rPr>
      </w:pPr>
    </w:p>
    <w:p w14:paraId="444DFAE6">
      <w:pPr>
        <w:pStyle w:val="10"/>
        <w:widowControl/>
        <w:spacing w:line="360" w:lineRule="atLeast"/>
        <w:rPr>
          <w:rFonts w:ascii="Times New Roman" w:hAnsi="Times New Roman" w:eastAsia="宋体" w:cs="Times New Roman"/>
          <w:sz w:val="21"/>
          <w:szCs w:val="21"/>
        </w:rPr>
      </w:pPr>
    </w:p>
    <w:p w14:paraId="3A79A73A">
      <w:pPr>
        <w:pStyle w:val="10"/>
        <w:widowControl/>
        <w:spacing w:line="360" w:lineRule="atLeast"/>
        <w:rPr>
          <w:rFonts w:ascii="Times New Roman" w:hAnsi="Times New Roman" w:eastAsia="宋体" w:cs="Times New Roman"/>
          <w:sz w:val="21"/>
          <w:szCs w:val="21"/>
        </w:rPr>
      </w:pPr>
    </w:p>
    <w:p w14:paraId="74BE9ACD">
      <w:pPr>
        <w:pStyle w:val="10"/>
        <w:widowControl/>
        <w:spacing w:line="360" w:lineRule="atLeast"/>
        <w:rPr>
          <w:rFonts w:ascii="Times New Roman" w:hAnsi="Times New Roman" w:eastAsia="宋体" w:cs="Times New Roman"/>
          <w:sz w:val="21"/>
          <w:szCs w:val="21"/>
        </w:rPr>
      </w:pPr>
    </w:p>
    <w:p w14:paraId="3BB4E2FF">
      <w:pPr>
        <w:pStyle w:val="10"/>
        <w:widowControl/>
        <w:spacing w:line="360" w:lineRule="atLeast"/>
        <w:rPr>
          <w:rFonts w:ascii="Times New Roman" w:hAnsi="Times New Roman" w:eastAsia="宋体" w:cs="Times New Roman"/>
          <w:sz w:val="21"/>
          <w:szCs w:val="21"/>
        </w:rPr>
      </w:pPr>
    </w:p>
    <w:p w14:paraId="1972CCF0">
      <w:pPr>
        <w:pStyle w:val="10"/>
        <w:widowControl/>
        <w:spacing w:line="360" w:lineRule="atLeast"/>
        <w:rPr>
          <w:rFonts w:ascii="Times New Roman" w:hAnsi="Times New Roman" w:eastAsia="宋体" w:cs="Times New Roman"/>
          <w:sz w:val="21"/>
          <w:szCs w:val="21"/>
        </w:rPr>
      </w:pPr>
    </w:p>
    <w:p w14:paraId="2527556C">
      <w:pPr>
        <w:pStyle w:val="10"/>
        <w:widowControl/>
        <w:spacing w:line="360" w:lineRule="atLeast"/>
        <w:rPr>
          <w:rFonts w:ascii="Times New Roman" w:hAnsi="Times New Roman" w:eastAsia="宋体" w:cs="Times New Roman"/>
          <w:sz w:val="21"/>
          <w:szCs w:val="21"/>
        </w:rPr>
      </w:pPr>
    </w:p>
    <w:p w14:paraId="629DA334">
      <w:pPr>
        <w:pStyle w:val="10"/>
        <w:widowControl/>
        <w:spacing w:line="360" w:lineRule="atLeast"/>
        <w:rPr>
          <w:rFonts w:ascii="Times New Roman" w:hAnsi="Times New Roman" w:eastAsia="宋体" w:cs="Times New Roman"/>
          <w:sz w:val="21"/>
          <w:szCs w:val="21"/>
        </w:rPr>
      </w:pPr>
    </w:p>
    <w:p w14:paraId="72A5B25B">
      <w:pPr>
        <w:pStyle w:val="10"/>
        <w:widowControl/>
        <w:spacing w:line="360" w:lineRule="atLeast"/>
        <w:rPr>
          <w:rFonts w:ascii="Times New Roman" w:hAnsi="Times New Roman" w:eastAsia="宋体" w:cs="Times New Roman"/>
          <w:sz w:val="21"/>
          <w:szCs w:val="21"/>
        </w:rPr>
      </w:pPr>
    </w:p>
    <w:p w14:paraId="0C1D3040">
      <w:pPr>
        <w:pStyle w:val="10"/>
        <w:widowControl/>
        <w:spacing w:line="360" w:lineRule="atLeast"/>
        <w:rPr>
          <w:rFonts w:ascii="Times New Roman" w:hAnsi="Times New Roman" w:eastAsia="宋体" w:cs="Times New Roman"/>
          <w:sz w:val="21"/>
          <w:szCs w:val="21"/>
        </w:rPr>
      </w:pPr>
    </w:p>
    <w:p w14:paraId="1F08B539">
      <w:pPr>
        <w:pStyle w:val="10"/>
        <w:widowControl/>
        <w:spacing w:line="360" w:lineRule="atLeast"/>
        <w:rPr>
          <w:rFonts w:ascii="Times New Roman" w:hAnsi="Times New Roman" w:eastAsia="宋体" w:cs="Times New Roman"/>
          <w:sz w:val="21"/>
          <w:szCs w:val="21"/>
        </w:rPr>
      </w:pPr>
    </w:p>
    <w:p w14:paraId="6F00A50C">
      <w:pPr>
        <w:pStyle w:val="10"/>
        <w:widowControl/>
        <w:spacing w:line="360" w:lineRule="atLeast"/>
        <w:rPr>
          <w:rFonts w:ascii="Times New Roman" w:hAnsi="Times New Roman" w:eastAsia="宋体" w:cs="Times New Roman"/>
          <w:sz w:val="21"/>
          <w:szCs w:val="21"/>
        </w:rPr>
      </w:pPr>
      <w:bookmarkStart w:id="0" w:name="_GoBack"/>
      <w:bookmarkEnd w:id="0"/>
    </w:p>
    <w:p w14:paraId="5A9F1734">
      <w:pPr>
        <w:pStyle w:val="10"/>
        <w:widowControl/>
        <w:spacing w:line="360" w:lineRule="atLeast"/>
        <w:rPr>
          <w:rFonts w:ascii="Times New Roman" w:hAnsi="Times New Roman" w:eastAsia="宋体" w:cs="Times New Roman"/>
          <w:sz w:val="21"/>
          <w:szCs w:val="21"/>
        </w:rPr>
      </w:pPr>
    </w:p>
    <w:p w14:paraId="482C005A">
      <w:pPr>
        <w:pStyle w:val="10"/>
        <w:widowControl/>
        <w:spacing w:line="360" w:lineRule="atLeast"/>
        <w:rPr>
          <w:rFonts w:ascii="Times New Roman" w:hAnsi="Times New Roman" w:eastAsia="宋体" w:cs="Times New Roman"/>
          <w:sz w:val="21"/>
          <w:szCs w:val="21"/>
        </w:rPr>
      </w:pPr>
    </w:p>
    <w:p w14:paraId="040DEB6B">
      <w:pPr>
        <w:pStyle w:val="10"/>
        <w:widowControl/>
        <w:spacing w:line="360" w:lineRule="atLeast"/>
        <w:rPr>
          <w:rFonts w:ascii="Times New Roman" w:hAnsi="Times New Roman" w:eastAsia="宋体" w:cs="Times New Roman"/>
          <w:sz w:val="21"/>
          <w:szCs w:val="21"/>
        </w:rPr>
      </w:pPr>
    </w:p>
    <w:p w14:paraId="02DC1723">
      <w:pPr>
        <w:pStyle w:val="10"/>
        <w:widowControl/>
        <w:spacing w:line="360" w:lineRule="atLeast"/>
        <w:rPr>
          <w:rFonts w:hint="eastAsia" w:ascii="Times New Roman" w:hAnsi="Times New Roman" w:eastAsia="宋体" w:cs="Times New Roman"/>
          <w:sz w:val="21"/>
          <w:szCs w:val="21"/>
        </w:rPr>
      </w:pPr>
    </w:p>
    <w:p w14:paraId="2E73C384">
      <w:pPr>
        <w:pStyle w:val="10"/>
        <w:widowControl/>
        <w:spacing w:line="360" w:lineRule="atLeast"/>
        <w:rPr>
          <w:rFonts w:ascii="Times New Roman" w:hAnsi="Times New Roman" w:eastAsia="宋体" w:cs="Times New Roman"/>
          <w:sz w:val="21"/>
          <w:szCs w:val="21"/>
        </w:rPr>
      </w:pPr>
    </w:p>
    <w:p w14:paraId="39626574">
      <w:pPr>
        <w:pStyle w:val="10"/>
        <w:widowControl/>
        <w:spacing w:line="360" w:lineRule="atLeast"/>
        <w:rPr>
          <w:rFonts w:ascii="Times New Roman" w:hAnsi="Times New Roman" w:eastAsia="宋体" w:cs="Times New Roman"/>
          <w:sz w:val="21"/>
          <w:szCs w:val="21"/>
        </w:rPr>
      </w:pPr>
    </w:p>
    <w:p w14:paraId="0188566D">
      <w:pPr>
        <w:pStyle w:val="10"/>
        <w:widowControl/>
        <w:spacing w:line="360" w:lineRule="atLeast"/>
        <w:rPr>
          <w:rFonts w:ascii="Times New Roman" w:hAnsi="Times New Roman" w:eastAsia="宋体" w:cs="Times New Roman"/>
          <w:sz w:val="21"/>
          <w:szCs w:val="21"/>
        </w:rPr>
      </w:pPr>
    </w:p>
    <w:p w14:paraId="4992748A">
      <w:pPr>
        <w:pStyle w:val="10"/>
        <w:widowControl/>
        <w:spacing w:line="360" w:lineRule="atLeast"/>
        <w:rPr>
          <w:rFonts w:ascii="Times New Roman" w:hAnsi="Times New Roman" w:eastAsia="宋体" w:cs="Times New Roman"/>
          <w:sz w:val="21"/>
          <w:szCs w:val="21"/>
        </w:rPr>
      </w:pPr>
    </w:p>
    <w:p w14:paraId="6280C4CE">
      <w:pPr>
        <w:pStyle w:val="10"/>
        <w:widowControl/>
        <w:spacing w:line="360" w:lineRule="atLeast"/>
        <w:rPr>
          <w:rFonts w:ascii="Times New Roman" w:hAnsi="Times New Roman" w:eastAsia="宋体" w:cs="Times New Roman"/>
          <w:sz w:val="21"/>
          <w:szCs w:val="21"/>
        </w:rPr>
      </w:pPr>
    </w:p>
    <w:p w14:paraId="1DCFBBDF">
      <w:pPr>
        <w:pStyle w:val="10"/>
        <w:widowControl/>
        <w:spacing w:line="360" w:lineRule="atLeast"/>
        <w:rPr>
          <w:rFonts w:ascii="Times New Roman" w:hAnsi="Times New Roman" w:eastAsia="宋体" w:cs="Times New Roman"/>
          <w:sz w:val="21"/>
          <w:szCs w:val="21"/>
        </w:rPr>
      </w:pPr>
    </w:p>
    <w:p w14:paraId="20884E8A">
      <w:pPr>
        <w:pStyle w:val="10"/>
        <w:widowControl/>
        <w:spacing w:line="360" w:lineRule="atLeast"/>
        <w:rPr>
          <w:rFonts w:ascii="Times New Roman" w:hAnsi="Times New Roman" w:eastAsia="宋体" w:cs="Times New Roman"/>
          <w:sz w:val="21"/>
          <w:szCs w:val="21"/>
        </w:rPr>
      </w:pPr>
    </w:p>
    <w:p w14:paraId="4AC3FC25">
      <w:pPr>
        <w:pStyle w:val="10"/>
        <w:widowControl/>
        <w:spacing w:line="360" w:lineRule="atLeast"/>
        <w:rPr>
          <w:rFonts w:ascii="Times New Roman" w:hAnsi="Times New Roman" w:eastAsia="宋体" w:cs="Times New Roman"/>
          <w:sz w:val="21"/>
          <w:szCs w:val="21"/>
        </w:rPr>
      </w:pPr>
    </w:p>
    <w:p w14:paraId="12F95C9E">
      <w:pPr>
        <w:pStyle w:val="10"/>
        <w:widowControl/>
        <w:spacing w:line="360" w:lineRule="atLeast"/>
        <w:rPr>
          <w:rFonts w:hint="eastAsia" w:ascii="Times New Roman" w:hAnsi="Times New Roman" w:eastAsia="宋体" w:cs="Times New Roman"/>
          <w:sz w:val="21"/>
          <w:szCs w:val="21"/>
        </w:rPr>
      </w:pPr>
    </w:p>
    <w:p w14:paraId="6047D832">
      <w:pPr>
        <w:pStyle w:val="10"/>
        <w:widowControl/>
        <w:spacing w:line="360" w:lineRule="atLeast"/>
        <w:rPr>
          <w:rFonts w:ascii="Times New Roman" w:hAnsi="Times New Roman" w:eastAsia="宋体" w:cs="Times New Roman"/>
          <w:sz w:val="21"/>
          <w:szCs w:val="21"/>
        </w:rPr>
      </w:pPr>
    </w:p>
    <w:sectPr>
      <w:type w:val="continuous"/>
      <w:pgSz w:w="12242" w:h="15842"/>
      <w:pgMar w:top="1134" w:right="1134" w:bottom="851" w:left="1134" w:header="851" w:footer="992" w:gutter="0"/>
      <w:pgBorders>
        <w:top w:val="none" w:sz="0" w:space="0"/>
        <w:left w:val="none" w:sz="0" w:space="0"/>
        <w:bottom w:val="none" w:sz="0" w:space="0"/>
        <w:right w:val="none" w:sz="0" w:space="0"/>
      </w:pgBorders>
      <w:cols w:space="425" w:num="2"/>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Segoe UI">
    <w:panose1 w:val="020B0502040204020203"/>
    <w:charset w:val="00"/>
    <w:family w:val="swiss"/>
    <w:pitch w:val="default"/>
    <w:sig w:usb0="E4002EFF" w:usb1="C000E47F" w:usb2="00000009" w:usb3="00000000" w:csb0="200001FF" w:csb1="00000000"/>
  </w:font>
  <w:font w:name="Cambria Math">
    <w:panose1 w:val="02040503050406030204"/>
    <w:charset w:val="00"/>
    <w:family w:val="roman"/>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91C4209"/>
    <w:multiLevelType w:val="singleLevel"/>
    <w:tmpl w:val="A91C4209"/>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3747018"/>
    <w:rsid w:val="000667ED"/>
    <w:rsid w:val="001941D5"/>
    <w:rsid w:val="001D0CF8"/>
    <w:rsid w:val="00280765"/>
    <w:rsid w:val="0031012B"/>
    <w:rsid w:val="00341B0C"/>
    <w:rsid w:val="003469B3"/>
    <w:rsid w:val="00362632"/>
    <w:rsid w:val="003975D8"/>
    <w:rsid w:val="003D007A"/>
    <w:rsid w:val="003D3496"/>
    <w:rsid w:val="003E5676"/>
    <w:rsid w:val="00416146"/>
    <w:rsid w:val="004517E1"/>
    <w:rsid w:val="00546D97"/>
    <w:rsid w:val="00586FEC"/>
    <w:rsid w:val="00596EBF"/>
    <w:rsid w:val="005D488C"/>
    <w:rsid w:val="005D69B3"/>
    <w:rsid w:val="006D22EC"/>
    <w:rsid w:val="00772F1A"/>
    <w:rsid w:val="007A519B"/>
    <w:rsid w:val="00863A06"/>
    <w:rsid w:val="00896103"/>
    <w:rsid w:val="008B0BDA"/>
    <w:rsid w:val="008E5BDE"/>
    <w:rsid w:val="00A3295D"/>
    <w:rsid w:val="00B14D32"/>
    <w:rsid w:val="00B351BC"/>
    <w:rsid w:val="00BD1D16"/>
    <w:rsid w:val="00BE6754"/>
    <w:rsid w:val="00C7511B"/>
    <w:rsid w:val="00CB37E3"/>
    <w:rsid w:val="00D70859"/>
    <w:rsid w:val="00E131C0"/>
    <w:rsid w:val="00E265E8"/>
    <w:rsid w:val="00E449AB"/>
    <w:rsid w:val="00E620F9"/>
    <w:rsid w:val="00F211EF"/>
    <w:rsid w:val="00F33842"/>
    <w:rsid w:val="00F708A2"/>
    <w:rsid w:val="013637D1"/>
    <w:rsid w:val="014C249F"/>
    <w:rsid w:val="015E0632"/>
    <w:rsid w:val="016027F7"/>
    <w:rsid w:val="01830099"/>
    <w:rsid w:val="01FF0067"/>
    <w:rsid w:val="02033D08"/>
    <w:rsid w:val="02145195"/>
    <w:rsid w:val="022452B0"/>
    <w:rsid w:val="022831DB"/>
    <w:rsid w:val="024E06A7"/>
    <w:rsid w:val="026B3007"/>
    <w:rsid w:val="02832A46"/>
    <w:rsid w:val="029F53A6"/>
    <w:rsid w:val="02DE5ECF"/>
    <w:rsid w:val="0319265A"/>
    <w:rsid w:val="034D11F6"/>
    <w:rsid w:val="035A307B"/>
    <w:rsid w:val="037F7267"/>
    <w:rsid w:val="038F0F77"/>
    <w:rsid w:val="03AA4003"/>
    <w:rsid w:val="03AF786B"/>
    <w:rsid w:val="03EA43FF"/>
    <w:rsid w:val="03F90AE6"/>
    <w:rsid w:val="04447FB3"/>
    <w:rsid w:val="045D72C7"/>
    <w:rsid w:val="04A96068"/>
    <w:rsid w:val="04D255BF"/>
    <w:rsid w:val="04FC088E"/>
    <w:rsid w:val="05191440"/>
    <w:rsid w:val="052120A3"/>
    <w:rsid w:val="059E36F3"/>
    <w:rsid w:val="05DC642E"/>
    <w:rsid w:val="05DD06BF"/>
    <w:rsid w:val="060A6FDB"/>
    <w:rsid w:val="061A5470"/>
    <w:rsid w:val="061B4D44"/>
    <w:rsid w:val="063B3638"/>
    <w:rsid w:val="065564A8"/>
    <w:rsid w:val="06565D7C"/>
    <w:rsid w:val="06700194"/>
    <w:rsid w:val="067F1777"/>
    <w:rsid w:val="06B01930"/>
    <w:rsid w:val="06C07699"/>
    <w:rsid w:val="07461BDA"/>
    <w:rsid w:val="07694BA5"/>
    <w:rsid w:val="07697D31"/>
    <w:rsid w:val="07753EDE"/>
    <w:rsid w:val="07BB6AF4"/>
    <w:rsid w:val="07D04942"/>
    <w:rsid w:val="07D97ECD"/>
    <w:rsid w:val="07E040A3"/>
    <w:rsid w:val="07E8334B"/>
    <w:rsid w:val="08545B61"/>
    <w:rsid w:val="08564759"/>
    <w:rsid w:val="085D1644"/>
    <w:rsid w:val="0861365F"/>
    <w:rsid w:val="089D7C92"/>
    <w:rsid w:val="08A234FA"/>
    <w:rsid w:val="08DA2C94"/>
    <w:rsid w:val="08E92ED7"/>
    <w:rsid w:val="092E1232"/>
    <w:rsid w:val="09420839"/>
    <w:rsid w:val="0954285B"/>
    <w:rsid w:val="095567BF"/>
    <w:rsid w:val="09A4587E"/>
    <w:rsid w:val="09A775EB"/>
    <w:rsid w:val="09AA4D5C"/>
    <w:rsid w:val="09CC5188"/>
    <w:rsid w:val="09CF47C3"/>
    <w:rsid w:val="0A110938"/>
    <w:rsid w:val="0A1B7BBD"/>
    <w:rsid w:val="0A205409"/>
    <w:rsid w:val="0A5162E7"/>
    <w:rsid w:val="0A870BFA"/>
    <w:rsid w:val="0A984BB5"/>
    <w:rsid w:val="0AA96DC2"/>
    <w:rsid w:val="0AE61DC4"/>
    <w:rsid w:val="0B270C9F"/>
    <w:rsid w:val="0B5A79FF"/>
    <w:rsid w:val="0B6D2CFE"/>
    <w:rsid w:val="0B796626"/>
    <w:rsid w:val="0B981389"/>
    <w:rsid w:val="0BCF0AAA"/>
    <w:rsid w:val="0BF7590B"/>
    <w:rsid w:val="0BFE313E"/>
    <w:rsid w:val="0C294671"/>
    <w:rsid w:val="0C4D19CF"/>
    <w:rsid w:val="0C8C699B"/>
    <w:rsid w:val="0C965124"/>
    <w:rsid w:val="0C985340"/>
    <w:rsid w:val="0CA57A5D"/>
    <w:rsid w:val="0CD12600"/>
    <w:rsid w:val="0CE57E5A"/>
    <w:rsid w:val="0D10137A"/>
    <w:rsid w:val="0D222E5C"/>
    <w:rsid w:val="0D5374B9"/>
    <w:rsid w:val="0DFA5B87"/>
    <w:rsid w:val="0DFF319D"/>
    <w:rsid w:val="0E082052"/>
    <w:rsid w:val="0E8A2A67"/>
    <w:rsid w:val="0EEC6BF8"/>
    <w:rsid w:val="0EEC778C"/>
    <w:rsid w:val="0EF56A7A"/>
    <w:rsid w:val="0F264E85"/>
    <w:rsid w:val="0F8211CE"/>
    <w:rsid w:val="0F823522"/>
    <w:rsid w:val="0FBF0E36"/>
    <w:rsid w:val="0FFC1742"/>
    <w:rsid w:val="100106CE"/>
    <w:rsid w:val="10480E2B"/>
    <w:rsid w:val="10637A13"/>
    <w:rsid w:val="10815773"/>
    <w:rsid w:val="10855BDB"/>
    <w:rsid w:val="10B85FB1"/>
    <w:rsid w:val="112F5B47"/>
    <w:rsid w:val="1145536B"/>
    <w:rsid w:val="114A472F"/>
    <w:rsid w:val="11AC53EA"/>
    <w:rsid w:val="11AF7E92"/>
    <w:rsid w:val="11BC7BEB"/>
    <w:rsid w:val="11F052D6"/>
    <w:rsid w:val="123F1DBA"/>
    <w:rsid w:val="124473D0"/>
    <w:rsid w:val="127777A6"/>
    <w:rsid w:val="12C55766"/>
    <w:rsid w:val="12CA1FCB"/>
    <w:rsid w:val="12F31522"/>
    <w:rsid w:val="12F42BA4"/>
    <w:rsid w:val="134B7421"/>
    <w:rsid w:val="135875D7"/>
    <w:rsid w:val="139F6562"/>
    <w:rsid w:val="13DC0524"/>
    <w:rsid w:val="13E64BE3"/>
    <w:rsid w:val="14691370"/>
    <w:rsid w:val="14902DA1"/>
    <w:rsid w:val="149363ED"/>
    <w:rsid w:val="14975EDD"/>
    <w:rsid w:val="15223DDE"/>
    <w:rsid w:val="154E2DFB"/>
    <w:rsid w:val="1557566D"/>
    <w:rsid w:val="157D1577"/>
    <w:rsid w:val="15995C85"/>
    <w:rsid w:val="159A3ED7"/>
    <w:rsid w:val="159B3B44"/>
    <w:rsid w:val="15CA5E3E"/>
    <w:rsid w:val="15CE592F"/>
    <w:rsid w:val="15F1161D"/>
    <w:rsid w:val="15F76776"/>
    <w:rsid w:val="160F7CF5"/>
    <w:rsid w:val="16111CBF"/>
    <w:rsid w:val="165D6CB3"/>
    <w:rsid w:val="16A14DF1"/>
    <w:rsid w:val="16D5199A"/>
    <w:rsid w:val="16D67B4D"/>
    <w:rsid w:val="17127A9D"/>
    <w:rsid w:val="1732013F"/>
    <w:rsid w:val="17410382"/>
    <w:rsid w:val="176C18A3"/>
    <w:rsid w:val="17935082"/>
    <w:rsid w:val="179F6914"/>
    <w:rsid w:val="17E72CD8"/>
    <w:rsid w:val="18155D42"/>
    <w:rsid w:val="18DC0363"/>
    <w:rsid w:val="18EE62E8"/>
    <w:rsid w:val="18FE652B"/>
    <w:rsid w:val="192F0DDA"/>
    <w:rsid w:val="19762565"/>
    <w:rsid w:val="19C332D1"/>
    <w:rsid w:val="19DE0B04"/>
    <w:rsid w:val="1A002777"/>
    <w:rsid w:val="1AA650CC"/>
    <w:rsid w:val="1AB01AA7"/>
    <w:rsid w:val="1AF06347"/>
    <w:rsid w:val="1B244243"/>
    <w:rsid w:val="1B4E306E"/>
    <w:rsid w:val="1BA535D6"/>
    <w:rsid w:val="1C1258D9"/>
    <w:rsid w:val="1C1E0C92"/>
    <w:rsid w:val="1C56667E"/>
    <w:rsid w:val="1C6A3ED7"/>
    <w:rsid w:val="1C9F5B04"/>
    <w:rsid w:val="1CA33CB6"/>
    <w:rsid w:val="1CAB4C1C"/>
    <w:rsid w:val="1CAB69CA"/>
    <w:rsid w:val="1CB94FF1"/>
    <w:rsid w:val="1CCD4C51"/>
    <w:rsid w:val="1CFA34AD"/>
    <w:rsid w:val="1D1C78C7"/>
    <w:rsid w:val="1D7019C1"/>
    <w:rsid w:val="1DAC0C4B"/>
    <w:rsid w:val="1DB573D4"/>
    <w:rsid w:val="1DBC0763"/>
    <w:rsid w:val="1DC51D0D"/>
    <w:rsid w:val="1DE57CB9"/>
    <w:rsid w:val="1DFB128B"/>
    <w:rsid w:val="1E032835"/>
    <w:rsid w:val="1E171DD5"/>
    <w:rsid w:val="1E197963"/>
    <w:rsid w:val="1E42335E"/>
    <w:rsid w:val="1E4A0464"/>
    <w:rsid w:val="1EA638ED"/>
    <w:rsid w:val="1F0423C1"/>
    <w:rsid w:val="1F0C1276"/>
    <w:rsid w:val="1F1101CF"/>
    <w:rsid w:val="1F1840BF"/>
    <w:rsid w:val="1F2478B8"/>
    <w:rsid w:val="1F2667DB"/>
    <w:rsid w:val="1F5548E2"/>
    <w:rsid w:val="1F62533A"/>
    <w:rsid w:val="1FA15E62"/>
    <w:rsid w:val="1FE10954"/>
    <w:rsid w:val="1FE346CD"/>
    <w:rsid w:val="1FFB1A16"/>
    <w:rsid w:val="200C59D1"/>
    <w:rsid w:val="201C373B"/>
    <w:rsid w:val="201E137B"/>
    <w:rsid w:val="204D1B46"/>
    <w:rsid w:val="20541126"/>
    <w:rsid w:val="207D242B"/>
    <w:rsid w:val="208A0FEC"/>
    <w:rsid w:val="20BD4324"/>
    <w:rsid w:val="20BD4F1E"/>
    <w:rsid w:val="20BF0C96"/>
    <w:rsid w:val="20C04A0E"/>
    <w:rsid w:val="20E1739E"/>
    <w:rsid w:val="20F070A1"/>
    <w:rsid w:val="21352D06"/>
    <w:rsid w:val="2149055F"/>
    <w:rsid w:val="21AE4866"/>
    <w:rsid w:val="21F93D33"/>
    <w:rsid w:val="227860D0"/>
    <w:rsid w:val="22A7378F"/>
    <w:rsid w:val="22BB36DF"/>
    <w:rsid w:val="22BE26E0"/>
    <w:rsid w:val="22C97BAA"/>
    <w:rsid w:val="22D5617A"/>
    <w:rsid w:val="22EF0714"/>
    <w:rsid w:val="231F3C6E"/>
    <w:rsid w:val="23B819CC"/>
    <w:rsid w:val="23C44815"/>
    <w:rsid w:val="23D95622"/>
    <w:rsid w:val="240D1D18"/>
    <w:rsid w:val="241A54DB"/>
    <w:rsid w:val="24355492"/>
    <w:rsid w:val="244337D9"/>
    <w:rsid w:val="24444B67"/>
    <w:rsid w:val="245416F5"/>
    <w:rsid w:val="249D12EE"/>
    <w:rsid w:val="24AD52A9"/>
    <w:rsid w:val="24B403E6"/>
    <w:rsid w:val="24DD5B8E"/>
    <w:rsid w:val="250A44A9"/>
    <w:rsid w:val="25695674"/>
    <w:rsid w:val="259D531E"/>
    <w:rsid w:val="259F4BF2"/>
    <w:rsid w:val="25AE3087"/>
    <w:rsid w:val="25CD79B1"/>
    <w:rsid w:val="264B4D7A"/>
    <w:rsid w:val="2650413E"/>
    <w:rsid w:val="267A740D"/>
    <w:rsid w:val="267C4F33"/>
    <w:rsid w:val="268754DA"/>
    <w:rsid w:val="26935AE1"/>
    <w:rsid w:val="26B66697"/>
    <w:rsid w:val="26DE5BEE"/>
    <w:rsid w:val="27182EAE"/>
    <w:rsid w:val="27201D62"/>
    <w:rsid w:val="272F1FA5"/>
    <w:rsid w:val="27BD1CA7"/>
    <w:rsid w:val="27CD5050"/>
    <w:rsid w:val="27D112AE"/>
    <w:rsid w:val="27F07987"/>
    <w:rsid w:val="27F51441"/>
    <w:rsid w:val="27FC457D"/>
    <w:rsid w:val="2814263E"/>
    <w:rsid w:val="281778A7"/>
    <w:rsid w:val="283805BE"/>
    <w:rsid w:val="2838132E"/>
    <w:rsid w:val="287560DE"/>
    <w:rsid w:val="28836A4D"/>
    <w:rsid w:val="28924EE2"/>
    <w:rsid w:val="28BE1833"/>
    <w:rsid w:val="28CB3E86"/>
    <w:rsid w:val="28D472A8"/>
    <w:rsid w:val="28ED2118"/>
    <w:rsid w:val="292F44DF"/>
    <w:rsid w:val="29422464"/>
    <w:rsid w:val="295E77C4"/>
    <w:rsid w:val="29757D8C"/>
    <w:rsid w:val="29804D3A"/>
    <w:rsid w:val="298C7B83"/>
    <w:rsid w:val="29A21154"/>
    <w:rsid w:val="29AA1DB7"/>
    <w:rsid w:val="29B47C7D"/>
    <w:rsid w:val="2A043BBD"/>
    <w:rsid w:val="2A154580"/>
    <w:rsid w:val="2A2878AC"/>
    <w:rsid w:val="2A2953D2"/>
    <w:rsid w:val="2A2F792E"/>
    <w:rsid w:val="2A461AE0"/>
    <w:rsid w:val="2A832D34"/>
    <w:rsid w:val="2AB90312"/>
    <w:rsid w:val="2ACD241C"/>
    <w:rsid w:val="2AE00186"/>
    <w:rsid w:val="2AE01F34"/>
    <w:rsid w:val="2B063E07"/>
    <w:rsid w:val="2B221E6C"/>
    <w:rsid w:val="2B74267D"/>
    <w:rsid w:val="2B990335"/>
    <w:rsid w:val="2BDF21EC"/>
    <w:rsid w:val="2BF57023"/>
    <w:rsid w:val="2C2C11A9"/>
    <w:rsid w:val="2C416A03"/>
    <w:rsid w:val="2C932FD6"/>
    <w:rsid w:val="2CD31625"/>
    <w:rsid w:val="2CF47F19"/>
    <w:rsid w:val="2D2D342B"/>
    <w:rsid w:val="2D4542D1"/>
    <w:rsid w:val="2D8A262B"/>
    <w:rsid w:val="2DBB0A37"/>
    <w:rsid w:val="2DE51610"/>
    <w:rsid w:val="2E276A03"/>
    <w:rsid w:val="2E666BF4"/>
    <w:rsid w:val="2E67296D"/>
    <w:rsid w:val="2E9F2106"/>
    <w:rsid w:val="2ED718A0"/>
    <w:rsid w:val="2EF37D5C"/>
    <w:rsid w:val="2F000DF7"/>
    <w:rsid w:val="2F120B2A"/>
    <w:rsid w:val="2F544C9F"/>
    <w:rsid w:val="2F8C268B"/>
    <w:rsid w:val="2FAA48BF"/>
    <w:rsid w:val="2FBB6ACC"/>
    <w:rsid w:val="30285046"/>
    <w:rsid w:val="30332B06"/>
    <w:rsid w:val="303348B4"/>
    <w:rsid w:val="30AE6CB0"/>
    <w:rsid w:val="30B31E99"/>
    <w:rsid w:val="30C145B6"/>
    <w:rsid w:val="30FF6E8C"/>
    <w:rsid w:val="314F3970"/>
    <w:rsid w:val="315A40C3"/>
    <w:rsid w:val="3166515D"/>
    <w:rsid w:val="31BE28A4"/>
    <w:rsid w:val="31D245A1"/>
    <w:rsid w:val="3207249C"/>
    <w:rsid w:val="32110C25"/>
    <w:rsid w:val="32656435"/>
    <w:rsid w:val="32821B23"/>
    <w:rsid w:val="329172E0"/>
    <w:rsid w:val="32D103B5"/>
    <w:rsid w:val="32F9441C"/>
    <w:rsid w:val="331A1D5C"/>
    <w:rsid w:val="331A61FF"/>
    <w:rsid w:val="334D2BD3"/>
    <w:rsid w:val="3355548A"/>
    <w:rsid w:val="33723946"/>
    <w:rsid w:val="33883169"/>
    <w:rsid w:val="339E298D"/>
    <w:rsid w:val="33F7209D"/>
    <w:rsid w:val="34C208FD"/>
    <w:rsid w:val="34E01B4D"/>
    <w:rsid w:val="34E95E42"/>
    <w:rsid w:val="34F82570"/>
    <w:rsid w:val="35044A71"/>
    <w:rsid w:val="35335357"/>
    <w:rsid w:val="35505F08"/>
    <w:rsid w:val="35894ABA"/>
    <w:rsid w:val="358A7EE0"/>
    <w:rsid w:val="358F4C83"/>
    <w:rsid w:val="35CD1307"/>
    <w:rsid w:val="35F66AB0"/>
    <w:rsid w:val="361E2467"/>
    <w:rsid w:val="3679148F"/>
    <w:rsid w:val="36926A3D"/>
    <w:rsid w:val="3699743B"/>
    <w:rsid w:val="36AA33F6"/>
    <w:rsid w:val="36FB1EA4"/>
    <w:rsid w:val="3733163E"/>
    <w:rsid w:val="373830F8"/>
    <w:rsid w:val="374B2E2B"/>
    <w:rsid w:val="375B71BD"/>
    <w:rsid w:val="37983B97"/>
    <w:rsid w:val="379F6CD3"/>
    <w:rsid w:val="37A34A15"/>
    <w:rsid w:val="37B7401D"/>
    <w:rsid w:val="37E8067A"/>
    <w:rsid w:val="37F708BD"/>
    <w:rsid w:val="381E22EE"/>
    <w:rsid w:val="385C6972"/>
    <w:rsid w:val="385E6B8E"/>
    <w:rsid w:val="38F46BA7"/>
    <w:rsid w:val="391C5D42"/>
    <w:rsid w:val="392133B0"/>
    <w:rsid w:val="39363667"/>
    <w:rsid w:val="39673821"/>
    <w:rsid w:val="3A186740"/>
    <w:rsid w:val="3A1C0AAF"/>
    <w:rsid w:val="3A371445"/>
    <w:rsid w:val="3A43603C"/>
    <w:rsid w:val="3AA15F72"/>
    <w:rsid w:val="3ABC0C04"/>
    <w:rsid w:val="3ADD715A"/>
    <w:rsid w:val="3AE315CD"/>
    <w:rsid w:val="3AF2700E"/>
    <w:rsid w:val="3AFB2473"/>
    <w:rsid w:val="3B0752BB"/>
    <w:rsid w:val="3B974891"/>
    <w:rsid w:val="3BBB3BC4"/>
    <w:rsid w:val="3BD72EE0"/>
    <w:rsid w:val="3C0E4427"/>
    <w:rsid w:val="3C28373B"/>
    <w:rsid w:val="3C4E2A76"/>
    <w:rsid w:val="3C746980"/>
    <w:rsid w:val="3C805325"/>
    <w:rsid w:val="3C834E15"/>
    <w:rsid w:val="3CCA65A0"/>
    <w:rsid w:val="3D3E0D3C"/>
    <w:rsid w:val="3D45031D"/>
    <w:rsid w:val="3D5F13DF"/>
    <w:rsid w:val="3D913562"/>
    <w:rsid w:val="3DAC214A"/>
    <w:rsid w:val="3DD27E02"/>
    <w:rsid w:val="3E1C72D0"/>
    <w:rsid w:val="3E2F3073"/>
    <w:rsid w:val="3E772758"/>
    <w:rsid w:val="3E7F160D"/>
    <w:rsid w:val="3EA80B63"/>
    <w:rsid w:val="3EBE3EE3"/>
    <w:rsid w:val="3F177A97"/>
    <w:rsid w:val="3F454604"/>
    <w:rsid w:val="3F4F7231"/>
    <w:rsid w:val="3F604F9A"/>
    <w:rsid w:val="3F620D12"/>
    <w:rsid w:val="3F830C89"/>
    <w:rsid w:val="3FD662F8"/>
    <w:rsid w:val="407A02DD"/>
    <w:rsid w:val="40CA227A"/>
    <w:rsid w:val="411A73CB"/>
    <w:rsid w:val="41201DFE"/>
    <w:rsid w:val="41250249"/>
    <w:rsid w:val="412546ED"/>
    <w:rsid w:val="41523008"/>
    <w:rsid w:val="41546D80"/>
    <w:rsid w:val="415B3C6B"/>
    <w:rsid w:val="418C02C8"/>
    <w:rsid w:val="41CE08E1"/>
    <w:rsid w:val="41F61BE6"/>
    <w:rsid w:val="42472441"/>
    <w:rsid w:val="4262727B"/>
    <w:rsid w:val="428D254A"/>
    <w:rsid w:val="42925DB2"/>
    <w:rsid w:val="429C278D"/>
    <w:rsid w:val="429D02B3"/>
    <w:rsid w:val="42AE0712"/>
    <w:rsid w:val="42BE0955"/>
    <w:rsid w:val="42BE177B"/>
    <w:rsid w:val="42DA32B5"/>
    <w:rsid w:val="42EF2FFB"/>
    <w:rsid w:val="43244531"/>
    <w:rsid w:val="4340580E"/>
    <w:rsid w:val="43417068"/>
    <w:rsid w:val="436A4639"/>
    <w:rsid w:val="43A062AD"/>
    <w:rsid w:val="43AA2C88"/>
    <w:rsid w:val="43AC2EA4"/>
    <w:rsid w:val="43B9736F"/>
    <w:rsid w:val="43C55D14"/>
    <w:rsid w:val="44290050"/>
    <w:rsid w:val="44310BAF"/>
    <w:rsid w:val="443B20A2"/>
    <w:rsid w:val="443D58AA"/>
    <w:rsid w:val="4441183E"/>
    <w:rsid w:val="44867251"/>
    <w:rsid w:val="449776B0"/>
    <w:rsid w:val="449F47B6"/>
    <w:rsid w:val="44AD0C81"/>
    <w:rsid w:val="44CE0BF8"/>
    <w:rsid w:val="44E73A68"/>
    <w:rsid w:val="452939E9"/>
    <w:rsid w:val="453054C5"/>
    <w:rsid w:val="45487F37"/>
    <w:rsid w:val="45886FF9"/>
    <w:rsid w:val="45A35BE1"/>
    <w:rsid w:val="45AB2CE7"/>
    <w:rsid w:val="45ED50AE"/>
    <w:rsid w:val="45F20916"/>
    <w:rsid w:val="45F428E0"/>
    <w:rsid w:val="45F87AD7"/>
    <w:rsid w:val="46032B23"/>
    <w:rsid w:val="463D381C"/>
    <w:rsid w:val="46671304"/>
    <w:rsid w:val="46A165C4"/>
    <w:rsid w:val="46AB4F07"/>
    <w:rsid w:val="46D30747"/>
    <w:rsid w:val="471E7C15"/>
    <w:rsid w:val="47541888"/>
    <w:rsid w:val="478D4D9A"/>
    <w:rsid w:val="47AC0B58"/>
    <w:rsid w:val="47BA1622"/>
    <w:rsid w:val="480D12A0"/>
    <w:rsid w:val="48164810"/>
    <w:rsid w:val="48174664"/>
    <w:rsid w:val="481C5B2A"/>
    <w:rsid w:val="48253225"/>
    <w:rsid w:val="486020EB"/>
    <w:rsid w:val="48945CB4"/>
    <w:rsid w:val="489B4EA1"/>
    <w:rsid w:val="48CC544E"/>
    <w:rsid w:val="494D47E1"/>
    <w:rsid w:val="495042D1"/>
    <w:rsid w:val="49AD1724"/>
    <w:rsid w:val="49E669E4"/>
    <w:rsid w:val="4A192915"/>
    <w:rsid w:val="4A54394D"/>
    <w:rsid w:val="4A995804"/>
    <w:rsid w:val="4AB10DA0"/>
    <w:rsid w:val="4B5D4D26"/>
    <w:rsid w:val="4BA44460"/>
    <w:rsid w:val="4BFB5A47"/>
    <w:rsid w:val="4BFE5D4C"/>
    <w:rsid w:val="4C0575F5"/>
    <w:rsid w:val="4C15535E"/>
    <w:rsid w:val="4C7B1DD4"/>
    <w:rsid w:val="4CB350CE"/>
    <w:rsid w:val="4CCF375F"/>
    <w:rsid w:val="4CEE0089"/>
    <w:rsid w:val="4CFD651E"/>
    <w:rsid w:val="4D381304"/>
    <w:rsid w:val="4D665E71"/>
    <w:rsid w:val="4D7A191D"/>
    <w:rsid w:val="4D9A3D6D"/>
    <w:rsid w:val="4DB56D49"/>
    <w:rsid w:val="4DB56DF9"/>
    <w:rsid w:val="4DB841F3"/>
    <w:rsid w:val="4E1E04FA"/>
    <w:rsid w:val="4E214614"/>
    <w:rsid w:val="4E6D1482"/>
    <w:rsid w:val="4E9B5FEF"/>
    <w:rsid w:val="4E9E163B"/>
    <w:rsid w:val="4EF63225"/>
    <w:rsid w:val="4EF70D4B"/>
    <w:rsid w:val="4F361873"/>
    <w:rsid w:val="4F363F69"/>
    <w:rsid w:val="4F38383D"/>
    <w:rsid w:val="4F610FE6"/>
    <w:rsid w:val="501047BA"/>
    <w:rsid w:val="504601DC"/>
    <w:rsid w:val="50854860"/>
    <w:rsid w:val="509E3B74"/>
    <w:rsid w:val="50C17863"/>
    <w:rsid w:val="51145BE4"/>
    <w:rsid w:val="5153670D"/>
    <w:rsid w:val="515A3F3F"/>
    <w:rsid w:val="517A638F"/>
    <w:rsid w:val="517F7502"/>
    <w:rsid w:val="51AB6549"/>
    <w:rsid w:val="51B11685"/>
    <w:rsid w:val="51D84E64"/>
    <w:rsid w:val="51F7178E"/>
    <w:rsid w:val="51FD4A72"/>
    <w:rsid w:val="52391DA6"/>
    <w:rsid w:val="523F3135"/>
    <w:rsid w:val="52554706"/>
    <w:rsid w:val="5263079A"/>
    <w:rsid w:val="52680501"/>
    <w:rsid w:val="52741030"/>
    <w:rsid w:val="52A907F9"/>
    <w:rsid w:val="52FB705C"/>
    <w:rsid w:val="53696431"/>
    <w:rsid w:val="53755060"/>
    <w:rsid w:val="538C05FC"/>
    <w:rsid w:val="539B083F"/>
    <w:rsid w:val="53A019B1"/>
    <w:rsid w:val="53DA3115"/>
    <w:rsid w:val="53E06252"/>
    <w:rsid w:val="53FC4316"/>
    <w:rsid w:val="543F566E"/>
    <w:rsid w:val="54532EC8"/>
    <w:rsid w:val="54717177"/>
    <w:rsid w:val="54994D7E"/>
    <w:rsid w:val="54CB4B93"/>
    <w:rsid w:val="54F46459"/>
    <w:rsid w:val="54FC70BB"/>
    <w:rsid w:val="55050666"/>
    <w:rsid w:val="552031E8"/>
    <w:rsid w:val="554271C4"/>
    <w:rsid w:val="554D3C11"/>
    <w:rsid w:val="5579070C"/>
    <w:rsid w:val="557B13CB"/>
    <w:rsid w:val="55894DF3"/>
    <w:rsid w:val="55911EF9"/>
    <w:rsid w:val="566118CC"/>
    <w:rsid w:val="56707D61"/>
    <w:rsid w:val="568036C9"/>
    <w:rsid w:val="56A119EF"/>
    <w:rsid w:val="56B75990"/>
    <w:rsid w:val="56D9546D"/>
    <w:rsid w:val="57212E09"/>
    <w:rsid w:val="572D5C52"/>
    <w:rsid w:val="573B211D"/>
    <w:rsid w:val="5773208F"/>
    <w:rsid w:val="57B40121"/>
    <w:rsid w:val="57E83927"/>
    <w:rsid w:val="58226E39"/>
    <w:rsid w:val="583059FA"/>
    <w:rsid w:val="58331046"/>
    <w:rsid w:val="5875340D"/>
    <w:rsid w:val="587753D7"/>
    <w:rsid w:val="58845D45"/>
    <w:rsid w:val="58B761EE"/>
    <w:rsid w:val="58C46142"/>
    <w:rsid w:val="58D75E75"/>
    <w:rsid w:val="58F033CE"/>
    <w:rsid w:val="59637709"/>
    <w:rsid w:val="5980650D"/>
    <w:rsid w:val="598C4EB2"/>
    <w:rsid w:val="598D29D8"/>
    <w:rsid w:val="59CD1026"/>
    <w:rsid w:val="59E720E8"/>
    <w:rsid w:val="59F40CA9"/>
    <w:rsid w:val="5A33357F"/>
    <w:rsid w:val="5A461504"/>
    <w:rsid w:val="5A647BDD"/>
    <w:rsid w:val="5A6951F3"/>
    <w:rsid w:val="5A6F296E"/>
    <w:rsid w:val="5AD14B46"/>
    <w:rsid w:val="5AEB0DC6"/>
    <w:rsid w:val="5B4A6DD2"/>
    <w:rsid w:val="5B7E4CCE"/>
    <w:rsid w:val="5BAD7361"/>
    <w:rsid w:val="5C7B745F"/>
    <w:rsid w:val="5C814A76"/>
    <w:rsid w:val="5CAA564F"/>
    <w:rsid w:val="5CBD1826"/>
    <w:rsid w:val="5CCD7CBB"/>
    <w:rsid w:val="5CFA0384"/>
    <w:rsid w:val="5D4575CE"/>
    <w:rsid w:val="5D795086"/>
    <w:rsid w:val="5D8D11F8"/>
    <w:rsid w:val="5D953B1E"/>
    <w:rsid w:val="5DD426FD"/>
    <w:rsid w:val="5DFC59C2"/>
    <w:rsid w:val="5E03770C"/>
    <w:rsid w:val="5E08087F"/>
    <w:rsid w:val="5E082F75"/>
    <w:rsid w:val="5E0D5F20"/>
    <w:rsid w:val="5E346B7F"/>
    <w:rsid w:val="5E5B2DF6"/>
    <w:rsid w:val="5E9B16F3"/>
    <w:rsid w:val="5EB50A07"/>
    <w:rsid w:val="5ED046A2"/>
    <w:rsid w:val="5ED2780B"/>
    <w:rsid w:val="5F557AF4"/>
    <w:rsid w:val="5F6E0BB6"/>
    <w:rsid w:val="5F9745B0"/>
    <w:rsid w:val="5FA32F55"/>
    <w:rsid w:val="5FD650D9"/>
    <w:rsid w:val="5FEA2932"/>
    <w:rsid w:val="6014175D"/>
    <w:rsid w:val="60163727"/>
    <w:rsid w:val="60326087"/>
    <w:rsid w:val="604D4C6F"/>
    <w:rsid w:val="608F5287"/>
    <w:rsid w:val="60A152C6"/>
    <w:rsid w:val="60C7673C"/>
    <w:rsid w:val="613F6CAD"/>
    <w:rsid w:val="614C4F26"/>
    <w:rsid w:val="615564D1"/>
    <w:rsid w:val="61AD00BB"/>
    <w:rsid w:val="61B551C2"/>
    <w:rsid w:val="61D513C0"/>
    <w:rsid w:val="61ED495B"/>
    <w:rsid w:val="61F01D56"/>
    <w:rsid w:val="621A6DD3"/>
    <w:rsid w:val="62703343"/>
    <w:rsid w:val="62922E0D"/>
    <w:rsid w:val="629628FD"/>
    <w:rsid w:val="63585E05"/>
    <w:rsid w:val="635D166D"/>
    <w:rsid w:val="636C7325"/>
    <w:rsid w:val="63747018"/>
    <w:rsid w:val="63891AF6"/>
    <w:rsid w:val="63957059"/>
    <w:rsid w:val="63BF40D6"/>
    <w:rsid w:val="63D2399F"/>
    <w:rsid w:val="63DF4F79"/>
    <w:rsid w:val="63F23750"/>
    <w:rsid w:val="63FD075A"/>
    <w:rsid w:val="642B176B"/>
    <w:rsid w:val="645C7B76"/>
    <w:rsid w:val="6468651B"/>
    <w:rsid w:val="647C3D75"/>
    <w:rsid w:val="64992B79"/>
    <w:rsid w:val="64DD2A65"/>
    <w:rsid w:val="65270184"/>
    <w:rsid w:val="65DC4ACB"/>
    <w:rsid w:val="65F067C8"/>
    <w:rsid w:val="65FE7137"/>
    <w:rsid w:val="6615622F"/>
    <w:rsid w:val="663D12E2"/>
    <w:rsid w:val="6650370B"/>
    <w:rsid w:val="666D606B"/>
    <w:rsid w:val="67542D87"/>
    <w:rsid w:val="679F04A6"/>
    <w:rsid w:val="67F0485E"/>
    <w:rsid w:val="683C3F47"/>
    <w:rsid w:val="68694610"/>
    <w:rsid w:val="68817BAC"/>
    <w:rsid w:val="68866F70"/>
    <w:rsid w:val="6972741B"/>
    <w:rsid w:val="69A753F0"/>
    <w:rsid w:val="69BF098B"/>
    <w:rsid w:val="6A0B1E23"/>
    <w:rsid w:val="6A3C022E"/>
    <w:rsid w:val="6A804937"/>
    <w:rsid w:val="6A870846"/>
    <w:rsid w:val="6A9C6F1F"/>
    <w:rsid w:val="6A9E21F4"/>
    <w:rsid w:val="6ACD0E86"/>
    <w:rsid w:val="6AD30F68"/>
    <w:rsid w:val="6AEB3A02"/>
    <w:rsid w:val="6AF705F9"/>
    <w:rsid w:val="6B1B42E7"/>
    <w:rsid w:val="6B3C600C"/>
    <w:rsid w:val="6B8A6EA4"/>
    <w:rsid w:val="6B8D38E9"/>
    <w:rsid w:val="6B947BF6"/>
    <w:rsid w:val="6BAE515B"/>
    <w:rsid w:val="6BAE6F0A"/>
    <w:rsid w:val="6BB87D88"/>
    <w:rsid w:val="6BC8789F"/>
    <w:rsid w:val="6BD34BC2"/>
    <w:rsid w:val="6BE7541E"/>
    <w:rsid w:val="6BF16DF6"/>
    <w:rsid w:val="6C2B67AC"/>
    <w:rsid w:val="6C3A66BC"/>
    <w:rsid w:val="6C956C3B"/>
    <w:rsid w:val="6CA43E69"/>
    <w:rsid w:val="6CB73B9C"/>
    <w:rsid w:val="6CDF1345"/>
    <w:rsid w:val="6D0F3C1B"/>
    <w:rsid w:val="6D1758B3"/>
    <w:rsid w:val="6D65184A"/>
    <w:rsid w:val="6D723F67"/>
    <w:rsid w:val="6DA02882"/>
    <w:rsid w:val="6DF130DE"/>
    <w:rsid w:val="6DF80910"/>
    <w:rsid w:val="6E3B6A4F"/>
    <w:rsid w:val="6E6733A0"/>
    <w:rsid w:val="6E7D0E15"/>
    <w:rsid w:val="6E810905"/>
    <w:rsid w:val="6ECD58F9"/>
    <w:rsid w:val="6EF2535F"/>
    <w:rsid w:val="6EF47329"/>
    <w:rsid w:val="6F0B4673"/>
    <w:rsid w:val="6F1057E5"/>
    <w:rsid w:val="6F5778B8"/>
    <w:rsid w:val="6F59718C"/>
    <w:rsid w:val="6F712728"/>
    <w:rsid w:val="6F914B78"/>
    <w:rsid w:val="6FF35286"/>
    <w:rsid w:val="703F1820"/>
    <w:rsid w:val="705636CC"/>
    <w:rsid w:val="709F5073"/>
    <w:rsid w:val="70A628A5"/>
    <w:rsid w:val="71333A0D"/>
    <w:rsid w:val="71704C61"/>
    <w:rsid w:val="718B7769"/>
    <w:rsid w:val="719B7F30"/>
    <w:rsid w:val="71C905C1"/>
    <w:rsid w:val="71F4319C"/>
    <w:rsid w:val="720535FB"/>
    <w:rsid w:val="7214383E"/>
    <w:rsid w:val="721B2E1F"/>
    <w:rsid w:val="72E96A79"/>
    <w:rsid w:val="73010267"/>
    <w:rsid w:val="73590CB2"/>
    <w:rsid w:val="73593BFF"/>
    <w:rsid w:val="736A0DB2"/>
    <w:rsid w:val="73860E3D"/>
    <w:rsid w:val="73D34646"/>
    <w:rsid w:val="73D43285"/>
    <w:rsid w:val="73E9464B"/>
    <w:rsid w:val="740578E3"/>
    <w:rsid w:val="740A6CA7"/>
    <w:rsid w:val="74307638"/>
    <w:rsid w:val="74376169"/>
    <w:rsid w:val="74477EFB"/>
    <w:rsid w:val="7491561A"/>
    <w:rsid w:val="74F31E31"/>
    <w:rsid w:val="75265D63"/>
    <w:rsid w:val="75466405"/>
    <w:rsid w:val="75C86E1A"/>
    <w:rsid w:val="75E55C1E"/>
    <w:rsid w:val="763B3A90"/>
    <w:rsid w:val="76654669"/>
    <w:rsid w:val="76BD44A5"/>
    <w:rsid w:val="76D161A2"/>
    <w:rsid w:val="76DB46AB"/>
    <w:rsid w:val="771A18F7"/>
    <w:rsid w:val="771D419B"/>
    <w:rsid w:val="77456248"/>
    <w:rsid w:val="78063C29"/>
    <w:rsid w:val="78670B6C"/>
    <w:rsid w:val="78880AE2"/>
    <w:rsid w:val="78AB718F"/>
    <w:rsid w:val="78DA7590"/>
    <w:rsid w:val="78F16688"/>
    <w:rsid w:val="79206F6D"/>
    <w:rsid w:val="799D236B"/>
    <w:rsid w:val="79A13C0A"/>
    <w:rsid w:val="79AE27CB"/>
    <w:rsid w:val="79E675CF"/>
    <w:rsid w:val="79F04B91"/>
    <w:rsid w:val="79FB7128"/>
    <w:rsid w:val="7A0643B5"/>
    <w:rsid w:val="7A456C8B"/>
    <w:rsid w:val="7A715CD2"/>
    <w:rsid w:val="7AB43E11"/>
    <w:rsid w:val="7AD324E9"/>
    <w:rsid w:val="7AF4420D"/>
    <w:rsid w:val="7B0408F4"/>
    <w:rsid w:val="7B1A0118"/>
    <w:rsid w:val="7B456B50"/>
    <w:rsid w:val="7B4A207F"/>
    <w:rsid w:val="7B5F3D7C"/>
    <w:rsid w:val="7B7D2454"/>
    <w:rsid w:val="7BF5648F"/>
    <w:rsid w:val="7C2F7BF3"/>
    <w:rsid w:val="7C38055A"/>
    <w:rsid w:val="7C3A6597"/>
    <w:rsid w:val="7C6333F8"/>
    <w:rsid w:val="7C887303"/>
    <w:rsid w:val="7CAF2AE1"/>
    <w:rsid w:val="7CC16371"/>
    <w:rsid w:val="7CFB7AD5"/>
    <w:rsid w:val="7D034BDB"/>
    <w:rsid w:val="7D126FA2"/>
    <w:rsid w:val="7D3B25C7"/>
    <w:rsid w:val="7DA0067C"/>
    <w:rsid w:val="7E0B01EB"/>
    <w:rsid w:val="7E2F04C1"/>
    <w:rsid w:val="7E486D4A"/>
    <w:rsid w:val="7E525E1A"/>
    <w:rsid w:val="7E5F5E41"/>
    <w:rsid w:val="7E61605D"/>
    <w:rsid w:val="7E627DB3"/>
    <w:rsid w:val="7E6B6EDC"/>
    <w:rsid w:val="7ED405DD"/>
    <w:rsid w:val="7EE50A3C"/>
    <w:rsid w:val="7F005876"/>
    <w:rsid w:val="7F1E5CFC"/>
    <w:rsid w:val="7F385010"/>
    <w:rsid w:val="7F3C6183"/>
    <w:rsid w:val="7F7D0C75"/>
    <w:rsid w:val="7FE900B8"/>
    <w:rsid w:val="7FEA0A58"/>
    <w:rsid w:val="7FEB2083"/>
    <w:rsid w:val="7FF847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name="heading 3"/>
    <w:lsdException w:qFormat="1" w:uiPriority="0" w:name="heading 4"/>
    <w:lsdException w:qFormat="1" w:unhideWhenUsed="0" w:uiPriority="99"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3">
    <w:name w:val="heading 3"/>
    <w:basedOn w:val="1"/>
    <w:next w:val="1"/>
    <w:semiHidden/>
    <w:unhideWhenUsed/>
    <w:qFormat/>
    <w:uiPriority w:val="0"/>
    <w:pPr>
      <w:spacing w:beforeAutospacing="1" w:afterAutospacing="1"/>
      <w:jc w:val="left"/>
      <w:outlineLvl w:val="2"/>
    </w:pPr>
    <w:rPr>
      <w:rFonts w:hint="eastAsia" w:ascii="宋体" w:hAnsi="宋体" w:eastAsia="宋体" w:cs="Times New Roman"/>
      <w:b/>
      <w:bCs/>
      <w:kern w:val="0"/>
      <w:sz w:val="27"/>
      <w:szCs w:val="27"/>
    </w:rPr>
  </w:style>
  <w:style w:type="paragraph" w:styleId="4">
    <w:name w:val="heading 5"/>
    <w:basedOn w:val="1"/>
    <w:next w:val="1"/>
    <w:qFormat/>
    <w:uiPriority w:val="99"/>
    <w:pPr>
      <w:autoSpaceDE w:val="0"/>
      <w:autoSpaceDN w:val="0"/>
      <w:adjustRightInd w:val="0"/>
      <w:ind w:firstLine="720"/>
      <w:jc w:val="left"/>
      <w:outlineLvl w:val="4"/>
    </w:pPr>
    <w:rPr>
      <w:rFonts w:ascii="Calibri" w:hAnsi="Calibri" w:cs="Calibri"/>
      <w:b/>
      <w:bCs/>
      <w:kern w:val="0"/>
      <w:sz w:val="32"/>
      <w:szCs w:val="32"/>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5">
    <w:name w:val="caption"/>
    <w:basedOn w:val="1"/>
    <w:next w:val="1"/>
    <w:unhideWhenUsed/>
    <w:qFormat/>
    <w:uiPriority w:val="35"/>
    <w:rPr>
      <w:rFonts w:eastAsia="黑体" w:asciiTheme="majorHAnsi" w:hAnsiTheme="majorHAnsi" w:cstheme="majorBidi"/>
      <w:sz w:val="20"/>
      <w:szCs w:val="20"/>
    </w:rPr>
  </w:style>
  <w:style w:type="paragraph" w:styleId="6">
    <w:name w:val="Body Text"/>
    <w:basedOn w:val="1"/>
    <w:link w:val="17"/>
    <w:qFormat/>
    <w:uiPriority w:val="0"/>
    <w:pPr>
      <w:widowControl/>
      <w:spacing w:before="180" w:after="180"/>
      <w:jc w:val="left"/>
    </w:pPr>
    <w:rPr>
      <w:kern w:val="0"/>
      <w:sz w:val="24"/>
      <w:lang w:eastAsia="en-US"/>
    </w:rPr>
  </w:style>
  <w:style w:type="paragraph" w:styleId="7">
    <w:name w:val="footer"/>
    <w:basedOn w:val="1"/>
    <w:link w:val="21"/>
    <w:qFormat/>
    <w:uiPriority w:val="0"/>
    <w:pPr>
      <w:tabs>
        <w:tab w:val="center" w:pos="4320"/>
        <w:tab w:val="right" w:pos="8640"/>
      </w:tabs>
    </w:pPr>
  </w:style>
  <w:style w:type="paragraph" w:styleId="8">
    <w:name w:val="header"/>
    <w:basedOn w:val="1"/>
    <w:link w:val="20"/>
    <w:qFormat/>
    <w:uiPriority w:val="0"/>
    <w:pPr>
      <w:tabs>
        <w:tab w:val="center" w:pos="4320"/>
        <w:tab w:val="right" w:pos="8640"/>
      </w:tabs>
    </w:pPr>
  </w:style>
  <w:style w:type="paragraph" w:styleId="9">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0">
    <w:name w:val="Normal (Web)"/>
    <w:basedOn w:val="1"/>
    <w:qFormat/>
    <w:uiPriority w:val="0"/>
    <w:rPr>
      <w:sz w:val="24"/>
    </w:rPr>
  </w:style>
  <w:style w:type="table" w:styleId="12">
    <w:name w:val="Table Grid"/>
    <w:basedOn w:val="1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0"/>
    <w:rPr>
      <w:b/>
    </w:rPr>
  </w:style>
  <w:style w:type="character" w:styleId="15">
    <w:name w:val="Emphasis"/>
    <w:basedOn w:val="13"/>
    <w:qFormat/>
    <w:uiPriority w:val="0"/>
    <w:rPr>
      <w:i/>
    </w:rPr>
  </w:style>
  <w:style w:type="character" w:styleId="16">
    <w:name w:val="Hyperlink"/>
    <w:basedOn w:val="13"/>
    <w:qFormat/>
    <w:uiPriority w:val="0"/>
    <w:rPr>
      <w:color w:val="0000FF"/>
      <w:u w:val="single"/>
    </w:rPr>
  </w:style>
  <w:style w:type="character" w:customStyle="1" w:styleId="17">
    <w:name w:val="正文文本 字符"/>
    <w:basedOn w:val="13"/>
    <w:link w:val="6"/>
    <w:qFormat/>
    <w:uiPriority w:val="0"/>
    <w:rPr>
      <w:rFonts w:asciiTheme="minorHAnsi" w:hAnsiTheme="minorHAnsi" w:eastAsiaTheme="minorEastAsia" w:cstheme="minorBidi"/>
      <w:sz w:val="24"/>
      <w:szCs w:val="24"/>
      <w:lang w:eastAsia="en-US"/>
    </w:rPr>
  </w:style>
  <w:style w:type="paragraph" w:customStyle="1" w:styleId="18">
    <w:name w:val="Compact"/>
    <w:basedOn w:val="6"/>
    <w:qFormat/>
    <w:uiPriority w:val="0"/>
    <w:pPr>
      <w:spacing w:before="36" w:after="36"/>
    </w:pPr>
  </w:style>
  <w:style w:type="table" w:customStyle="1" w:styleId="19">
    <w:name w:val="Table"/>
    <w:semiHidden/>
    <w:unhideWhenUsed/>
    <w:qFormat/>
    <w:uiPriority w:val="0"/>
    <w:pPr>
      <w:spacing w:after="200"/>
    </w:pPr>
    <w:rPr>
      <w:rFonts w:asciiTheme="minorHAnsi" w:hAnsiTheme="minorHAnsi" w:eastAsiaTheme="minorEastAsia" w:cstheme="minorBidi"/>
      <w:sz w:val="24"/>
      <w:szCs w:val="24"/>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20">
    <w:name w:val="页眉 字符"/>
    <w:basedOn w:val="13"/>
    <w:link w:val="8"/>
    <w:qFormat/>
    <w:uiPriority w:val="0"/>
    <w:rPr>
      <w:rFonts w:asciiTheme="minorHAnsi" w:hAnsiTheme="minorHAnsi" w:eastAsiaTheme="minorEastAsia" w:cstheme="minorBidi"/>
      <w:kern w:val="2"/>
      <w:sz w:val="21"/>
      <w:szCs w:val="24"/>
    </w:rPr>
  </w:style>
  <w:style w:type="character" w:customStyle="1" w:styleId="21">
    <w:name w:val="页脚 字符"/>
    <w:basedOn w:val="13"/>
    <w:link w:val="7"/>
    <w:qFormat/>
    <w:uiPriority w:val="0"/>
    <w:rPr>
      <w:rFonts w:asciiTheme="minorHAnsi" w:hAnsiTheme="minorHAnsi" w:eastAsiaTheme="minorEastAsia" w:cstheme="minorBidi"/>
      <w:kern w:val="2"/>
      <w:sz w:val="21"/>
      <w:szCs w:val="24"/>
    </w:rPr>
  </w:style>
  <w:style w:type="character" w:customStyle="1" w:styleId="22">
    <w:name w:val="未处理的提及1"/>
    <w:basedOn w:val="13"/>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6.emf"/><Relationship Id="rId8" Type="http://schemas.openxmlformats.org/officeDocument/2006/relationships/image" Target="media/image5.emf"/><Relationship Id="rId7" Type="http://schemas.openxmlformats.org/officeDocument/2006/relationships/image" Target="media/image4.emf"/><Relationship Id="rId6" Type="http://schemas.openxmlformats.org/officeDocument/2006/relationships/image" Target="media/image3.emf"/><Relationship Id="rId5" Type="http://schemas.openxmlformats.org/officeDocument/2006/relationships/image" Target="media/image2.tiff"/><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B59721-ECF8-4499-9EA4-9C21FAAB43E3}">
  <ds:schemaRefs/>
</ds:datastoreItem>
</file>

<file path=docProps/app.xml><?xml version="1.0" encoding="utf-8"?>
<Properties xmlns="http://schemas.openxmlformats.org/officeDocument/2006/extended-properties" xmlns:vt="http://schemas.openxmlformats.org/officeDocument/2006/docPropsVTypes">
  <Template>Normal</Template>
  <Pages>4</Pages>
  <Words>1201</Words>
  <Characters>7523</Characters>
  <Lines>65</Lines>
  <Paragraphs>18</Paragraphs>
  <TotalTime>4</TotalTime>
  <ScaleCrop>false</ScaleCrop>
  <LinksUpToDate>false</LinksUpToDate>
  <CharactersWithSpaces>8569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2026-01-28T12:22:00Z</dcterms:created>
  <dc:creator>liwenhao</dc:creator>
  <cp:lastModifiedBy>伟伟</cp:lastModifiedBy>
  <cp:lastPrinted>2026-07-10T03:53:00Z</cp:lastPrinted>
  <dcterms:modified xsi:type="dcterms:W3CDTF">2026-07-11T15:30:16Z</dcterms:modified>
  <cp:revision>26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11702C64D86A41D8B8608F6EF14D42C0_13</vt:lpwstr>
  </property>
  <property fmtid="{D5CDD505-2E9C-101B-9397-08002B2CF9AE}" pid="4" name="KSOTemplateDocerSaveRecord">
    <vt:lpwstr>eyJoZGlkIjoiMzJiODU2ZjQ4NGI1NjI5Njc5ZGMzNmY0MDQ3ZmNlN2QiLCJ1c2VySWQiOiIzMTE0ODE2MTYifQ==</vt:lpwstr>
  </property>
</Properties>
</file>