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60" w:line="240" w:lineRule="auto"/>
        <w:rPr>
          <w:rFonts w:ascii="Tahoma" w:cs="Tahoma" w:eastAsia="Tahoma" w:hAnsi="Tahoma"/>
          <w:sz w:val="20"/>
          <w:szCs w:val="20"/>
        </w:rPr>
      </w:pPr>
      <w:r w:rsidDel="00000000" w:rsidR="00000000" w:rsidRPr="00000000">
        <w:rPr>
          <w:rFonts w:ascii="Tahoma" w:cs="Tahoma" w:eastAsia="Tahoma" w:hAnsi="Tahoma"/>
          <w:rtl w:val="0"/>
        </w:rPr>
        <w:t xml:space="preserve">Informe de cierre sprint Fase 2 – Powerbuilding.gym</w:t>
      </w:r>
      <w:r w:rsidDel="00000000" w:rsidR="00000000" w:rsidRPr="00000000">
        <w:rPr>
          <w:rtl w:val="0"/>
        </w:rPr>
      </w:r>
    </w:p>
    <w:tbl>
      <w:tblPr>
        <w:tblStyle w:val="Table1"/>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0"/>
          <w:tblHeader w:val="0"/>
        </w:trPr>
        <w:tc>
          <w:tcPr>
            <w:gridSpan w:val="5"/>
          </w:tcPr>
          <w:p w:rsidR="00000000" w:rsidDel="00000000" w:rsidP="00000000" w:rsidRDefault="00000000" w:rsidRPr="00000000" w14:paraId="00000002">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Asignatura Portafolio de Titulo </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Benjamín Salazar y Víctor Mejías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Pr>
          <w:p w:rsidR="00000000" w:rsidDel="00000000" w:rsidP="00000000" w:rsidRDefault="00000000" w:rsidRPr="00000000" w14:paraId="00000016">
            <w:pPr>
              <w:jc w:val="center"/>
              <w:rPr>
                <w:rFonts w:ascii="Tahoma" w:cs="Tahoma" w:eastAsia="Tahoma" w:hAnsi="Tahoma"/>
              </w:rPr>
            </w:pPr>
            <w:r w:rsidDel="00000000" w:rsidR="00000000" w:rsidRPr="00000000">
              <w:rPr>
                <w:rtl w:val="0"/>
              </w:rPr>
              <w:t xml:space="preserve">27/10/2026</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p>
        </w:tc>
        <w:tc>
          <w:tcPr>
            <w:gridSpan w:val="2"/>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Powerbuilding.gym</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Pr>
          <w:p w:rsidR="00000000" w:rsidDel="00000000" w:rsidP="00000000" w:rsidRDefault="00000000" w:rsidRPr="00000000" w14:paraId="0000001C">
            <w:pPr>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20">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p w:rsidR="00000000" w:rsidDel="00000000" w:rsidP="00000000" w:rsidRDefault="00000000" w:rsidRPr="00000000" w14:paraId="0000002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p w:rsidR="00000000" w:rsidDel="00000000" w:rsidP="00000000" w:rsidRDefault="00000000" w:rsidRPr="00000000" w14:paraId="00000022">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p w:rsidR="00000000" w:rsidDel="00000000" w:rsidP="00000000" w:rsidRDefault="00000000" w:rsidRPr="00000000" w14:paraId="0000002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p w:rsidR="00000000" w:rsidDel="00000000" w:rsidP="00000000" w:rsidRDefault="00000000" w:rsidRPr="00000000" w14:paraId="00000024">
            <w:pPr>
              <w:jc w:val="center"/>
              <w:rPr>
                <w:rFonts w:ascii="Arial" w:cs="Arial" w:eastAsia="Arial" w:hAnsi="Arial"/>
              </w:rPr>
            </w:pPr>
            <w:r w:rsidDel="00000000" w:rsidR="00000000" w:rsidRPr="00000000">
              <w:rPr>
                <w:rtl w:val="0"/>
              </w:rPr>
              <w:t xml:space="preserve">Benjamín Salazar</w:t>
            </w:r>
            <w:r w:rsidDel="00000000" w:rsidR="00000000" w:rsidRPr="00000000">
              <w:rPr>
                <w:rtl w:val="0"/>
              </w:rPr>
            </w:r>
          </w:p>
        </w:tc>
        <w:tc>
          <w:tcPr/>
          <w:p w:rsidR="00000000" w:rsidDel="00000000" w:rsidP="00000000" w:rsidRDefault="00000000" w:rsidRPr="00000000" w14:paraId="00000025">
            <w:pPr>
              <w:rPr>
                <w:rFonts w:ascii="Tahoma" w:cs="Tahoma" w:eastAsia="Tahoma" w:hAnsi="Tahoma"/>
              </w:rPr>
            </w:pPr>
            <w:r w:rsidDel="00000000" w:rsidR="00000000" w:rsidRPr="00000000">
              <w:rPr>
                <w:rtl w:val="0"/>
              </w:rPr>
              <w:t xml:space="preserve">Powerbuilding.gym (equipo desarrollador)</w:t>
            </w:r>
            <w:r w:rsidDel="00000000" w:rsidR="00000000" w:rsidRPr="00000000">
              <w:rPr>
                <w:rtl w:val="0"/>
              </w:rPr>
            </w:r>
          </w:p>
        </w:tc>
        <w:tc>
          <w:tcPr/>
          <w:p w:rsidR="00000000" w:rsidDel="00000000" w:rsidP="00000000" w:rsidRDefault="00000000" w:rsidRPr="00000000" w14:paraId="00000026">
            <w:pPr>
              <w:jc w:val="right"/>
              <w:rPr>
                <w:rFonts w:ascii="Tahoma" w:cs="Tahoma" w:eastAsia="Tahoma" w:hAnsi="Tahoma"/>
              </w:rPr>
            </w:pPr>
            <w:r w:rsidDel="00000000" w:rsidR="00000000" w:rsidRPr="00000000">
              <w:rPr>
                <w:rtl w:val="0"/>
              </w:rPr>
              <w:t xml:space="preserve">+56974473221</w:t>
            </w:r>
            <w:r w:rsidDel="00000000" w:rsidR="00000000" w:rsidRPr="00000000">
              <w:rPr>
                <w:rtl w:val="0"/>
              </w:rPr>
            </w:r>
          </w:p>
        </w:tc>
        <w:tc>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tl w:val="0"/>
              </w:rPr>
              <w:t xml:space="preserve">benjamin.asl34@gmail.com</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28">
            <w:pPr>
              <w:jc w:val="center"/>
              <w:rPr>
                <w:rFonts w:ascii="Arial" w:cs="Arial" w:eastAsia="Arial" w:hAnsi="Arial"/>
              </w:rPr>
            </w:pPr>
            <w:r w:rsidDel="00000000" w:rsidR="00000000" w:rsidRPr="00000000">
              <w:rPr>
                <w:rtl w:val="0"/>
              </w:rPr>
              <w:t xml:space="preserve">Víctor Mejías</w:t>
            </w:r>
            <w:r w:rsidDel="00000000" w:rsidR="00000000" w:rsidRPr="00000000">
              <w:rPr>
                <w:rtl w:val="0"/>
              </w:rPr>
            </w:r>
          </w:p>
        </w:tc>
        <w:tc>
          <w:tcPr/>
          <w:p w:rsidR="00000000" w:rsidDel="00000000" w:rsidP="00000000" w:rsidRDefault="00000000" w:rsidRPr="00000000" w14:paraId="00000029">
            <w:pPr>
              <w:rPr>
                <w:rFonts w:ascii="Tahoma" w:cs="Tahoma" w:eastAsia="Tahoma" w:hAnsi="Tahoma"/>
              </w:rPr>
            </w:pPr>
            <w:r w:rsidDel="00000000" w:rsidR="00000000" w:rsidRPr="00000000">
              <w:rPr>
                <w:rtl w:val="0"/>
              </w:rPr>
              <w:t xml:space="preserve">Powerbuilding.gym (equipo desarrollador)</w:t>
            </w:r>
            <w:r w:rsidDel="00000000" w:rsidR="00000000" w:rsidRPr="00000000">
              <w:rPr>
                <w:rtl w:val="0"/>
              </w:rPr>
            </w:r>
          </w:p>
        </w:tc>
        <w:tc>
          <w:tcPr/>
          <w:p w:rsidR="00000000" w:rsidDel="00000000" w:rsidP="00000000" w:rsidRDefault="00000000" w:rsidRPr="00000000" w14:paraId="0000002A">
            <w:pPr>
              <w:jc w:val="right"/>
              <w:rPr>
                <w:rFonts w:ascii="Tahoma" w:cs="Tahoma" w:eastAsia="Tahoma" w:hAnsi="Tahoma"/>
              </w:rPr>
            </w:pPr>
            <w:r w:rsidDel="00000000" w:rsidR="00000000" w:rsidRPr="00000000">
              <w:rPr>
                <w:rtl w:val="0"/>
              </w:rPr>
              <w:t xml:space="preserve">+56977900572</w:t>
            </w:r>
            <w:r w:rsidDel="00000000" w:rsidR="00000000" w:rsidRPr="00000000">
              <w:rPr>
                <w:rtl w:val="0"/>
              </w:rPr>
            </w:r>
          </w:p>
        </w:tc>
        <w:tc>
          <w:tcPr/>
          <w:p w:rsidR="00000000" w:rsidDel="00000000" w:rsidP="00000000" w:rsidRDefault="00000000" w:rsidRPr="00000000" w14:paraId="0000002B">
            <w:pPr>
              <w:rPr>
                <w:rFonts w:ascii="Tahoma" w:cs="Tahoma" w:eastAsia="Tahoma" w:hAnsi="Tahoma"/>
                <w:color w:val="0000ff"/>
                <w:u w:val="single"/>
              </w:rPr>
            </w:pPr>
            <w:r w:rsidDel="00000000" w:rsidR="00000000" w:rsidRPr="00000000">
              <w:rPr>
                <w:rtl w:val="0"/>
              </w:rPr>
              <w:t xml:space="preserve">vimejiasb@gmail.com</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spacing w:line="240" w:lineRule="auto"/>
        <w:rPr>
          <w:rFonts w:ascii="Tahoma" w:cs="Tahoma" w:eastAsia="Tahoma" w:hAnsi="Tahoma"/>
        </w:rPr>
      </w:pPr>
      <w:r w:rsidDel="00000000" w:rsidR="00000000" w:rsidRPr="00000000">
        <w:br w:type="page"/>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Introducción </w:t>
      </w:r>
    </w:p>
    <w:p w:rsidR="00000000" w:rsidDel="00000000" w:rsidP="00000000" w:rsidRDefault="00000000" w:rsidRPr="00000000" w14:paraId="00000031">
      <w:pPr>
        <w:tabs>
          <w:tab w:val="left" w:leader="none" w:pos="1368"/>
        </w:tabs>
        <w:rPr/>
      </w:pPr>
      <w:r w:rsidDel="00000000" w:rsidR="00000000" w:rsidRPr="00000000">
        <w:rPr>
          <w:rtl w:val="0"/>
        </w:rPr>
        <w:t xml:space="preserve">Powerbuilding.gym es un sistema web de gestión integral para un gimnasio especializado en powerlifting, desarrollado como proyecto Capstone (PTY4614) para el cliente real Fran Rodríguez, dueña del gimnasio. Permite administrar bloques de entrenamiento, clientes, reservas, asistencia, planes, pagos y reportes, e incluye una aplicación móvil (PWA) para el administrador y un portal para el alumno. Este informe corresponde al cierre del sprint de la Fase 2 (Desarrollo del Proyecto).</w:t>
      </w:r>
    </w:p>
    <w:p w:rsidR="00000000" w:rsidDel="00000000" w:rsidP="00000000" w:rsidRDefault="00000000" w:rsidRPr="00000000" w14:paraId="00000032">
      <w:pPr>
        <w:pStyle w:val="Heading1"/>
        <w:rPr/>
      </w:pPr>
      <w:r w:rsidDel="00000000" w:rsidR="00000000" w:rsidRPr="00000000">
        <w:rPr>
          <w:rtl w:val="0"/>
        </w:rPr>
        <w:t xml:space="preserve">Resumen Sprint</w:t>
      </w:r>
    </w:p>
    <w:p w:rsidR="00000000" w:rsidDel="00000000" w:rsidP="00000000" w:rsidRDefault="00000000" w:rsidRPr="00000000" w14:paraId="00000033">
      <w:pPr>
        <w:rPr/>
      </w:pPr>
      <w:r w:rsidDel="00000000" w:rsidR="00000000" w:rsidRPr="00000000">
        <w:rPr>
          <w:rtl w:val="0"/>
        </w:rPr>
        <w:t xml:space="preserve">El desarrollo de la Fase 2 se ejecutó en 10 bloques de trabajo (bloque 0 a bloque 9), cuyas fechas quedan registradas en el historial de commits del repositorio: los bloques 0 a 5 el 25/10/2026, los bloques 6 a 8 el 26/10/2026 y el bloque 9 el 27/10/2026. Con ello, la planificación de la Carta Gantt, que situaba la fase de desarrollo entre el 03/11 y el 14/12/2026, se adelantó. Al cierre, de los 30 requerimientos de la Planilla de Requerimientos 27 están construidos y 3 quedan en validación (R.28, R.29 y R.30). Además se realizó la puesta en producción del envío real de correos (Brevo) y la corrección de datos en la base de producción.</w:t>
      </w:r>
    </w:p>
    <w:p w:rsidR="00000000" w:rsidDel="00000000" w:rsidP="00000000" w:rsidRDefault="00000000" w:rsidRPr="00000000" w14:paraId="00000034">
      <w:pPr>
        <w:pStyle w:val="Heading1"/>
        <w:rPr/>
      </w:pPr>
      <w:r w:rsidDel="00000000" w:rsidR="00000000" w:rsidRPr="00000000">
        <w:rPr>
          <w:rtl w:val="0"/>
        </w:rPr>
        <w:t xml:space="preserve">Tareas realizadas</w:t>
      </w:r>
    </w:p>
    <w:p w:rsidR="00000000" w:rsidDel="00000000" w:rsidP="00000000" w:rsidRDefault="00000000" w:rsidRPr="00000000" w14:paraId="00000035">
      <w:pPr>
        <w:rPr/>
      </w:pPr>
      <w:r w:rsidDel="00000000" w:rsidR="00000000" w:rsidRPr="00000000">
        <w:rPr>
          <w:rtl w:val="0"/>
        </w:rPr>
        <w:t xml:space="preserve">Tareas realizadas (fecha del commit en el repositorio):</w:t>
      </w:r>
    </w:p>
    <w:p w:rsidR="00000000" w:rsidDel="00000000" w:rsidP="00000000" w:rsidRDefault="00000000" w:rsidRPr="00000000" w14:paraId="00000036">
      <w:pPr>
        <w:tabs>
          <w:tab w:val="left" w:leader="none" w:pos="1368"/>
        </w:tabs>
        <w:rPr/>
      </w:pPr>
      <w:r w:rsidDel="00000000" w:rsidR="00000000" w:rsidRPr="00000000">
        <w:rPr>
          <w:rtl w:val="0"/>
        </w:rPr>
        <w:t xml:space="preserve">• Bloque 0 (25/10): entorno de desarrollo local seguro: guarda que impide apuntar a la base de producción, SSL condicional, variable de API local y carpeta de migraciones.</w:t>
      </w:r>
    </w:p>
    <w:p w:rsidR="00000000" w:rsidDel="00000000" w:rsidP="00000000" w:rsidRDefault="00000000" w:rsidRPr="00000000" w14:paraId="00000037">
      <w:pPr>
        <w:tabs>
          <w:tab w:val="left" w:leader="none" w:pos="1368"/>
        </w:tabs>
        <w:rPr/>
      </w:pPr>
      <w:r w:rsidDel="00000000" w:rsidR="00000000" w:rsidRPr="00000000">
        <w:rPr>
          <w:rtl w:val="0"/>
        </w:rPr>
        <w:t xml:space="preserve">• Bloque 1 (25/10): seguridad y correcciones: escape de datos contra XSS, sesión del administrador al recargar, validación en el backend sin librerías, fecha de Chile en vez de la del servidor, transacciones en registro y asistencia, y día Domingo en bloques.</w:t>
      </w:r>
    </w:p>
    <w:p w:rsidR="00000000" w:rsidDel="00000000" w:rsidP="00000000" w:rsidRDefault="00000000" w:rsidRPr="00000000" w14:paraId="00000038">
      <w:pPr>
        <w:tabs>
          <w:tab w:val="left" w:leader="none" w:pos="1368"/>
        </w:tabs>
        <w:rPr/>
      </w:pPr>
      <w:r w:rsidDel="00000000" w:rsidR="00000000" w:rsidRPr="00000000">
        <w:rPr>
          <w:rtl w:val="0"/>
        </w:rPr>
        <w:t xml:space="preserve">• Bloque 2a (25/10): mantenedores de disciplinas, instructores y usuarios administradores (CU012), con protecciones de autoeliminación y de último administrador.</w:t>
      </w:r>
    </w:p>
    <w:p w:rsidR="00000000" w:rsidDel="00000000" w:rsidP="00000000" w:rsidRDefault="00000000" w:rsidRPr="00000000" w14:paraId="00000039">
      <w:pPr>
        <w:tabs>
          <w:tab w:val="left" w:leader="none" w:pos="1368"/>
        </w:tabs>
        <w:rPr/>
      </w:pPr>
      <w:r w:rsidDel="00000000" w:rsidR="00000000" w:rsidRPr="00000000">
        <w:rPr>
          <w:rtl w:val="0"/>
        </w:rPr>
        <w:t xml:space="preserve">• Bloque 2b (25/10): planes, pagos, membresía derivada (vigente, por vencer, vencida) y plantillas de notificación (CU007 y CU008).</w:t>
      </w:r>
    </w:p>
    <w:p w:rsidR="00000000" w:rsidDel="00000000" w:rsidP="00000000" w:rsidRDefault="00000000" w:rsidRPr="00000000" w14:paraId="0000003A">
      <w:pPr>
        <w:tabs>
          <w:tab w:val="left" w:leader="none" w:pos="1368"/>
        </w:tabs>
        <w:rPr/>
      </w:pPr>
      <w:r w:rsidDel="00000000" w:rsidR="00000000" w:rsidRPr="00000000">
        <w:rPr>
          <w:rtl w:val="0"/>
        </w:rPr>
        <w:t xml:space="preserve">• Bloque 3 (25/10): aplicación móvil PWA del administrador: pantalla Hoy, marcar asistencia, instalación en el celular y aviso de falta de conexión (CU011).</w:t>
      </w:r>
    </w:p>
    <w:p w:rsidR="00000000" w:rsidDel="00000000" w:rsidP="00000000" w:rsidRDefault="00000000" w:rsidRPr="00000000" w14:paraId="0000003B">
      <w:pPr>
        <w:tabs>
          <w:tab w:val="left" w:leader="none" w:pos="1368"/>
        </w:tabs>
        <w:rPr/>
      </w:pPr>
      <w:r w:rsidDel="00000000" w:rsidR="00000000" w:rsidRPr="00000000">
        <w:rPr>
          <w:rtl w:val="0"/>
        </w:rPr>
        <w:t xml:space="preserve">• Bloque 4 (25/10): reportes de asistencia y de ocupación e ingresos, exportables a PDF y Excel (CU009; R.16 y R.17).</w:t>
      </w:r>
    </w:p>
    <w:p w:rsidR="00000000" w:rsidDel="00000000" w:rsidP="00000000" w:rsidRDefault="00000000" w:rsidRPr="00000000" w14:paraId="0000003C">
      <w:pPr>
        <w:tabs>
          <w:tab w:val="left" w:leader="none" w:pos="1368"/>
        </w:tabs>
        <w:rPr/>
      </w:pPr>
      <w:r w:rsidDel="00000000" w:rsidR="00000000" w:rsidRPr="00000000">
        <w:rPr>
          <w:rtl w:val="0"/>
        </w:rPr>
        <w:t xml:space="preserve">• Bloque 5 (25/10): notificaciones por correo: confirmación de reserva, recordatorio de bloque y aviso de vencimiento, con registro y panel de seguimiento (CU010; R.18 a R.20).</w:t>
      </w:r>
    </w:p>
    <w:p w:rsidR="00000000" w:rsidDel="00000000" w:rsidP="00000000" w:rsidRDefault="00000000" w:rsidRPr="00000000" w14:paraId="0000003D">
      <w:pPr>
        <w:tabs>
          <w:tab w:val="left" w:leader="none" w:pos="1368"/>
        </w:tabs>
        <w:rPr/>
      </w:pPr>
      <w:r w:rsidDel="00000000" w:rsidR="00000000" w:rsidRPr="00000000">
        <w:rPr>
          <w:rtl w:val="0"/>
        </w:rPr>
        <w:t xml:space="preserve">• Bloque 6 (26/10): política de privacidad con consentimiento en el registro (R.30), script de medición de tiempos de respuesta (R.28) y carrusel de la landing con fotos reales.</w:t>
      </w:r>
    </w:p>
    <w:p w:rsidR="00000000" w:rsidDel="00000000" w:rsidP="00000000" w:rsidRDefault="00000000" w:rsidRPr="00000000" w14:paraId="0000003E">
      <w:pPr>
        <w:tabs>
          <w:tab w:val="left" w:leader="none" w:pos="1368"/>
        </w:tabs>
        <w:rPr/>
      </w:pPr>
      <w:r w:rsidDel="00000000" w:rsidR="00000000" w:rsidRPr="00000000">
        <w:rPr>
          <w:rtl w:val="0"/>
        </w:rPr>
        <w:t xml:space="preserve">• Bloque 7 (26/10): pago en línea de planes con Webpay Plus (ambiente de integración) y comprobante en PDF.</w:t>
      </w:r>
    </w:p>
    <w:p w:rsidR="00000000" w:rsidDel="00000000" w:rsidP="00000000" w:rsidRDefault="00000000" w:rsidRPr="00000000" w14:paraId="0000003F">
      <w:pPr>
        <w:tabs>
          <w:tab w:val="left" w:leader="none" w:pos="1368"/>
        </w:tabs>
        <w:rPr/>
      </w:pPr>
      <w:r w:rsidDel="00000000" w:rsidR="00000000" w:rsidRPr="00000000">
        <w:rPr>
          <w:rtl w:val="0"/>
        </w:rPr>
        <w:t xml:space="preserve">• Bloque 8 (26/10): portal Mi cuenta del alumno: perfil, membresía, pagos, marcas personales, foto de perfil y reservas.</w:t>
      </w:r>
    </w:p>
    <w:p w:rsidR="00000000" w:rsidDel="00000000" w:rsidP="00000000" w:rsidRDefault="00000000" w:rsidRPr="00000000" w14:paraId="00000040">
      <w:pPr>
        <w:tabs>
          <w:tab w:val="left" w:leader="none" w:pos="1368"/>
        </w:tabs>
        <w:rPr/>
      </w:pPr>
      <w:r w:rsidDel="00000000" w:rsidR="00000000" w:rsidRPr="00000000">
        <w:rPr>
          <w:rtl w:val="0"/>
        </w:rPr>
        <w:t xml:space="preserve">• Bloque 9 (27/10): la web como aplicación instalable: íconos, manifiesto y modo standalone.</w:t>
      </w:r>
    </w:p>
    <w:p w:rsidR="00000000" w:rsidDel="00000000" w:rsidP="00000000" w:rsidRDefault="00000000" w:rsidRPr="00000000" w14:paraId="00000041">
      <w:pPr>
        <w:tabs>
          <w:tab w:val="left" w:leader="none" w:pos="1368"/>
        </w:tabs>
        <w:rPr/>
      </w:pPr>
      <w:r w:rsidDel="00000000" w:rsidR="00000000" w:rsidRPr="00000000">
        <w:rPr>
          <w:rtl w:val="0"/>
        </w:rPr>
        <w:t xml:space="preserve">• Operación en producción (26 y 27/10): configuración y verificación del envío real de correos con Brevo (R.18 verificado; el correo llegó a la carpeta de spam), corrección de tildes en la base de datos y reemplazo de correos de prueba de clientes.</w:t>
      </w:r>
    </w:p>
    <w:p w:rsidR="00000000" w:rsidDel="00000000" w:rsidP="00000000" w:rsidRDefault="00000000" w:rsidRPr="00000000" w14:paraId="00000042">
      <w:pPr>
        <w:tabs>
          <w:tab w:val="left" w:leader="none" w:pos="1368"/>
        </w:tabs>
        <w:rPr/>
      </w:pPr>
      <w:r w:rsidDel="00000000" w:rsidR="00000000" w:rsidRPr="00000000">
        <w:rPr>
          <w:rtl w:val="0"/>
        </w:rPr>
        <w:t xml:space="preserve">• Documentación de la Fase 2: DAS, Diccionario de Datos, Matriz de Riesgo, Matriz de Control de Cambio, Matriz RACI, Documento de Proceso de Negocio, Minuta, guías 2.4 y 2.6 y presentación.</w:t>
      </w:r>
    </w:p>
    <w:p w:rsidR="00000000" w:rsidDel="00000000" w:rsidP="00000000" w:rsidRDefault="00000000" w:rsidRPr="00000000" w14:paraId="00000043">
      <w:pPr>
        <w:tabs>
          <w:tab w:val="left" w:leader="none" w:pos="1368"/>
        </w:tabs>
        <w:rPr/>
      </w:pPr>
      <w:r w:rsidDel="00000000" w:rsidR="00000000" w:rsidRPr="00000000">
        <w:rPr>
          <w:rtl w:val="0"/>
        </w:rPr>
        <w:t xml:space="preserve">• Verificación: los scripts de verificación ejecutados localmente durante el desarrollo se documentan en el archivo de progreso del repositorio (por ejemplo, 79 verificaciones en el bloque 2a y 124 en el bloque 2b).</w:t>
      </w:r>
    </w:p>
    <w:p w:rsidR="00000000" w:rsidDel="00000000" w:rsidP="00000000" w:rsidRDefault="00000000" w:rsidRPr="00000000" w14:paraId="00000044">
      <w:pPr>
        <w:tabs>
          <w:tab w:val="left" w:leader="none" w:pos="1368"/>
        </w:tabs>
        <w:rPr/>
      </w:pPr>
      <w:r w:rsidDel="00000000" w:rsidR="00000000" w:rsidRPr="00000000">
        <w:rPr>
          <w:rtl w:val="0"/>
        </w:rPr>
        <w:t xml:space="preserve">Tareas postergadas o en validación, con su justificación:</w:t>
      </w:r>
    </w:p>
    <w:p w:rsidR="00000000" w:rsidDel="00000000" w:rsidP="00000000" w:rsidRDefault="00000000" w:rsidRPr="00000000" w14:paraId="00000045">
      <w:pPr>
        <w:tabs>
          <w:tab w:val="left" w:leader="none" w:pos="1368"/>
        </w:tabs>
        <w:rPr/>
      </w:pPr>
      <w:r w:rsidDel="00000000" w:rsidR="00000000" w:rsidRPr="00000000">
        <w:rPr>
          <w:rtl w:val="0"/>
        </w:rPr>
        <w:t xml:space="preserve">• R.28 (tiempos de respuesta): la medición local arrojó un máximo de 48,7 ms; falta medirla en el entorno de producción.</w:t>
      </w:r>
    </w:p>
    <w:p w:rsidR="00000000" w:rsidDel="00000000" w:rsidP="00000000" w:rsidRDefault="00000000" w:rsidRPr="00000000" w14:paraId="00000046">
      <w:pPr>
        <w:tabs>
          <w:tab w:val="left" w:leader="none" w:pos="1368"/>
        </w:tabs>
        <w:rPr/>
      </w:pPr>
      <w:r w:rsidDel="00000000" w:rsidR="00000000" w:rsidRPr="00000000">
        <w:rPr>
          <w:rtl w:val="0"/>
        </w:rPr>
        <w:t xml:space="preserve">• R.29 (compatibilidad en iPhone y Android): la instalación como aplicación está implementada; falta la prueba documentada en ambos sistemas.</w:t>
      </w:r>
    </w:p>
    <w:p w:rsidR="00000000" w:rsidDel="00000000" w:rsidP="00000000" w:rsidRDefault="00000000" w:rsidRPr="00000000" w14:paraId="00000047">
      <w:pPr>
        <w:tabs>
          <w:tab w:val="left" w:leader="none" w:pos="1368"/>
        </w:tabs>
        <w:rPr/>
      </w:pPr>
      <w:r w:rsidDel="00000000" w:rsidR="00000000" w:rsidRPr="00000000">
        <w:rPr>
          <w:rtl w:val="0"/>
        </w:rPr>
        <w:t xml:space="preserve">• R.30 (privacidad): la página existe, pero los datos de contacto que muestra son de prueba y deben reemplazarse por los reales del gimnasio.</w:t>
      </w:r>
    </w:p>
    <w:p w:rsidR="00000000" w:rsidDel="00000000" w:rsidP="00000000" w:rsidRDefault="00000000" w:rsidRPr="00000000" w14:paraId="00000048">
      <w:pPr>
        <w:tabs>
          <w:tab w:val="left" w:leader="none" w:pos="1368"/>
        </w:tabs>
        <w:rPr/>
      </w:pPr>
      <w:r w:rsidDel="00000000" w:rsidR="00000000" w:rsidRPr="00000000">
        <w:rPr>
          <w:rtl w:val="0"/>
        </w:rPr>
        <w:t xml:space="preserve">• Notificaciones push: se evaluaron y se dejaron fuera del alcance, quedando como hoja de ruta (registrado en la Matriz de Control de Cambio).</w:t>
      </w:r>
    </w:p>
    <w:p w:rsidR="00000000" w:rsidDel="00000000" w:rsidP="00000000" w:rsidRDefault="00000000" w:rsidRPr="00000000" w14:paraId="00000049">
      <w:pPr>
        <w:tabs>
          <w:tab w:val="left" w:leader="none" w:pos="1368"/>
        </w:tabs>
        <w:rPr/>
      </w:pPr>
      <w:r w:rsidDel="00000000" w:rsidR="00000000" w:rsidRPr="00000000">
        <w:rPr>
          <w:rtl w:val="0"/>
        </w:rPr>
        <w:t xml:space="preserve">• Correos desde dominio propio: los correos salen desde una cuenta gratuita y pueden llegar a spam; la solución definitiva requiere un dominio propio con autenticación DKIM y DMARC.</w:t>
      </w:r>
    </w:p>
    <w:p w:rsidR="00000000" w:rsidDel="00000000" w:rsidP="00000000" w:rsidRDefault="00000000" w:rsidRPr="00000000" w14:paraId="0000004A">
      <w:pPr>
        <w:pStyle w:val="Heading1"/>
        <w:rPr/>
      </w:pPr>
      <w:r w:rsidDel="00000000" w:rsidR="00000000" w:rsidRPr="00000000">
        <w:rPr>
          <w:rtl w:val="0"/>
        </w:rPr>
        <w:t xml:space="preserve">Próximo Sprint </w:t>
      </w:r>
    </w:p>
    <w:p w:rsidR="00000000" w:rsidDel="00000000" w:rsidP="00000000" w:rsidRDefault="00000000" w:rsidRPr="00000000" w14:paraId="0000004B">
      <w:pPr>
        <w:rPr/>
      </w:pPr>
      <w:r w:rsidDel="00000000" w:rsidR="00000000" w:rsidRPr="00000000">
        <w:rPr>
          <w:rtl w:val="0"/>
        </w:rPr>
        <w:t xml:space="preserve">Para la Fase 3 (entrega final) el equipo se compromete a: cerrar la validación de R.28, R.29 y R.30; incorporar las pruebas funcionales y con usuarios y la corrección de observaciones, según la Carta Gantt; preparar los manuales de usuario y la capacitación al cliente; y evaluar un dominio propio para el envío de correos.</w:t>
      </w:r>
    </w:p>
    <w:p w:rsidR="00000000" w:rsidDel="00000000" w:rsidP="00000000" w:rsidRDefault="00000000" w:rsidRPr="00000000" w14:paraId="0000004C">
      <w:pPr>
        <w:pStyle w:val="Heading1"/>
        <w:rPr/>
      </w:pPr>
      <w:r w:rsidDel="00000000" w:rsidR="00000000" w:rsidRPr="00000000">
        <w:rPr>
          <w:rtl w:val="0"/>
        </w:rPr>
        <w:t xml:space="preserve">Anexos </w:t>
      </w:r>
    </w:p>
    <w:p w:rsidR="00000000" w:rsidDel="00000000" w:rsidP="00000000" w:rsidRDefault="00000000" w:rsidRPr="00000000" w14:paraId="0000004D">
      <w:pPr>
        <w:rPr/>
      </w:pPr>
      <w:r w:rsidDel="00000000" w:rsidR="00000000" w:rsidRPr="00000000">
        <w:rPr>
          <w:rtl w:val="0"/>
        </w:rPr>
        <w:t xml:space="preserve">Se adjuntan, de forma independiente, los documentos generados en la Fase 2: Documento de Arquitectura del Sistema (DAS), Diccionario de Datos, Matriz de Riesgo, Matriz de Control de Cambio, Matriz RACI, Documento de Proceso de Negocio, Minuta de reunión y las guías 2.4 y 2.6, además de la presentación de la Fase 2.</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6400800" cy="0"/>
              <wp:effectExtent b="0" l="0" r="0" t="0"/>
              <wp:wrapNone/>
              <wp:docPr id="3"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6400800" cy="0"/>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400800" cy="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drawing>
        <wp:inline distB="0" distT="0" distL="0" distR="0">
          <wp:extent cx="2428875" cy="74295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3"/>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51">
          <w:pPr>
            <w:tabs>
              <w:tab w:val="left" w:leader="none" w:pos="459"/>
            </w:tabs>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52">
          <w:pPr>
            <w:tabs>
              <w:tab w:val="left" w:leader="none" w:pos="742"/>
            </w:tabs>
            <w:spacing w:before="40" w:lineRule="auto"/>
            <w:ind w:right="68"/>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i w:val="1"/>
        <w:iCs w:val="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ed7d31" w:space="0" w:sz="8" w:val="single"/>
        <w:left w:color="ed7d31" w:space="0" w:sz="8" w:val="single"/>
        <w:bottom w:color="ed7d31" w:space="0" w:sz="8" w:val="single"/>
        <w:right w:color="ed7d31" w:space="0" w:sz="8" w:val="single"/>
      </w:pBdr>
      <w:shd w:fill="fbe4d5" w:val="clear"/>
      <w:spacing w:after="100" w:before="480" w:line="269" w:lineRule="auto"/>
    </w:pPr>
    <w:rPr>
      <w:rFonts w:ascii="Calibri" w:cs="Calibri" w:eastAsia="Calibri" w:hAnsi="Calibri"/>
      <w:b w:val="1"/>
      <w:bCs w:val="1"/>
      <w:color w:val="823b0b"/>
      <w:sz w:val="22"/>
      <w:szCs w:val="22"/>
    </w:rPr>
  </w:style>
  <w:style w:type="paragraph" w:styleId="Heading2">
    <w:name w:val="heading 2"/>
    <w:basedOn w:val="Normal"/>
    <w:next w:val="Normal"/>
    <w:pPr>
      <w:pBdr>
        <w:top w:color="ed7d31" w:space="0" w:sz="4" w:val="single"/>
        <w:left w:color="ed7d31" w:space="2" w:sz="48" w:val="single"/>
        <w:bottom w:color="ed7d31" w:space="0" w:sz="4" w:val="single"/>
        <w:right w:color="ed7d31" w:space="4" w:sz="4" w:val="single"/>
      </w:pBdr>
      <w:spacing w:after="100" w:before="200" w:line="269" w:lineRule="auto"/>
      <w:ind w:left="144"/>
    </w:pPr>
    <w:rPr>
      <w:rFonts w:ascii="Calibri" w:cs="Calibri" w:eastAsia="Calibri" w:hAnsi="Calibri"/>
      <w:b w:val="1"/>
      <w:bCs w:val="1"/>
      <w:color w:val="c55911"/>
      <w:sz w:val="22"/>
      <w:szCs w:val="22"/>
    </w:rPr>
  </w:style>
  <w:style w:type="paragraph" w:styleId="Heading3">
    <w:name w:val="heading 3"/>
    <w:basedOn w:val="Normal"/>
    <w:next w:val="Normal"/>
    <w:pPr>
      <w:pBdr>
        <w:left w:color="ed7d31" w:space="2" w:sz="48" w:val="single"/>
        <w:bottom w:color="ed7d31" w:space="0" w:sz="4" w:val="single"/>
      </w:pBdr>
      <w:spacing w:after="100" w:before="200" w:line="240" w:lineRule="auto"/>
      <w:ind w:left="144"/>
    </w:pPr>
    <w:rPr>
      <w:rFonts w:ascii="Calibri" w:cs="Calibri" w:eastAsia="Calibri" w:hAnsi="Calibri"/>
      <w:b w:val="1"/>
      <w:bCs w:val="1"/>
      <w:color w:val="c55911"/>
      <w:sz w:val="22"/>
      <w:szCs w:val="22"/>
    </w:rPr>
  </w:style>
  <w:style w:type="paragraph" w:styleId="Heading4">
    <w:name w:val="heading 4"/>
    <w:basedOn w:val="Normal"/>
    <w:next w:val="Normal"/>
    <w:pPr>
      <w:pBdr>
        <w:left w:color="ed7d31" w:space="2" w:sz="4" w:val="single"/>
        <w:bottom w:color="ed7d31" w:space="2" w:sz="4" w:val="single"/>
      </w:pBdr>
      <w:spacing w:after="100" w:before="200" w:line="240" w:lineRule="auto"/>
      <w:ind w:left="86"/>
    </w:pPr>
    <w:rPr>
      <w:rFonts w:ascii="Calibri" w:cs="Calibri" w:eastAsia="Calibri" w:hAnsi="Calibri"/>
      <w:b w:val="1"/>
      <w:bCs w:val="1"/>
      <w:color w:val="c55911"/>
      <w:sz w:val="22"/>
      <w:szCs w:val="22"/>
    </w:rPr>
  </w:style>
  <w:style w:type="paragraph" w:styleId="Heading5">
    <w:name w:val="heading 5"/>
    <w:basedOn w:val="Normal"/>
    <w:next w:val="Normal"/>
    <w:pPr>
      <w:pBdr>
        <w:left w:color="ed7d31" w:space="2" w:sz="4" w:val="dotted"/>
        <w:bottom w:color="ed7d31" w:space="2" w:sz="4" w:val="dotted"/>
      </w:pBdr>
      <w:spacing w:after="100" w:before="200" w:line="240" w:lineRule="auto"/>
      <w:ind w:left="86"/>
    </w:pPr>
    <w:rPr>
      <w:rFonts w:ascii="Calibri" w:cs="Calibri" w:eastAsia="Calibri" w:hAnsi="Calibri"/>
      <w:b w:val="1"/>
      <w:bCs w:val="1"/>
      <w:color w:val="c55911"/>
      <w:sz w:val="22"/>
      <w:szCs w:val="22"/>
    </w:rPr>
  </w:style>
  <w:style w:type="paragraph" w:styleId="Heading6">
    <w:name w:val="heading 6"/>
    <w:basedOn w:val="Normal"/>
    <w:next w:val="Normal"/>
    <w:pPr>
      <w:pBdr>
        <w:bottom w:color="f7caac" w:space="2" w:sz="4" w:val="single"/>
      </w:pBdr>
      <w:spacing w:after="100" w:before="200" w:line="240" w:lineRule="auto"/>
    </w:pPr>
    <w:rPr>
      <w:rFonts w:ascii="Calibri" w:cs="Calibri" w:eastAsia="Calibri" w:hAnsi="Calibri"/>
      <w:color w:val="c55911"/>
      <w:sz w:val="22"/>
      <w:szCs w:val="22"/>
    </w:rPr>
  </w:style>
  <w:style w:type="paragraph" w:styleId="Title">
    <w:name w:val="Title"/>
    <w:basedOn w:val="Normal"/>
    <w:next w:val="Normal"/>
    <w:pPr>
      <w:pBdr>
        <w:top w:color="ed7d31" w:space="0" w:sz="48" w:val="single"/>
        <w:bottom w:color="ed7d31" w:space="0" w:sz="48" w:val="single"/>
      </w:pBdr>
      <w:shd w:fill="ed7d31" w:val="clear"/>
      <w:spacing w:after="0" w:line="240" w:lineRule="auto"/>
      <w:jc w:val="center"/>
    </w:pPr>
    <w:rPr>
      <w:rFonts w:ascii="Calibri" w:cs="Calibri" w:eastAsia="Calibri" w:hAnsi="Calibri"/>
      <w:color w:val="ffffff"/>
      <w:sz w:val="48"/>
      <w:szCs w:val="48"/>
    </w:rPr>
  </w:style>
  <w:style w:type="paragraph" w:styleId="Ttulo7">
    <w:name w:val="heading 7"/>
    <w:basedOn w:val="Normal"/>
    <w:next w:val="Normal"/>
    <w:link w:val="Ttulo7Car"/>
    <w:uiPriority w:val="9"/>
    <w:unhideWhenUsed w:val="1"/>
    <w:qFormat w:val="1"/>
    <w:rsid w:val="004922AA"/>
    <w:pPr>
      <w:pBdr>
        <w:bottom w:color="f4b083" w:space="2" w:sz="4" w:themeColor="accent2" w:themeTint="000099" w:val="dotted"/>
      </w:pBdr>
      <w:spacing w:after="100" w:before="200" w:line="240" w:lineRule="auto"/>
      <w:contextualSpacing w:val="1"/>
      <w:outlineLvl w:val="6"/>
    </w:pPr>
    <w:rPr>
      <w:rFonts w:asciiTheme="majorHAnsi" w:cstheme="majorBidi" w:eastAsiaTheme="majorEastAsia" w:hAnsiTheme="majorHAnsi"/>
      <w:color w:val="c45911" w:themeColor="accent2" w:themeShade="0000BF"/>
      <w:sz w:val="22"/>
      <w:szCs w:val="22"/>
    </w:rPr>
  </w:style>
  <w:style w:type="paragraph" w:styleId="Ttulo8">
    <w:name w:val="heading 8"/>
    <w:basedOn w:val="Normal"/>
    <w:next w:val="Normal"/>
    <w:link w:val="Ttulo8Car"/>
    <w:uiPriority w:val="9"/>
    <w:unhideWhenUsed w:val="1"/>
    <w:qFormat w:val="1"/>
    <w:rsid w:val="004922AA"/>
    <w:pPr>
      <w:spacing w:after="100" w:before="200" w:line="240" w:lineRule="auto"/>
      <w:contextualSpacing w:val="1"/>
      <w:outlineLvl w:val="7"/>
    </w:pPr>
    <w:rPr>
      <w:rFonts w:asciiTheme="majorHAnsi" w:cstheme="majorBidi" w:eastAsiaTheme="majorEastAsia" w:hAnsiTheme="majorHAnsi"/>
      <w:color w:val="ed7d31" w:themeColor="accent2"/>
      <w:sz w:val="22"/>
      <w:szCs w:val="22"/>
    </w:rPr>
  </w:style>
  <w:style w:type="paragraph" w:styleId="Ttulo9">
    <w:name w:val="heading 9"/>
    <w:basedOn w:val="Normal"/>
    <w:next w:val="Normal"/>
    <w:link w:val="Ttulo9Car"/>
    <w:uiPriority w:val="9"/>
    <w:unhideWhenUsed w:val="1"/>
    <w:qFormat w:val="1"/>
    <w:rsid w:val="004922AA"/>
    <w:pPr>
      <w:spacing w:after="100" w:before="200" w:line="240" w:lineRule="auto"/>
      <w:contextualSpacing w:val="1"/>
      <w:outlineLvl w:val="8"/>
    </w:pPr>
    <w:rPr>
      <w:rFonts w:asciiTheme="majorHAnsi" w:cstheme="majorBidi" w:eastAsiaTheme="majorEastAsia" w:hAnsiTheme="majorHAnsi"/>
      <w:color w:val="ed7d31" w:themeColor="accent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0"/>
      <w:color w:val="0000ff"/>
      <w:u w:val="single"/>
    </w:rPr>
  </w:style>
  <w:style w:type="paragraph" w:styleId="Body" w:customStyle="1">
    <w:name w:val="Body"/>
    <w:basedOn w:val="Normal"/>
    <w:pPr>
      <w:spacing w:before="120" w:line="240" w:lineRule="auto"/>
      <w:jc w:val="both"/>
    </w:pPr>
    <w:rPr>
      <w:rFonts w:ascii="Book Antiqua" w:hAnsi="Book Antiqua"/>
    </w:rPr>
  </w:style>
  <w:style w:type="paragraph" w:styleId="Bullet" w:customStyle="1">
    <w:name w:val="Bullet"/>
    <w:basedOn w:val="Normal"/>
    <w:pPr>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0"/>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val="1"/>
    <w:rsid w:val="004922AA"/>
    <w:pPr>
      <w:ind w:left="720"/>
      <w:contextualSpacing w:val="1"/>
    </w:pPr>
  </w:style>
  <w:style w:type="character" w:styleId="Ttulo1Car" w:customStyle="1">
    <w:name w:val="Título 1 Car"/>
    <w:basedOn w:val="Fuentedeprrafopredeter"/>
    <w:link w:val="Ttulo1"/>
    <w:uiPriority w:val="9"/>
    <w:rsid w:val="004922AA"/>
    <w:rPr>
      <w:rFonts w:asciiTheme="majorHAnsi" w:cstheme="majorBidi" w:eastAsiaTheme="majorEastAsia" w:hAnsiTheme="majorHAnsi"/>
      <w:b w:val="1"/>
      <w:bCs w:val="1"/>
      <w:i w:val="1"/>
      <w:iCs w:val="1"/>
      <w:color w:val="823b0b" w:themeColor="accent2" w:themeShade="00007F"/>
      <w:shd w:color="auto" w:fill="fbe4d5" w:themeFill="accent2" w:themeFillTint="000033" w:val="clear"/>
    </w:rPr>
  </w:style>
  <w:style w:type="character" w:styleId="Ttulo2Car" w:customStyle="1">
    <w:name w:val="Título 2 Car"/>
    <w:basedOn w:val="Fuentedeprrafopredeter"/>
    <w:link w:val="Ttulo2"/>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3Car" w:customStyle="1">
    <w:name w:val="Título 3 Car"/>
    <w:basedOn w:val="Fuentedeprrafopredeter"/>
    <w:link w:val="Ttulo3"/>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4Car" w:customStyle="1">
    <w:name w:val="Título 4 Car"/>
    <w:basedOn w:val="Fuentedeprrafopredeter"/>
    <w:link w:val="Ttulo4"/>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5Car" w:customStyle="1">
    <w:name w:val="Título 5 Car"/>
    <w:basedOn w:val="Fuentedeprrafopredeter"/>
    <w:link w:val="Ttulo5"/>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6Car" w:customStyle="1">
    <w:name w:val="Título 6 Car"/>
    <w:basedOn w:val="Fuentedeprrafopredeter"/>
    <w:link w:val="Ttulo6"/>
    <w:uiPriority w:val="9"/>
    <w:rsid w:val="004922AA"/>
    <w:rPr>
      <w:rFonts w:asciiTheme="majorHAnsi" w:cstheme="majorBidi" w:eastAsiaTheme="majorEastAsia" w:hAnsiTheme="majorHAnsi"/>
      <w:i w:val="1"/>
      <w:iCs w:val="1"/>
      <w:color w:val="c45911" w:themeColor="accent2" w:themeShade="0000BF"/>
    </w:rPr>
  </w:style>
  <w:style w:type="character" w:styleId="Ttulo7Car" w:customStyle="1">
    <w:name w:val="Título 7 Car"/>
    <w:basedOn w:val="Fuentedeprrafopredeter"/>
    <w:link w:val="Ttulo7"/>
    <w:uiPriority w:val="9"/>
    <w:rsid w:val="004922AA"/>
    <w:rPr>
      <w:rFonts w:asciiTheme="majorHAnsi" w:cstheme="majorBidi" w:eastAsiaTheme="majorEastAsia" w:hAnsiTheme="majorHAnsi"/>
      <w:i w:val="1"/>
      <w:iCs w:val="1"/>
      <w:color w:val="c45911" w:themeColor="accent2" w:themeShade="0000BF"/>
    </w:rPr>
  </w:style>
  <w:style w:type="character" w:styleId="Ttulo8Car" w:customStyle="1">
    <w:name w:val="Título 8 Car"/>
    <w:basedOn w:val="Fuentedeprrafopredeter"/>
    <w:link w:val="Ttulo8"/>
    <w:uiPriority w:val="9"/>
    <w:rsid w:val="004922AA"/>
    <w:rPr>
      <w:rFonts w:asciiTheme="majorHAnsi" w:cstheme="majorBidi" w:eastAsiaTheme="majorEastAsia" w:hAnsiTheme="majorHAnsi"/>
      <w:i w:val="1"/>
      <w:iCs w:val="1"/>
      <w:color w:val="ed7d31" w:themeColor="accent2"/>
    </w:rPr>
  </w:style>
  <w:style w:type="character" w:styleId="Ttulo9Car" w:customStyle="1">
    <w:name w:val="Título 9 Car"/>
    <w:basedOn w:val="Fuentedeprrafopredeter"/>
    <w:link w:val="Ttulo9"/>
    <w:uiPriority w:val="9"/>
    <w:rsid w:val="004922AA"/>
    <w:rPr>
      <w:rFonts w:asciiTheme="majorHAnsi" w:cstheme="majorBidi" w:eastAsiaTheme="majorEastAsia" w:hAnsiTheme="majorHAnsi"/>
      <w:i w:val="1"/>
      <w:iCs w:val="1"/>
      <w:color w:val="ed7d31" w:themeColor="accent2"/>
      <w:sz w:val="20"/>
      <w:szCs w:val="20"/>
    </w:rPr>
  </w:style>
  <w:style w:type="paragraph" w:styleId="Descripcin">
    <w:name w:val="caption"/>
    <w:basedOn w:val="Normal"/>
    <w:next w:val="Normal"/>
    <w:uiPriority w:val="35"/>
    <w:semiHidden w:val="1"/>
    <w:unhideWhenUsed w:val="1"/>
    <w:qFormat w:val="1"/>
    <w:rsid w:val="004922AA"/>
    <w:rPr>
      <w:b w:val="1"/>
      <w:bCs w:val="1"/>
      <w:color w:val="c45911" w:themeColor="accent2" w:themeShade="0000BF"/>
      <w:sz w:val="18"/>
      <w:szCs w:val="18"/>
    </w:rPr>
  </w:style>
  <w:style w:type="character" w:styleId="TtuloCar" w:customStyle="1">
    <w:name w:val="Título Car"/>
    <w:basedOn w:val="Fuentedeprrafopredeter"/>
    <w:link w:val="Ttulo"/>
    <w:uiPriority w:val="10"/>
    <w:rsid w:val="004922AA"/>
    <w:rPr>
      <w:rFonts w:asciiTheme="majorHAnsi" w:cstheme="majorBidi" w:eastAsiaTheme="majorEastAsia" w:hAnsiTheme="majorHAnsi"/>
      <w:i w:val="1"/>
      <w:iCs w:val="1"/>
      <w:color w:val="ffffff" w:themeColor="background1"/>
      <w:spacing w:val="10"/>
      <w:sz w:val="48"/>
      <w:szCs w:val="48"/>
      <w:shd w:color="auto" w:fill="ed7d31" w:themeFill="accent2" w:val="clear"/>
    </w:rPr>
  </w:style>
  <w:style w:type="character" w:styleId="SubttuloCar" w:customStyle="1">
    <w:name w:val="Subtítulo Car"/>
    <w:basedOn w:val="Fuentedeprrafopredeter"/>
    <w:link w:val="Subttulo"/>
    <w:uiPriority w:val="11"/>
    <w:rsid w:val="004922AA"/>
    <w:rPr>
      <w:rFonts w:asciiTheme="majorHAnsi" w:cstheme="majorBidi" w:eastAsiaTheme="majorEastAsia" w:hAnsiTheme="majorHAnsi"/>
      <w:i w:val="1"/>
      <w:iCs w:val="1"/>
      <w:color w:val="823b0b" w:themeColor="accent2" w:themeShade="00007F"/>
      <w:sz w:val="24"/>
      <w:szCs w:val="24"/>
    </w:rPr>
  </w:style>
  <w:style w:type="character" w:styleId="Textoennegrita">
    <w:name w:val="Strong"/>
    <w:uiPriority w:val="22"/>
    <w:qFormat w:val="1"/>
    <w:rsid w:val="004922AA"/>
    <w:rPr>
      <w:b w:val="1"/>
      <w:bCs w:val="1"/>
      <w:spacing w:val="0"/>
    </w:rPr>
  </w:style>
  <w:style w:type="character" w:styleId="nfasis">
    <w:name w:val="Emphasis"/>
    <w:uiPriority w:val="20"/>
    <w:qFormat w:val="1"/>
    <w:rsid w:val="004922AA"/>
    <w:rPr>
      <w:rFonts w:asciiTheme="majorHAnsi" w:cstheme="majorBidi" w:eastAsiaTheme="majorEastAsia" w:hAnsiTheme="majorHAnsi"/>
      <w:b w:val="1"/>
      <w:bCs w:val="1"/>
      <w:i w:val="1"/>
      <w:iCs w:val="1"/>
      <w:color w:val="ed7d31" w:themeColor="accent2"/>
      <w:bdr w:color="fbe4d5" w:space="0" w:sz="18" w:themeColor="accent2" w:themeTint="000033" w:val="single"/>
      <w:shd w:color="auto" w:fill="fbe4d5" w:themeFill="accent2" w:themeFillTint="000033" w:val="clear"/>
    </w:rPr>
  </w:style>
  <w:style w:type="paragraph" w:styleId="Sinespaciado">
    <w:name w:val="No Spacing"/>
    <w:basedOn w:val="Normal"/>
    <w:link w:val="SinespaciadoCar"/>
    <w:uiPriority w:val="1"/>
    <w:qFormat w:val="1"/>
    <w:rsid w:val="004922AA"/>
    <w:pPr>
      <w:spacing w:after="0" w:line="240" w:lineRule="auto"/>
    </w:pPr>
  </w:style>
  <w:style w:type="paragraph" w:styleId="Cita">
    <w:name w:val="Quote"/>
    <w:basedOn w:val="Normal"/>
    <w:next w:val="Normal"/>
    <w:link w:val="CitaCar"/>
    <w:uiPriority w:val="29"/>
    <w:qFormat w:val="1"/>
    <w:rsid w:val="004922AA"/>
    <w:rPr>
      <w:i w:val="0"/>
      <w:iCs w:val="0"/>
      <w:color w:val="c45911" w:themeColor="accent2" w:themeShade="0000BF"/>
    </w:rPr>
  </w:style>
  <w:style w:type="character" w:styleId="CitaCar" w:customStyle="1">
    <w:name w:val="Cita Car"/>
    <w:basedOn w:val="Fuentedeprrafopredeter"/>
    <w:link w:val="Cita"/>
    <w:uiPriority w:val="29"/>
    <w:rsid w:val="004922AA"/>
    <w:rPr>
      <w:color w:val="c45911" w:themeColor="accent2" w:themeShade="0000BF"/>
      <w:sz w:val="20"/>
      <w:szCs w:val="20"/>
    </w:rPr>
  </w:style>
  <w:style w:type="paragraph" w:styleId="Citadestacada">
    <w:name w:val="Intense Quote"/>
    <w:basedOn w:val="Normal"/>
    <w:next w:val="Normal"/>
    <w:link w:val="CitadestacadaCar"/>
    <w:uiPriority w:val="30"/>
    <w:qFormat w:val="1"/>
    <w:rsid w:val="004922AA"/>
    <w:pPr>
      <w:pBdr>
        <w:top w:color="ed7d31" w:space="10" w:sz="8" w:themeColor="accent2" w:val="dotted"/>
        <w:bottom w:color="ed7d31" w:space="10" w:sz="8" w:themeColor="accent2" w:val="dotted"/>
      </w:pBdr>
      <w:spacing w:line="300" w:lineRule="auto"/>
      <w:ind w:left="2160" w:right="2160"/>
      <w:jc w:val="center"/>
    </w:pPr>
    <w:rPr>
      <w:rFonts w:asciiTheme="majorHAnsi" w:cstheme="majorBidi" w:eastAsiaTheme="majorEastAsia" w:hAnsiTheme="majorHAnsi"/>
      <w:b w:val="1"/>
      <w:bCs w:val="1"/>
      <w:color w:val="ed7d31" w:themeColor="accent2"/>
    </w:rPr>
  </w:style>
  <w:style w:type="character" w:styleId="CitadestacadaCar" w:customStyle="1">
    <w:name w:val="Cita destacada Car"/>
    <w:basedOn w:val="Fuentedeprrafopredeter"/>
    <w:link w:val="Citadestacada"/>
    <w:uiPriority w:val="30"/>
    <w:rsid w:val="004922AA"/>
    <w:rPr>
      <w:rFonts w:asciiTheme="majorHAnsi" w:cstheme="majorBidi" w:eastAsiaTheme="majorEastAsia" w:hAnsiTheme="majorHAnsi"/>
      <w:b w:val="1"/>
      <w:bCs w:val="1"/>
      <w:i w:val="1"/>
      <w:iCs w:val="1"/>
      <w:color w:val="ed7d31" w:themeColor="accent2"/>
      <w:sz w:val="20"/>
      <w:szCs w:val="20"/>
    </w:rPr>
  </w:style>
  <w:style w:type="character" w:styleId="nfasissutil">
    <w:name w:val="Subtle Emphasis"/>
    <w:uiPriority w:val="19"/>
    <w:qFormat w:val="1"/>
    <w:rsid w:val="004922AA"/>
    <w:rPr>
      <w:rFonts w:asciiTheme="majorHAnsi" w:cstheme="majorBidi" w:eastAsiaTheme="majorEastAsia" w:hAnsiTheme="majorHAnsi"/>
      <w:i w:val="1"/>
      <w:iCs w:val="1"/>
      <w:color w:val="ed7d31" w:themeColor="accent2"/>
    </w:rPr>
  </w:style>
  <w:style w:type="character" w:styleId="nfasisintenso">
    <w:name w:val="Intense Emphasis"/>
    <w:uiPriority w:val="21"/>
    <w:qFormat w:val="1"/>
    <w:rsid w:val="004922AA"/>
    <w:rPr>
      <w:rFonts w:asciiTheme="majorHAnsi" w:cstheme="majorBidi" w:eastAsiaTheme="majorEastAsia" w:hAnsiTheme="majorHAnsi"/>
      <w:b w:val="1"/>
      <w:bCs w:val="1"/>
      <w:i w:val="1"/>
      <w:iCs w:val="1"/>
      <w:dstrike w:val="0"/>
      <w:color w:val="ffffff" w:themeColor="background1"/>
      <w:bdr w:color="ed7d31" w:space="0" w:sz="18" w:themeColor="accent2" w:val="single"/>
      <w:shd w:color="auto" w:fill="ed7d31" w:themeFill="accent2" w:val="clear"/>
      <w:vertAlign w:val="baseline"/>
    </w:rPr>
  </w:style>
  <w:style w:type="character" w:styleId="Referenciasutil">
    <w:name w:val="Subtle Reference"/>
    <w:uiPriority w:val="31"/>
    <w:qFormat w:val="1"/>
    <w:rsid w:val="004922AA"/>
    <w:rPr>
      <w:i w:val="1"/>
      <w:iCs w:val="1"/>
      <w:smallCaps w:val="1"/>
      <w:color w:val="ed7d31" w:themeColor="accent2"/>
      <w:u w:color="ed7d31" w:themeColor="accent2"/>
    </w:rPr>
  </w:style>
  <w:style w:type="character" w:styleId="Referenciaintensa">
    <w:name w:val="Intense Reference"/>
    <w:uiPriority w:val="32"/>
    <w:qFormat w:val="1"/>
    <w:rsid w:val="004922AA"/>
    <w:rPr>
      <w:b w:val="1"/>
      <w:bCs w:val="1"/>
      <w:i w:val="1"/>
      <w:iCs w:val="1"/>
      <w:smallCaps w:val="1"/>
      <w:color w:val="ed7d31" w:themeColor="accent2"/>
      <w:u w:color="ed7d31" w:themeColor="accent2"/>
    </w:rPr>
  </w:style>
  <w:style w:type="character" w:styleId="Ttulodellibro">
    <w:name w:val="Book Title"/>
    <w:uiPriority w:val="33"/>
    <w:qFormat w:val="1"/>
    <w:rsid w:val="004922AA"/>
    <w:rPr>
      <w:rFonts w:asciiTheme="majorHAnsi" w:cstheme="majorBidi" w:eastAsiaTheme="majorEastAsia" w:hAnsiTheme="majorHAnsi"/>
      <w:b w:val="1"/>
      <w:bCs w:val="1"/>
      <w:i w:val="1"/>
      <w:iCs w:val="1"/>
      <w:smallCaps w:val="1"/>
      <w:color w:val="c45911" w:themeColor="accent2" w:themeShade="0000BF"/>
      <w:u w:val="single"/>
    </w:rPr>
  </w:style>
  <w:style w:type="paragraph" w:styleId="TtuloTDC">
    <w:name w:val="TOC Heading"/>
    <w:basedOn w:val="Ttulo1"/>
    <w:next w:val="Normal"/>
    <w:uiPriority w:val="39"/>
    <w:semiHidden w:val="1"/>
    <w:unhideWhenUsed w:val="1"/>
    <w:qFormat w:val="1"/>
    <w:rsid w:val="004922AA"/>
    <w:pPr>
      <w:outlineLvl w:val="9"/>
    </w:pPr>
  </w:style>
  <w:style w:type="character" w:styleId="SinespaciadoCar" w:customStyle="1">
    <w:name w:val="Sin espaciado Car"/>
    <w:basedOn w:val="Fuentedeprrafopredeter"/>
    <w:link w:val="Sinespaciado"/>
    <w:uiPriority w:val="1"/>
    <w:rsid w:val="004922AA"/>
    <w:rPr>
      <w:i w:val="1"/>
      <w:iCs w:val="1"/>
      <w:sz w:val="20"/>
      <w:szCs w:val="20"/>
    </w:rPr>
  </w:style>
  <w:style w:type="table" w:styleId="Tabladelista3-nfasis2">
    <w:name w:val="List Table 3 Accent 2"/>
    <w:basedOn w:val="Tablanormal"/>
    <w:uiPriority w:val="48"/>
    <w:rsid w:val="007F6112"/>
    <w:pPr>
      <w:spacing w:after="0" w:line="240" w:lineRule="auto"/>
    </w:p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val="1"/>
        <w:bCs w:val="1"/>
        <w:color w:val="ffffff" w:themeColor="background1"/>
      </w:rPr>
      <w:tblPr/>
      <w:tcPr>
        <w:shd w:color="auto" w:fill="ed7d31" w:themeFill="accent2" w:val="clear"/>
      </w:tcPr>
    </w:tblStylePr>
    <w:tblStylePr w:type="lastRow">
      <w:rPr>
        <w:b w:val="1"/>
        <w:bCs w:val="1"/>
      </w:rPr>
      <w:tblPr/>
      <w:tcPr>
        <w:tcBorders>
          <w:top w:color="ed7d31"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d7d31" w:space="0" w:sz="4" w:themeColor="accent2" w:val="double"/>
          <w:left w:space="0" w:sz="0" w:val="nil"/>
        </w:tcBorders>
      </w:tcPr>
    </w:tblStylePr>
    <w:tblStylePr w:type="swCell">
      <w:tblPr/>
      <w:tcPr>
        <w:tcBorders>
          <w:top w:color="ed7d31" w:space="0" w:sz="4" w:themeColor="accent2" w:val="double"/>
          <w:right w:space="0" w:sz="0" w:val="nil"/>
        </w:tcBorders>
      </w:tcPr>
    </w:tblStylePr>
  </w:style>
  <w:style w:type="paragraph" w:styleId="Subtitle">
    <w:name w:val="Subtitle"/>
    <w:basedOn w:val="Normal"/>
    <w:next w:val="Normal"/>
    <w:pPr>
      <w:pBdr>
        <w:bottom w:color="ed7d31" w:space="10" w:sz="8" w:val="dotted"/>
      </w:pBdr>
      <w:spacing w:after="900" w:before="200" w:line="240" w:lineRule="auto"/>
      <w:jc w:val="center"/>
    </w:pPr>
    <w:rPr>
      <w:rFonts w:ascii="Calibri" w:cs="Calibri" w:eastAsia="Calibri" w:hAnsi="Calibri"/>
      <w:color w:val="823b0b"/>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74H3zqkn30+saeEkl7l6hdJ3LQ==">CgMxLjA4AHIhMTl4ME1XQVhzSTY4WGE3elIzVkoydWd2cmtkcFdTYkNR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2023-08-06T20:51:00Z</dcterms:created>
  <dc:creator>tisal</dc:creator>
</cp:coreProperties>
</file>