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color w:val="20BFC4"/>
          <w:sz w:val="36"/>
        </w:rPr>
        <w:t>5 MEGGYŐZÉSTECHNIKAI ELEM</w:t>
      </w:r>
    </w:p>
    <w:p>
      <w:pPr>
        <w:spacing w:before="0" w:after="80" w:line="240" w:lineRule="auto"/>
        <w:jc w:val="center"/>
      </w:pPr>
      <w:r>
        <w:rPr>
          <w:b/>
          <w:i w:val="0"/>
          <w:color w:val="1F2933"/>
          <w:sz w:val="22"/>
        </w:rPr>
        <w:t>amivel jobban konvertálhat a weboldalad - kompakt dokumentum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</w:tblGrid>
      <w:tr>
        <w:tc>
          <w:tcPr>
            <w:tcW w:type="dxa" w:w="2776"/>
            <w:shd w:fill="E9F9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1F2933"/>
                <w:sz w:val="16"/>
              </w:rPr>
              <w:t>Célgradiens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1F2933"/>
                <w:sz w:val="16"/>
              </w:rPr>
              <w:t>Információs rés</w:t>
            </w:r>
          </w:p>
        </w:tc>
        <w:tc>
          <w:tcPr>
            <w:tcW w:type="dxa" w:w="2776"/>
            <w:shd w:fill="E9F9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1F2933"/>
                <w:sz w:val="16"/>
              </w:rPr>
              <w:t>Puszta kitettség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1F2933"/>
                <w:sz w:val="16"/>
              </w:rPr>
              <w:t>Erőfeszítés igazolása</w:t>
            </w:r>
          </w:p>
        </w:tc>
      </w:tr>
    </w:tbl>
    <w:p>
      <w:pPr>
        <w:spacing w:before="80" w:after="80" w:line="240" w:lineRule="auto"/>
      </w:pPr>
      <w:r>
        <w:rPr>
          <w:b w:val="0"/>
          <w:i/>
          <w:color w:val="4B5563"/>
          <w:sz w:val="16"/>
        </w:rPr>
        <w:t>A dokumentum az eredeti e-book minden szöveges információját megtartja, de a nagy képi elemeket és ismétlődő vizuális részeket elhagyja, ezért oldalszámban és fájlméretben is lényegesen kisebb.</w:t>
      </w:r>
    </w:p>
    <w:p>
      <w:pPr>
        <w:spacing w:before="120" w:after="40" w:line="240" w:lineRule="auto"/>
      </w:pPr>
      <w:r>
        <w:rPr>
          <w:b/>
          <w:i w:val="0"/>
          <w:color w:val="20BFC4"/>
          <w:sz w:val="26"/>
        </w:rPr>
        <w:t xml:space="preserve">1. </w:t>
      </w:r>
      <w:r>
        <w:rPr>
          <w:b/>
          <w:i w:val="0"/>
          <w:color w:val="1F2933"/>
          <w:sz w:val="26"/>
        </w:rPr>
        <w:t>Goal gradient effect technika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Lényege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Kutatás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Eredmények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Gyakorlati használat</w:t>
            </w:r>
          </w:p>
        </w:tc>
      </w:tr>
      <w:tr>
        <w:tc>
          <w:tcPr>
            <w:tcW w:type="dxa" w:w="2776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goal gradient hatás szerint a motiváció egy cél felé nem egyenletes: a végső szakaszban exponenciálisan nő a kitartás.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modern "előre adott haladás" trükk ezt erősíti: ha a felhasználó úgy érzi, már elkezdett valamit, nagyobb eséllyel fejezi be.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hatást először Kollár Bluma figyelte meg 1920-ban patkánykísérletekben.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Joseph Nunes és Xavier Drèze 2006-os Journal of Consumer Research tanulmánya két terepkísérletet vizsgált autómosó ügyfelekkel az USA-ban.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300 lojalitáskártyát osztottak szét; az alanyok átlagéletkora 35 év volt, vegyes jövedelmi háttérrel.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1. csoport: üres kártya, 8 pecsét kellett egy ingyen autómosáshoz.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2. csoport: 2 pecsét már a kártyán volt, de 10-ig kellett gyűjteni; így szintén 8 mosás kellett.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pecsétek gumibélyegek voltak, minden autómosás után nyomták rá őket; a beváltást 6 hónapig követték.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Laboratóriumi follow-up: 150 fővel, haladási jelzővel ellátott űrlapokon mértek.</w:t>
            </w:r>
          </w:p>
        </w:tc>
        <w:tc>
          <w:tcPr>
            <w:tcW w:type="dxa" w:w="2776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1. csoport: 11% vitte be a kártyát, 88-an eldobták.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2. csoport: 40% váltotta be, vagyis 3,6-szor többen.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progress barras űrlapokon 28%-os konverziónövekedést mértek.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Magyarázat: az agy a relatív előrehaladást nézi (például 2/10 = 20% kész), nem az abszolút maradékot.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hatás demográfiailag független volt: fiatal/öreg, gazdag/szegény esetén is működött.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Weboldalakon a forrás szerint 20-40%-os konverzióemelkedés várható.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Mutass vizuális előrehaladást minden lépésnél.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Regisztrációs űrlapokon használj haladási jelzőt: "2/5 kész - már majdnem kész!"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Indíts "Már 20% megvan!" üzenettel, hogy a látogató pszichológiailag közelebb érezze magát a végéhez.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Forrás: Nunes &amp; Drèze (2006).</w:t>
            </w:r>
          </w:p>
        </w:tc>
      </w:tr>
    </w:tbl>
    <w:p>
      <w:pPr>
        <w:spacing w:before="120" w:after="40" w:line="240" w:lineRule="auto"/>
      </w:pPr>
      <w:r>
        <w:rPr>
          <w:b/>
          <w:i w:val="0"/>
          <w:color w:val="20BFC4"/>
          <w:sz w:val="26"/>
        </w:rPr>
        <w:t xml:space="preserve">2. </w:t>
      </w:r>
      <w:r>
        <w:rPr>
          <w:b/>
          <w:i w:val="0"/>
          <w:color w:val="1F2933"/>
          <w:sz w:val="26"/>
        </w:rPr>
        <w:t>Információs rés elmélet technika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Lényege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Kutatás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Eredmények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Gyakorlati használat</w:t>
            </w:r>
          </w:p>
        </w:tc>
      </w:tr>
      <w:tr>
        <w:tc>
          <w:tcPr>
            <w:tcW w:type="dxa" w:w="2776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Az információs rés elmélet szerint részleges információ esetén az ember tudja, hogy létezik izgalmas válasz, de még nem ismeri.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Ez kognitív diszkomfortot, feszültséget hoz létre, ami erősebb motivációt kelt a folytatásra, mint a teljes információ.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dopamin-rendszer jutalomként kódolja a "hiányzó információk kitöltését".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George Loewenstein (Carnegie Mellon Egyetem) 1994-es Psychological Bulletin cikkében elméleti modellt dolgozott ki, majd kísérleteket végzett.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kísérletben 120 felnőtt alany vett részt Pittsburghben, 25-45 éves korosztályból.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Trivia kérdéseket használtak, három csoporttal.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Teljes infó csoport: megkapták a teljes választ (például: "A X a Y, mert Z").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Információ nélküli csoport: semleges kérdést kaptak.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Gap csoport: sejtelmes kérdést kaptak ("Mi az az X, amit Y kapcsán mindenki rosszul tud?"), a válasz elhallgatásával.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kitöltési késztetést 1-10-es skálán mérték.</w:t>
            </w:r>
          </w:p>
        </w:tc>
        <w:tc>
          <w:tcPr>
            <w:tcW w:type="dxa" w:w="2776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gap csoport 2,8-szor erősebb motivációt mutatott.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gap csoport 67%-a kattintott a válaszért, szemben a teljes infó csoport 24%-ával.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kíváncsiság inverz U-görbe: túl nagy rés esetén túl kevés a kontextus, túl kicsi rés esetén unalmas a hiányzó információ.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forrás szerint weboldalakon 15-40%-os kattintási arány növekedést prediktál.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Kelts kíváncsiságot olyan címekkel, mint: "A trükk, amit senki nem mond el neked a dupla konverzióról".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látogató érezze, hogy van titok, de még nem ismeri.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gomb előtt hagyj nyitva információs rést; ne spoilerezz el mindent az elején, mert az csökkentheti a dopamin-hajtást.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A/B teszttel vizsgáld a rés méretét: a túl nagy gap elriaszt, a túl kicsi unalmas.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Forrás: Loewenstein (1994).</w:t>
            </w:r>
          </w:p>
        </w:tc>
      </w:tr>
    </w:tbl>
    <w:p>
      <w:r>
        <w:br w:type="page"/>
      </w:r>
    </w:p>
    <w:p>
      <w:pPr>
        <w:spacing w:before="120" w:after="40" w:line="240" w:lineRule="auto"/>
      </w:pPr>
      <w:r>
        <w:rPr>
          <w:b/>
          <w:i w:val="0"/>
          <w:color w:val="20BFC4"/>
          <w:sz w:val="26"/>
        </w:rPr>
        <w:t xml:space="preserve">3. </w:t>
      </w:r>
      <w:r>
        <w:rPr>
          <w:b/>
          <w:i w:val="0"/>
          <w:color w:val="1F2933"/>
          <w:sz w:val="26"/>
        </w:rPr>
        <w:t>Puszta kitettség hatása technika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Lényege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Kutatás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Eredmények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Gyakorlati használat</w:t>
            </w:r>
          </w:p>
        </w:tc>
      </w:tr>
      <w:tr>
        <w:tc>
          <w:tcPr>
            <w:tcW w:type="dxa" w:w="2776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Az ismerősség bizalmat épít.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mere exposure effect szerint amit ismerősnek érzünk, azt automatikusan pozitívabban értékeljük, akár tudattalanul is.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hatás az ismétlésen és a fluency-alapú heurisztikán, vagyis az ismerősség könnyű feldolgozásán keresztül működik.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Robert Zajonc 1968-as Journal of Personality and Social Psychology kísérleteiben 60 michigani egyetemistát vont be.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Az alanyok nonszensz kínai karakterekkel/szavakkal találkoztak ismételten, 1-25 alkalommal.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Ezt követően tetszési skálát mértek.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Szubliminális variációt is teszteltek 0,04 másodperces expozícióval.</w:t>
            </w:r>
          </w:p>
        </w:tc>
        <w:tc>
          <w:tcPr>
            <w:tcW w:type="dxa" w:w="2776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5 expozíció után 20%-kal nőtt az eredmény a tetszési skálán.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10 expozíció után 35%-kal nőtt az eredmény.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szubliminális expozíció is működött, ami a tudat alatti feldolgozást bizonyította.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kísérlet alapján a webkialakításban az azonnali visszalépési arány 15-25%-kal csökkenhet.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Ismételd el többször a kulcsüzenetet a weboldalon, például fejlécben és láblécben is.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Használj konzisztens dizájnelemeket.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Tedd ismerőssé a kialakítást és a dizájnt, mert ez növelheti a bizalmat, ezáltal a konverziót is.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Forrás: Zajonc (1968).</w:t>
            </w:r>
          </w:p>
        </w:tc>
      </w:tr>
    </w:tbl>
    <w:p>
      <w:pPr>
        <w:spacing w:before="120" w:after="40" w:line="240" w:lineRule="auto"/>
      </w:pPr>
      <w:r>
        <w:rPr>
          <w:b/>
          <w:i w:val="0"/>
          <w:color w:val="20BFC4"/>
          <w:sz w:val="26"/>
        </w:rPr>
        <w:t xml:space="preserve">4. </w:t>
      </w:r>
      <w:r>
        <w:rPr>
          <w:b/>
          <w:i w:val="0"/>
          <w:color w:val="1F2933"/>
          <w:sz w:val="26"/>
        </w:rPr>
        <w:t>Erőfeszítés igazolása technika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Lényege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Kutatás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Eredmények</w:t>
            </w:r>
          </w:p>
        </w:tc>
        <w:tc>
          <w:tcPr>
            <w:tcW w:type="dxa" w:w="2776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Gyakorlati használat</w:t>
            </w:r>
          </w:p>
        </w:tc>
      </w:tr>
      <w:tr>
        <w:tc>
          <w:tcPr>
            <w:tcW w:type="dxa" w:w="2776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befektetett energia növeli az értéket.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Az effort justification a disszonancia-elmélet része: amiért többet dolgozunk, azt többre értékeljük.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forrás ezt post-hoc racionalizációként, utólagos önigazolásként írja le.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Elliot Aronson (Stanford) és Judson Mills 1959-es Journal of Abnormal and Social Psychology kísérletében 60 női egyetemistát vontak be.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"beavatkozás" enyhe, közepes és súlyos skálájú feladatokból állt.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Példa a feladatokra: vulgáris szavak memorizálása egy unalmas csoport megfigyelése előtt.</w:t>
            </w:r>
          </w:p>
        </w:tc>
        <w:tc>
          <w:tcPr>
            <w:tcW w:type="dxa" w:w="2776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Súlyos beavatkozás után 65% pozitív értékelés született.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Enyhe feladatok után 30% volt a pozitív értékelés aránya.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Ez disszonancia-csökkentést mutat: "Ennyi erőfeszítés után jó lesz" gondolati alapon.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 forrás szerint az elköteleződés 2x nőtt.</w:t>
            </w:r>
          </w:p>
        </w:tc>
        <w:tc>
          <w:tcPr>
            <w:tcW w:type="dxa" w:w="2776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Építs be 3-5 lépéses kezdő folyamatot vagy mini-feladatokat.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Példa regisztrációnál: "Még 1 lépés a sikeredhez!"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Ezzel növelheted a felhasználók megtartását.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Forrás: Aronson &amp; Mills (1959).</w:t>
            </w:r>
          </w:p>
        </w:tc>
      </w:tr>
    </w:tbl>
    <w:p>
      <w:pPr>
        <w:spacing w:before="120" w:after="40" w:line="240" w:lineRule="auto"/>
      </w:pPr>
      <w:r>
        <w:rPr>
          <w:b/>
          <w:i w:val="0"/>
          <w:color w:val="20BFC4"/>
          <w:sz w:val="26"/>
        </w:rPr>
        <w:t xml:space="preserve">5. </w:t>
      </w:r>
      <w:r>
        <w:rPr>
          <w:b/>
          <w:i w:val="0"/>
          <w:color w:val="1F2933"/>
          <w:sz w:val="26"/>
        </w:rPr>
        <w:t>Mi a következő lépés? Instant Meggyőzés Klub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553"/>
            <w:shd w:fill="F5A623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Az IMK célja és üzenete</w:t>
            </w:r>
          </w:p>
        </w:tc>
        <w:tc>
          <w:tcPr>
            <w:tcW w:type="dxa" w:w="5553"/>
            <w:shd w:fill="20BFC4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Mi van az IMK-ban?</w:t>
            </w:r>
          </w:p>
        </w:tc>
      </w:tr>
      <w:tr>
        <w:tc>
          <w:tcPr>
            <w:tcW w:type="dxa" w:w="5102"/>
            <w:shd w:fill="FFF8E9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Nem elég ösztönösen jól értékesíteni; tudatosan kell a tudatalattira hatni.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Az Instant Meggyőzés Klubot két okból hozták létre.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1) Közelebb hozzák a tudományt az emberekhez, mert a tudományosan igazolt technikák működnek.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2) A multinacionális nagyvállalatok által megfizethető tudást a magyar értékesítők és vállalkozók részére is elérhetővé teszik, könnyen gyakorlatba ültethető formátumban.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CTA: Csatlakozz az Instant Meggyőzés Klubhoz vagy a várólistához.</w:t>
            </w:r>
          </w:p>
        </w:tc>
        <w:tc>
          <w:tcPr>
            <w:tcW w:type="dxa" w:w="5102"/>
            <w:shd w:fill="E9F9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Meggyőzés elvitelre: heti 1 podcast Dr. Újszászi Bogár Lászlóval; minden adásban egy technikát emelnek ki, tanulmányoznak és építenek be a magyar üzleti gyakorlatba.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Meggyőzés cikkek: heti 5 tudományos cikk, a legfrissebb meggyőzéstechnikai kutatások összefoglalóival, amelyeket azonnal be lehet építeni az értékesítésbe.</w:t>
            </w:r>
          </w:p>
          <w:p>
            <w:pPr>
              <w:pStyle w:val="CompactBullet"/>
              <w:spacing w:after="40" w:before="0" w:line="240" w:lineRule="auto"/>
              <w:ind w:left="198" w:hanging="102"/>
            </w:pPr>
            <w:r>
              <w:rPr>
                <w:sz w:val="16"/>
              </w:rPr>
              <w:t>Offline találkozók és IMK közösség: 1500+ cégvezető és értékesítő, akik a tudomány segítségével hatékonyabban értékesítenek; 3 havonta offline találkozót rendeznek a gyakorlati alkalmazásról.</w:t>
            </w:r>
          </w:p>
        </w:tc>
      </w:tr>
    </w:tbl>
    <w:p>
      <w:pPr>
        <w:spacing w:before="120" w:after="40" w:line="240" w:lineRule="auto"/>
      </w:pPr>
      <w:r>
        <w:rPr>
          <w:b/>
          <w:i w:val="0"/>
          <w:color w:val="1F2933"/>
          <w:sz w:val="26"/>
        </w:rPr>
        <w:t>Gyors weboldali alkalmazási ellenőrzőlista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  <w:shd w:fill="1F2933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Hol alkalmazd?</w:t>
            </w:r>
          </w:p>
        </w:tc>
        <w:tc>
          <w:tcPr>
            <w:tcW w:type="dxa" w:w="3702"/>
            <w:shd w:fill="1F2933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Mit tegyél?</w:t>
            </w:r>
          </w:p>
        </w:tc>
        <w:tc>
          <w:tcPr>
            <w:tcW w:type="dxa" w:w="3702"/>
            <w:shd w:fill="1F2933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i w:val="0"/>
                <w:color w:val="FFFFFF"/>
                <w:sz w:val="16"/>
              </w:rPr>
              <w:t>Melyik hatásra épül?</w:t>
            </w:r>
          </w:p>
        </w:tc>
      </w:tr>
      <w:tr>
        <w:tc>
          <w:tcPr>
            <w:tcW w:type="dxa" w:w="3702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Regisztráció / űrlap</w:t>
            </w:r>
          </w:p>
        </w:tc>
        <w:tc>
          <w:tcPr>
            <w:tcW w:type="dxa" w:w="3702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Progress bar, "2/5 kész", "Már 20% megvan!"</w:t>
            </w:r>
          </w:p>
        </w:tc>
        <w:tc>
          <w:tcPr>
            <w:tcW w:type="dxa" w:w="3702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Célgradiens</w:t>
            </w:r>
          </w:p>
        </w:tc>
      </w:tr>
      <w:tr>
        <w:tc>
          <w:tcPr>
            <w:tcW w:type="dxa" w:w="3702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CTA előtti szöveg</w:t>
            </w:r>
          </w:p>
        </w:tc>
        <w:tc>
          <w:tcPr>
            <w:tcW w:type="dxa" w:w="3702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Ne árulj el mindent; hagyj jól méretezett információs rést.</w:t>
            </w:r>
          </w:p>
        </w:tc>
        <w:tc>
          <w:tcPr>
            <w:tcW w:type="dxa" w:w="3702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Információs rés</w:t>
            </w:r>
          </w:p>
        </w:tc>
      </w:tr>
      <w:tr>
        <w:tc>
          <w:tcPr>
            <w:tcW w:type="dxa" w:w="3702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Fő üzenet / design</w:t>
            </w:r>
          </w:p>
        </w:tc>
        <w:tc>
          <w:tcPr>
            <w:tcW w:type="dxa" w:w="3702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Ismételd a kulcsüzenetet, használd következetesen a vizuális elemeket.</w:t>
            </w:r>
          </w:p>
        </w:tc>
        <w:tc>
          <w:tcPr>
            <w:tcW w:type="dxa" w:w="3702"/>
            <w:shd w:fill="F5F7FA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Puszta kitettség</w:t>
            </w:r>
          </w:p>
        </w:tc>
      </w:tr>
      <w:tr>
        <w:tc>
          <w:tcPr>
            <w:tcW w:type="dxa" w:w="3702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Onboarding / regisztráció</w:t>
            </w:r>
          </w:p>
        </w:tc>
        <w:tc>
          <w:tcPr>
            <w:tcW w:type="dxa" w:w="3702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Adj mini-feladatokat, 3-5 lépést, és hangsúlyozd a közeli sikert.</w:t>
            </w:r>
          </w:p>
        </w:tc>
        <w:tc>
          <w:tcPr>
            <w:tcW w:type="dxa" w:w="3702"/>
            <w:shd w:fill="FFFFFF"/>
            <w:vAlign w:val="top"/>
            <w:tcBorders>
              <w:top w:sz="4" w:val="single" w:color="D9E2E7"/>
              <w:left w:sz="4" w:val="single" w:color="D9E2E7"/>
              <w:bottom w:sz="4" w:val="single" w:color="D9E2E7"/>
              <w:right w:sz="4" w:val="single" w:color="D9E2E7"/>
            </w:tcBorders>
          </w:tcPr>
          <w:p>
            <w:pPr>
              <w:spacing w:before="0" w:after="40" w:line="240" w:lineRule="auto"/>
            </w:pPr>
            <w:r>
              <w:rPr>
                <w:sz w:val="16"/>
              </w:rPr>
              <w:t>Erőfeszítés igazolása</w:t>
            </w:r>
          </w:p>
        </w:tc>
      </w:tr>
    </w:tbl>
    <w:p>
      <w:pPr>
        <w:spacing w:before="120" w:after="0" w:line="240" w:lineRule="auto"/>
      </w:pPr>
      <w:r>
        <w:rPr>
          <w:b w:val="0"/>
          <w:i/>
          <w:color w:val="4B5563"/>
          <w:sz w:val="16"/>
        </w:rPr>
        <w:t>Megjegyzés: a dokumentum a forrásban szereplő állításokat, számokat, kutatókat, kísérleti csoportokat, eredményeket, gyakorlati javaslatokat és IMK-információkat tömörített, képmentes formában tartalmazza.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Forrás: a csatolt IMK e-book tartalma alapján készített kompakt dokumentum.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4"/>
      </w:rPr>
      <w:t>IMK - 5 meggyőzéstechnikai elem | tömörített, képmentes változat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30" w:line="240" w:lineRule="auto"/>
      <w:ind w:left="227" w:hanging="102"/>
    </w:pPr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