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cs="Times New Roman" w:eastAsia="Times New Roman"/>
          <w:b/>
          <w:sz w:val="24"/>
        </w:rPr>
        <w:t>République Algérienne Démocratique et Populaire</w:t>
      </w:r>
    </w:p>
    <w:p>
      <w:pPr>
        <w:spacing w:line="240" w:lineRule="auto" w:after="40"/>
        <w:jc w:val="center"/>
      </w:pPr>
      <w:r>
        <w:rPr>
          <w:rFonts w:ascii="Times New Roman" w:hAnsi="Times New Roman" w:cs="Times New Roman" w:eastAsia="Times New Roman"/>
          <w:b/>
          <w:sz w:val="24"/>
        </w:rPr>
        <w:t>Ministère de l’Enseignement Supérieur et de la Recherche Scientifique</w:t>
      </w:r>
    </w:p>
    <w:tbl>
      <w:tblPr>
        <w:tblW w:type="auto" w:w="0"/>
        <w:jc w:val="center"/>
        <w:tblLook w:firstColumn="1" w:firstRow="1" w:lastColumn="0" w:lastRow="0" w:noHBand="0" w:noVBand="1" w:val="04A0"/>
      </w:tblPr>
      <w:tblGrid>
        <w:gridCol w:w="4536"/>
        <w:gridCol w:w="4536"/>
      </w:tblGrid>
      <w:tr>
        <w:tc>
          <w:tcPr>
            <w:tcW w:type="dxa" w:w="4536"/>
          </w:tcPr>
          <w:p>
            <w:pPr>
              <w:spacing w:line="240" w:lineRule="auto" w:after="0"/>
              <w:jc w:val="center"/>
            </w:pPr>
            <w:r>
              <w:drawing>
                <wp:inline xmlns:a="http://schemas.openxmlformats.org/drawingml/2006/main" xmlns:pic="http://schemas.openxmlformats.org/drawingml/2006/picture">
                  <wp:extent cx="720000" cy="691391"/>
                  <wp:docPr id="1" name="Picture 1"/>
                  <wp:cNvGraphicFramePr>
                    <a:graphicFrameLocks noChangeAspect="1"/>
                  </wp:cNvGraphicFramePr>
                  <a:graphic>
                    <a:graphicData uri="http://schemas.openxmlformats.org/drawingml/2006/picture">
                      <pic:pic>
                        <pic:nvPicPr>
                          <pic:cNvPr id="0" name="cover_logo_1.png"/>
                          <pic:cNvPicPr/>
                        </pic:nvPicPr>
                        <pic:blipFill>
                          <a:blip r:embed="rId11"/>
                          <a:stretch>
                            <a:fillRect/>
                          </a:stretch>
                        </pic:blipFill>
                        <pic:spPr>
                          <a:xfrm>
                            <a:off x="0" y="0"/>
                            <a:ext cx="720000" cy="691391"/>
                          </a:xfrm>
                          <a:prstGeom prst="rect"/>
                        </pic:spPr>
                      </pic:pic>
                    </a:graphicData>
                  </a:graphic>
                </wp:inline>
              </w:drawing>
            </w:r>
          </w:p>
        </w:tc>
        <w:tc>
          <w:tcPr>
            <w:tcW w:type="dxa" w:w="4536"/>
          </w:tcPr>
          <w:p>
            <w:pPr>
              <w:spacing w:line="240" w:lineRule="auto" w:after="0"/>
              <w:jc w:val="center"/>
            </w:pPr>
            <w:r>
              <w:drawing>
                <wp:inline xmlns:a="http://schemas.openxmlformats.org/drawingml/2006/main" xmlns:pic="http://schemas.openxmlformats.org/drawingml/2006/picture">
                  <wp:extent cx="720000" cy="395410"/>
                  <wp:docPr id="2" name="Picture 2"/>
                  <wp:cNvGraphicFramePr>
                    <a:graphicFrameLocks noChangeAspect="1"/>
                  </wp:cNvGraphicFramePr>
                  <a:graphic>
                    <a:graphicData uri="http://schemas.openxmlformats.org/drawingml/2006/picture">
                      <pic:pic>
                        <pic:nvPicPr>
                          <pic:cNvPr id="0" name="cover_logo_2.jpeg"/>
                          <pic:cNvPicPr/>
                        </pic:nvPicPr>
                        <pic:blipFill>
                          <a:blip r:embed="rId12"/>
                          <a:stretch>
                            <a:fillRect/>
                          </a:stretch>
                        </pic:blipFill>
                        <pic:spPr>
                          <a:xfrm>
                            <a:off x="0" y="0"/>
                            <a:ext cx="720000" cy="395410"/>
                          </a:xfrm>
                          <a:prstGeom prst="rect"/>
                        </pic:spPr>
                      </pic:pic>
                    </a:graphicData>
                  </a:graphic>
                </wp:inline>
              </w:drawing>
            </w:r>
          </w:p>
        </w:tc>
      </w:tr>
    </w:tbl>
    <w:p>
      <w:pPr>
        <w:spacing w:line="240" w:lineRule="auto" w:after="40"/>
        <w:jc w:val="center"/>
      </w:pPr>
      <w:r>
        <w:rPr>
          <w:rFonts w:ascii="Times New Roman" w:hAnsi="Times New Roman" w:cs="Times New Roman" w:eastAsia="Times New Roman"/>
          <w:b/>
          <w:sz w:val="23"/>
        </w:rPr>
        <w:t>Université Larbi Tébessi – Tébessa</w:t>
      </w:r>
    </w:p>
    <w:p>
      <w:pPr>
        <w:spacing w:line="240" w:lineRule="auto" w:after="40"/>
        <w:jc w:val="center"/>
      </w:pPr>
      <w:r>
        <w:rPr>
          <w:rFonts w:ascii="Times New Roman" w:hAnsi="Times New Roman" w:cs="Times New Roman" w:eastAsia="Times New Roman"/>
          <w:b/>
          <w:sz w:val="22"/>
        </w:rPr>
        <w:t>Faculté des Sciences Exactes, des Sciences de la Nature et de la Vie</w:t>
      </w:r>
    </w:p>
    <w:p>
      <w:pPr>
        <w:spacing w:line="240" w:lineRule="auto" w:after="40"/>
        <w:jc w:val="center"/>
      </w:pPr>
      <w:r>
        <w:rPr>
          <w:rFonts w:ascii="Times New Roman" w:hAnsi="Times New Roman" w:cs="Times New Roman" w:eastAsia="Times New Roman"/>
          <w:b/>
          <w:sz w:val="22"/>
        </w:rPr>
        <w:t>Département des Sciences de la Terre et de l’Univers</w:t>
      </w:r>
    </w:p>
    <w:p>
      <w:pPr>
        <w:spacing w:line="240" w:lineRule="auto" w:after="40"/>
      </w:pPr>
    </w:p>
    <w:p>
      <w:pPr>
        <w:spacing w:line="240" w:lineRule="auto" w:after="40"/>
        <w:jc w:val="center"/>
      </w:pPr>
      <w:r>
        <w:rPr>
          <w:rFonts w:ascii="Times New Roman" w:hAnsi="Times New Roman" w:cs="Times New Roman" w:eastAsia="Times New Roman"/>
          <w:b w:val="0"/>
          <w:sz w:val="22"/>
        </w:rPr>
        <w:t>Mémoire présenté en vue de l’obtention du diplôme de</w:t>
      </w:r>
    </w:p>
    <w:p>
      <w:pPr>
        <w:spacing w:line="240" w:lineRule="auto" w:after="40"/>
        <w:jc w:val="center"/>
      </w:pPr>
      <w:r>
        <w:rPr>
          <w:rFonts w:ascii="Times New Roman" w:hAnsi="Times New Roman" w:cs="Times New Roman" w:eastAsia="Times New Roman"/>
          <w:b/>
          <w:sz w:val="28"/>
        </w:rPr>
        <w:t>MASTER</w:t>
      </w:r>
    </w:p>
    <w:p>
      <w:pPr>
        <w:spacing w:line="240" w:lineRule="auto" w:after="40"/>
        <w:jc w:val="center"/>
      </w:pPr>
      <w:r>
        <w:rPr>
          <w:rFonts w:ascii="Times New Roman" w:hAnsi="Times New Roman" w:cs="Times New Roman" w:eastAsia="Times New Roman"/>
          <w:b w:val="0"/>
          <w:sz w:val="22"/>
        </w:rPr>
        <w:t>Filière : Géologie</w:t>
      </w:r>
    </w:p>
    <w:p>
      <w:pPr>
        <w:spacing w:line="240" w:lineRule="auto" w:after="40"/>
        <w:jc w:val="center"/>
      </w:pPr>
      <w:r>
        <w:rPr>
          <w:rFonts w:ascii="Times New Roman" w:hAnsi="Times New Roman" w:cs="Times New Roman" w:eastAsia="Times New Roman"/>
          <w:b w:val="0"/>
          <w:sz w:val="22"/>
        </w:rPr>
        <w:t>Option : Géologie de l’Ingénieur et Géotechnique</w:t>
      </w:r>
    </w:p>
    <w:p>
      <w:pPr>
        <w:spacing w:before="200" w:after="40" w:line="240" w:lineRule="auto"/>
        <w:jc w:val="center"/>
        <w:pBdr>
          <w:top w:val="single" w:sz="8" w:color="1F4E79"/>
          <w:left w:val="single" w:sz="8" w:color="1F4E79"/>
          <w:bottom w:val="single" w:sz="8" w:color="1F4E79"/>
          <w:right w:val="single" w:sz="8" w:color="1F4E79"/>
        </w:pBdr>
      </w:pPr>
      <w:r>
        <w:rPr>
          <w:rFonts w:ascii="Times New Roman" w:hAnsi="Times New Roman" w:cs="Times New Roman" w:eastAsia="Times New Roman"/>
          <w:b/>
          <w:sz w:val="32"/>
        </w:rPr>
        <w:t>Particularités de la reconnaissance géotechnique des ponts</w:t>
      </w:r>
      <w:r>
        <w:rPr>
          <w:rFonts w:ascii="Times New Roman" w:hAnsi="Times New Roman" w:cs="Times New Roman" w:eastAsia="Times New Roman"/>
          <w:b w:val="0"/>
          <w:sz w:val="32"/>
        </w:rPr>
        <w:br/>
        <w:t>(Étude bibliographique)</w:t>
      </w:r>
    </w:p>
    <w:p>
      <w:pPr>
        <w:spacing w:line="240" w:lineRule="auto" w:after="40"/>
      </w:pPr>
      <w:r>
        <w:rPr>
          <w:rFonts w:ascii="Times New Roman" w:hAnsi="Times New Roman" w:cs="Times New Roman" w:eastAsia="Times New Roman"/>
          <w:b/>
          <w:sz w:val="21"/>
        </w:rPr>
        <w:t>Présenté par : BERKANE Dhiyaddine</w:t>
      </w:r>
    </w:p>
    <w:p>
      <w:pPr>
        <w:spacing w:line="240" w:lineRule="auto" w:after="40"/>
      </w:pPr>
      <w:r>
        <w:rPr>
          <w:rFonts w:ascii="Times New Roman" w:hAnsi="Times New Roman" w:cs="Times New Roman" w:eastAsia="Times New Roman"/>
          <w:b/>
          <w:sz w:val="21"/>
        </w:rPr>
        <w:t>Devant le jury :</w:t>
      </w:r>
    </w:p>
    <w:tbl>
      <w:tblPr>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after="0"/>
            </w:pPr>
            <w:r>
              <w:rPr>
                <w:rFonts w:ascii="Times New Roman" w:hAnsi="Times New Roman"/>
                <w:sz w:val="17"/>
              </w:rPr>
              <w:t>Pr BAALI Fathi</w:t>
            </w:r>
          </w:p>
        </w:tc>
        <w:tc>
          <w:tcPr>
            <w:tcW w:type="dxa" w:w="2268"/>
          </w:tcPr>
          <w:p>
            <w:pPr>
              <w:spacing w:line="240" w:lineRule="auto" w:after="0"/>
            </w:pPr>
            <w:r>
              <w:rPr>
                <w:rFonts w:ascii="Times New Roman" w:hAnsi="Times New Roman"/>
                <w:sz w:val="17"/>
              </w:rPr>
              <w:t>Professeur</w:t>
            </w:r>
          </w:p>
        </w:tc>
        <w:tc>
          <w:tcPr>
            <w:tcW w:type="dxa" w:w="2268"/>
          </w:tcPr>
          <w:p>
            <w:pPr>
              <w:spacing w:line="240" w:lineRule="auto" w:after="0"/>
            </w:pPr>
            <w:r>
              <w:rPr>
                <w:rFonts w:ascii="Times New Roman" w:hAnsi="Times New Roman"/>
                <w:sz w:val="17"/>
              </w:rPr>
              <w:t>U.L.T. Tébessa</w:t>
            </w:r>
          </w:p>
        </w:tc>
        <w:tc>
          <w:tcPr>
            <w:tcW w:type="dxa" w:w="2268"/>
          </w:tcPr>
          <w:p>
            <w:pPr>
              <w:spacing w:line="240" w:lineRule="auto" w:after="0"/>
            </w:pPr>
            <w:r>
              <w:rPr>
                <w:rFonts w:ascii="Times New Roman" w:hAnsi="Times New Roman"/>
                <w:sz w:val="17"/>
              </w:rPr>
              <w:t>Président</w:t>
            </w:r>
          </w:p>
        </w:tc>
      </w:tr>
      <w:tr>
        <w:tc>
          <w:tcPr>
            <w:tcW w:type="dxa" w:w="2268"/>
          </w:tcPr>
          <w:p>
            <w:pPr>
              <w:spacing w:line="240" w:lineRule="auto" w:after="0"/>
            </w:pPr>
            <w:r>
              <w:rPr>
                <w:rFonts w:ascii="Times New Roman" w:hAnsi="Times New Roman"/>
                <w:sz w:val="17"/>
              </w:rPr>
              <w:t>Pr FEHDI Chems eddine</w:t>
            </w:r>
          </w:p>
        </w:tc>
        <w:tc>
          <w:tcPr>
            <w:tcW w:type="dxa" w:w="2268"/>
          </w:tcPr>
          <w:p>
            <w:pPr>
              <w:spacing w:line="240" w:lineRule="auto" w:after="0"/>
            </w:pPr>
            <w:r>
              <w:rPr>
                <w:rFonts w:ascii="Times New Roman" w:hAnsi="Times New Roman"/>
                <w:sz w:val="17"/>
              </w:rPr>
              <w:t>Professeur</w:t>
            </w:r>
          </w:p>
        </w:tc>
        <w:tc>
          <w:tcPr>
            <w:tcW w:type="dxa" w:w="2268"/>
          </w:tcPr>
          <w:p>
            <w:pPr>
              <w:spacing w:line="240" w:lineRule="auto" w:after="0"/>
            </w:pPr>
            <w:r>
              <w:rPr>
                <w:rFonts w:ascii="Times New Roman" w:hAnsi="Times New Roman"/>
                <w:sz w:val="17"/>
              </w:rPr>
              <w:t>U.L.T. Tébessa</w:t>
            </w:r>
          </w:p>
        </w:tc>
        <w:tc>
          <w:tcPr>
            <w:tcW w:type="dxa" w:w="2268"/>
          </w:tcPr>
          <w:p>
            <w:pPr>
              <w:spacing w:line="240" w:lineRule="auto" w:after="0"/>
            </w:pPr>
            <w:r>
              <w:rPr>
                <w:rFonts w:ascii="Times New Roman" w:hAnsi="Times New Roman"/>
                <w:sz w:val="17"/>
              </w:rPr>
              <w:t>Examinateur</w:t>
            </w:r>
          </w:p>
        </w:tc>
      </w:tr>
      <w:tr>
        <w:tc>
          <w:tcPr>
            <w:tcW w:type="dxa" w:w="2268"/>
          </w:tcPr>
          <w:p>
            <w:pPr>
              <w:spacing w:line="240" w:lineRule="auto" w:after="0"/>
            </w:pPr>
            <w:r>
              <w:rPr>
                <w:rFonts w:ascii="Times New Roman" w:hAnsi="Times New Roman"/>
                <w:sz w:val="17"/>
              </w:rPr>
              <w:t>Dr MOUICI Ridha</w:t>
            </w:r>
          </w:p>
        </w:tc>
        <w:tc>
          <w:tcPr>
            <w:tcW w:type="dxa" w:w="2268"/>
          </w:tcPr>
          <w:p>
            <w:pPr>
              <w:spacing w:line="240" w:lineRule="auto" w:after="0"/>
            </w:pPr>
            <w:r>
              <w:rPr>
                <w:rFonts w:ascii="Times New Roman" w:hAnsi="Times New Roman"/>
                <w:sz w:val="17"/>
              </w:rPr>
              <w:t>M.C. « B »</w:t>
            </w:r>
          </w:p>
        </w:tc>
        <w:tc>
          <w:tcPr>
            <w:tcW w:type="dxa" w:w="2268"/>
          </w:tcPr>
          <w:p>
            <w:pPr>
              <w:spacing w:line="240" w:lineRule="auto" w:after="0"/>
            </w:pPr>
            <w:r>
              <w:rPr>
                <w:rFonts w:ascii="Times New Roman" w:hAnsi="Times New Roman"/>
                <w:sz w:val="17"/>
              </w:rPr>
              <w:t>U.L.T. Tébessa</w:t>
            </w:r>
          </w:p>
        </w:tc>
        <w:tc>
          <w:tcPr>
            <w:tcW w:type="dxa" w:w="2268"/>
          </w:tcPr>
          <w:p>
            <w:pPr>
              <w:spacing w:line="240" w:lineRule="auto" w:after="0"/>
            </w:pPr>
            <w:r>
              <w:rPr>
                <w:rFonts w:ascii="Times New Roman" w:hAnsi="Times New Roman"/>
                <w:sz w:val="17"/>
              </w:rPr>
              <w:t>Promoteur, Rapporteur</w:t>
            </w:r>
          </w:p>
        </w:tc>
      </w:tr>
      <w:tr>
        <w:tc>
          <w:tcPr>
            <w:tcW w:type="dxa" w:w="2268"/>
          </w:tcPr>
          <w:p>
            <w:pPr>
              <w:spacing w:line="240" w:lineRule="auto" w:after="0"/>
            </w:pPr>
            <w:r>
              <w:rPr>
                <w:rFonts w:ascii="Times New Roman" w:hAnsi="Times New Roman"/>
                <w:sz w:val="17"/>
              </w:rPr>
              <w:t>Dr AOUN Mounira</w:t>
            </w:r>
          </w:p>
        </w:tc>
        <w:tc>
          <w:tcPr>
            <w:tcW w:type="dxa" w:w="2268"/>
          </w:tcPr>
          <w:p>
            <w:pPr>
              <w:spacing w:line="240" w:lineRule="auto" w:after="0"/>
            </w:pPr>
            <w:r>
              <w:rPr>
                <w:rFonts w:ascii="Times New Roman" w:hAnsi="Times New Roman"/>
                <w:sz w:val="17"/>
              </w:rPr>
              <w:t>M.C. « B »</w:t>
            </w:r>
          </w:p>
        </w:tc>
        <w:tc>
          <w:tcPr>
            <w:tcW w:type="dxa" w:w="2268"/>
          </w:tcPr>
          <w:p>
            <w:pPr>
              <w:spacing w:line="240" w:lineRule="auto" w:after="0"/>
            </w:pPr>
            <w:r>
              <w:rPr>
                <w:rFonts w:ascii="Times New Roman" w:hAnsi="Times New Roman"/>
                <w:sz w:val="17"/>
              </w:rPr>
              <w:t>U.L.T. Tébessa</w:t>
            </w:r>
          </w:p>
        </w:tc>
        <w:tc>
          <w:tcPr>
            <w:tcW w:type="dxa" w:w="2268"/>
          </w:tcPr>
          <w:p>
            <w:pPr>
              <w:spacing w:line="240" w:lineRule="auto" w:after="0"/>
            </w:pPr>
            <w:r>
              <w:rPr>
                <w:rFonts w:ascii="Times New Roman" w:hAnsi="Times New Roman"/>
                <w:sz w:val="17"/>
              </w:rPr>
              <w:t>Co-promoteur</w:t>
            </w:r>
          </w:p>
        </w:tc>
      </w:tr>
    </w:tbl>
    <w:p>
      <w:pPr>
        <w:spacing w:line="240" w:lineRule="auto" w:after="40"/>
        <w:jc w:val="center"/>
      </w:pPr>
      <w:r>
        <w:rPr>
          <w:rFonts w:ascii="Times New Roman" w:hAnsi="Times New Roman" w:cs="Times New Roman" w:eastAsia="Times New Roman"/>
          <w:b/>
          <w:sz w:val="20"/>
        </w:rPr>
        <w:t>Session Juin 2026</w:t>
      </w:r>
    </w:p>
    <w:p>
      <w:r>
        <w:br w:type="page"/>
      </w:r>
    </w:p>
    <w:p>
      <w:pPr>
        <w:jc w:val="left"/>
        <w:pBdr>
          <w:bottom w:val="single" w:sz="8" w:color="1F4E79"/>
        </w:pBdr>
      </w:pPr>
      <w:r>
        <w:rPr>
          <w:rFonts w:ascii="Times New Roman" w:hAnsi="Times New Roman" w:cs="Times New Roman" w:eastAsia="Times New Roman"/>
          <w:b/>
          <w:color w:val="1F4E79"/>
          <w:sz w:val="28"/>
        </w:rPr>
        <w:t>RÉSUMÉ</w:t>
      </w:r>
    </w:p>
    <w:p>
      <w:pPr>
        <w:jc w:val="both"/>
      </w:pPr>
      <w:r>
        <w:rPr>
          <w:rFonts w:ascii="Times New Roman" w:hAnsi="Times New Roman" w:cs="Times New Roman" w:eastAsia="Times New Roman"/>
          <w:b w:val="0"/>
          <w:sz w:val="24"/>
        </w:rPr>
        <w:t>Ce mémoire analyse les particularités de la reconnaissance géotechnique des ponts et propose une démarche bibliographique structurée pour relier les données du site aux décisions de conception. L’objectif est de dépasser les prescriptions uniformes en montrant comment le système structural, la disposition des appuis, la dynamique du cours d’eau, la géologie, l’hydrogéologie et les conditions d’exécution déterminent conjointement les investigations nécessaires.</w:t>
      </w:r>
    </w:p>
    <w:p>
      <w:pPr>
        <w:jc w:val="both"/>
      </w:pPr>
      <w:r>
        <w:rPr>
          <w:rFonts w:ascii="Times New Roman" w:hAnsi="Times New Roman" w:cs="Times New Roman" w:eastAsia="Times New Roman"/>
          <w:b w:val="0"/>
          <w:sz w:val="24"/>
        </w:rPr>
        <w:t>La méthode repose sur la confrontation d’ouvrages de synthèse, de documents normatifs, de guides techniques et d’études de cas. Une lecture critique distingue les mesures, les interprétations et les hypothèses, puis replace chaque résultat dans son domaine de validité. Le travail est exclusivement bibliographique : il ne présente ni sondage, ni essai, ni mesure de terrain inédits.</w:t>
      </w:r>
    </w:p>
    <w:p>
      <w:pPr>
        <w:jc w:val="both"/>
      </w:pPr>
      <w:r>
        <w:rPr>
          <w:rFonts w:ascii="Times New Roman" w:hAnsi="Times New Roman" w:cs="Times New Roman" w:eastAsia="Times New Roman"/>
          <w:b w:val="0"/>
          <w:sz w:val="24"/>
        </w:rPr>
        <w:t>Les résultats mettent en évidence une reconnaissance organisée à l’échelle du corridor et de chaque appui, un programme adaptatif plutôt qu’un nombre ou une profondeur de sondages universels, et une complémentarité entre sondages, essais in situ, laboratoire, géophysique et suivi de l’eau. Ils soulignent aussi la nécessité de traiter ensemble l’affouillement, l’érosion interne, les déplacements du terrain, la liquéfaction, l’agressivité chimique et les interactions sol–fondation–structure. Quatre familles structurales — poutres et dalles, arcs, ponts suspendus et ponts haubanés — servent à relier l’évolution des ouvrages aux exigences imposées aux appuis. Enfin, un registre de risques et une boucle de revue multidisciplinaire rendent explicites les incertitudes et les investigations complémentaires.</w:t>
      </w:r>
    </w:p>
    <w:p>
      <w:pPr>
        <w:jc w:val="both"/>
      </w:pPr>
      <w:r>
        <w:rPr>
          <w:rFonts w:ascii="Times New Roman" w:hAnsi="Times New Roman" w:cs="Times New Roman" w:eastAsia="Times New Roman"/>
          <w:b w:val="0"/>
          <w:sz w:val="24"/>
        </w:rPr>
        <w:t>La conclusion principale est qu’une reconnaissance de qualité ne se mesure pas à la quantité d’essais accumulés, mais à la traçabilité du raisonnement qui transforme des observations imparfaites en décisions vérifiables, constructibles et réévaluables pendant l’exécution et l’exploitation.</w:t>
      </w:r>
    </w:p>
    <w:p>
      <w:pPr>
        <w:jc w:val="both"/>
      </w:pPr>
      <w:r>
        <w:rPr>
          <w:rFonts w:ascii="Times New Roman" w:hAnsi="Times New Roman" w:cs="Times New Roman" w:eastAsia="Times New Roman"/>
          <w:b/>
          <w:sz w:val="24"/>
        </w:rPr>
        <w:t>Mots-clés :</w:t>
      </w:r>
      <w:r>
        <w:rPr>
          <w:rFonts w:ascii="Times New Roman" w:hAnsi="Times New Roman" w:cs="Times New Roman" w:eastAsia="Times New Roman"/>
          <w:b w:val="0"/>
          <w:sz w:val="24"/>
        </w:rPr>
        <w:t xml:space="preserve"> ponts ; reconnaissance géotechnique ; fondations ; affouillement ; modèle géotechnique ; risques ; Algérie.</w:t>
      </w:r>
    </w:p>
    <w:p>
      <w:r>
        <w:br w:type="page"/>
      </w:r>
    </w:p>
    <w:p>
      <w:pPr>
        <w:jc w:val="left"/>
        <w:pBdr>
          <w:bottom w:val="single" w:sz="8" w:color="1F4E79"/>
        </w:pBdr>
      </w:pPr>
      <w:r>
        <w:rPr>
          <w:rFonts w:ascii="Times New Roman" w:hAnsi="Times New Roman" w:cs="Times New Roman" w:eastAsia="Times New Roman"/>
          <w:b/>
          <w:color w:val="1F4E79"/>
          <w:sz w:val="28"/>
        </w:rPr>
        <w:t>ABSTRACT</w:t>
      </w:r>
    </w:p>
    <w:p>
      <w:pPr>
        <w:jc w:val="both"/>
      </w:pPr>
      <w:r>
        <w:rPr>
          <w:rFonts w:ascii="Times New Roman" w:hAnsi="Times New Roman" w:cs="Times New Roman" w:eastAsia="Times New Roman"/>
          <w:b w:val="0"/>
          <w:sz w:val="24"/>
        </w:rPr>
        <w:t>This dissertation examines the specific features of geotechnical investigation for bridges and develops a structured, literature-based approach linking site evidence to design decisions. Its purpose is to move beyond uniform prescriptions by showing how the structural system, support layout, river dynamics, geology, hydrogeology, and construction conditions jointly determine the investigations required.</w:t>
      </w:r>
    </w:p>
    <w:p>
      <w:pPr>
        <w:jc w:val="both"/>
      </w:pPr>
      <w:r>
        <w:rPr>
          <w:rFonts w:ascii="Times New Roman" w:hAnsi="Times New Roman" w:cs="Times New Roman" w:eastAsia="Times New Roman"/>
          <w:b w:val="0"/>
          <w:sz w:val="24"/>
        </w:rPr>
        <w:t>The method compares reference books, standards, technical guides, and case studies. A critical review separates measurements, interpretations, and assumptions, and confines each reported result to its actual field of validity. This is exclusively a bibliographic study: it presents no new borehole, test, or field measurement.</w:t>
      </w:r>
    </w:p>
    <w:p>
      <w:pPr>
        <w:jc w:val="both"/>
      </w:pPr>
      <w:r>
        <w:rPr>
          <w:rFonts w:ascii="Times New Roman" w:hAnsi="Times New Roman" w:cs="Times New Roman" w:eastAsia="Times New Roman"/>
          <w:b w:val="0"/>
          <w:sz w:val="24"/>
        </w:rPr>
        <w:t>The results highlight an investigation organised at both corridor and individual-support scales, an adaptive programme instead of universal borehole numbers or depths, and the complementary roles of boreholes, in-situ tests, laboratory testing, geophysics, and water monitoring. They also demonstrate the need to address scour, internal erosion, ground movements, liquefaction, chemical aggressiveness, and soil–foundation–structure interaction as interacting rather than isolated issues. Four structural families — beams and slabs, arches, suspension bridges, and cable-stayed bridges — provide a framework for connecting bridge evolution with support and foundation requirements. Finally, a risk register and a multidisciplinary review loop make uncertainties and supplementary investigations explicit.</w:t>
      </w:r>
    </w:p>
    <w:p>
      <w:pPr>
        <w:jc w:val="both"/>
      </w:pPr>
      <w:r>
        <w:rPr>
          <w:rFonts w:ascii="Times New Roman" w:hAnsi="Times New Roman" w:cs="Times New Roman" w:eastAsia="Times New Roman"/>
          <w:b w:val="0"/>
          <w:sz w:val="24"/>
        </w:rPr>
        <w:t>The main conclusion is that investigation quality is not measured by the quantity of tests accumulated, but by the traceability of the reasoning that turns imperfect observations into verifiable and constructible decisions, capable of being reviewed during construction and operation.</w:t>
      </w:r>
    </w:p>
    <w:p>
      <w:pPr>
        <w:jc w:val="both"/>
      </w:pPr>
      <w:r>
        <w:rPr>
          <w:rFonts w:ascii="Times New Roman" w:hAnsi="Times New Roman" w:cs="Times New Roman" w:eastAsia="Times New Roman"/>
          <w:b/>
          <w:sz w:val="24"/>
        </w:rPr>
        <w:t>Keywords:</w:t>
      </w:r>
      <w:r>
        <w:rPr>
          <w:rFonts w:ascii="Times New Roman" w:hAnsi="Times New Roman" w:cs="Times New Roman" w:eastAsia="Times New Roman"/>
          <w:b w:val="0"/>
          <w:sz w:val="24"/>
        </w:rPr>
        <w:t xml:space="preserve"> bridges; geotechnical investigation; foundations; scour; ground model; risks; Algeria.</w:t>
      </w:r>
    </w:p>
    <w:p>
      <w:r>
        <w:br w:type="page"/>
      </w:r>
    </w:p>
    <w:p>
      <w:pPr>
        <w:jc w:val="right"/>
        <w:bidi/>
        <w:pBdr>
          <w:bottom w:val="single" w:sz="8" w:color="1F4E79"/>
        </w:pBdr>
      </w:pPr>
      <w:r>
        <w:rPr>
          <w:rFonts w:ascii="Times New Roman" w:hAnsi="Times New Roman" w:cs="Times New Roman" w:eastAsia="Times New Roman"/>
          <w:b/>
          <w:color w:val="1F4E79"/>
          <w:sz w:val="28"/>
          <w:rtl/>
        </w:rPr>
        <w:t>الملخص</w:t>
      </w:r>
    </w:p>
    <w:p>
      <w:pPr>
        <w:jc w:val="right"/>
        <w:bidi/>
      </w:pPr>
      <w:r>
        <w:rPr>
          <w:rFonts w:ascii="Times New Roman" w:hAnsi="Times New Roman" w:cs="Times New Roman" w:eastAsia="Times New Roman"/>
          <w:b w:val="0"/>
          <w:sz w:val="24"/>
          <w:rtl/>
        </w:rPr>
        <w:t>تتناول هذه المذكرة خصوصيات الاستطلاع الجيوتقني للجسور، وتقترح منهجية ببليوغرافية منظمة تربط معطيات الموقع بقرارات التصميم. ويهدف العمل إلى تجاوز التعليمات الموحدة التي لا تراعي اختلاف المواقع، من خلال بيان كيفية اشتراك النظام الإنشائي وتوزيع الركائز وديناميكية المجرى المائي والجيولوجيا والهيدروجيولوجيا وظروف التنفيذ في تحديد التحقيقات المطلوبة.</w:t>
      </w:r>
    </w:p>
    <w:p>
      <w:pPr>
        <w:jc w:val="right"/>
        <w:bidi/>
      </w:pPr>
      <w:r>
        <w:rPr>
          <w:rFonts w:ascii="Times New Roman" w:hAnsi="Times New Roman" w:cs="Times New Roman" w:eastAsia="Times New Roman"/>
          <w:b w:val="0"/>
          <w:sz w:val="24"/>
          <w:rtl/>
        </w:rPr>
        <w:t>تعتمد المنهجية على مقارنة الأعمال المرجعية والوثائق التنظيمية والأدلة التقنية ودراسات الحالة. وتفصل القراءة النقدية بين القياسات والتأويلات والفرضيات، مع تحديد مجال صلاحية كل نتيجة. وهذا العمل ببليوغرافي بحت، ولا يعرض حفراً أو اختبارات أو قياسات ميدانية جديدة.</w:t>
      </w:r>
    </w:p>
    <w:p>
      <w:pPr>
        <w:jc w:val="right"/>
        <w:bidi/>
      </w:pPr>
      <w:r>
        <w:rPr>
          <w:rFonts w:ascii="Times New Roman" w:hAnsi="Times New Roman" w:cs="Times New Roman" w:eastAsia="Times New Roman"/>
          <w:b w:val="0"/>
          <w:sz w:val="24"/>
          <w:rtl/>
        </w:rPr>
        <w:t>تبرز النتائج ضرورة تنظيم الاستطلاع على مستوى ممر الجسر وعلى مستوى كل ركيزة، واعتماد برنامج مرن بدلاً من عدد أو عمق ثابت للحفر في جميع المشاريع. كما تبين تكامل الحفر والاختبارات الموضعية وتحاليل المخبر والجيوفيزياء ومراقبة المياه. ويتناول التحليل التعرية حول الأساسات والتآكل الداخلي وحركات التربة والإسالة والعدوانية الكيميائية والتفاعل بين التربة والأساس والمنشأ بوصفها قضايا مترابطة. وتُستخدم أربع عائلات إنشائية، هي الجسور ذات العوارض والبلاطات والجسور القوسية والمعلقة والمثبتة بالكوابل، لربط تطور الجسور بمتطلبات الركائز والأساسات. ويختتم العمل بسجل للمخاطر وحلقة مراجعة متعددة التخصصات لتوضيح أوجه عدم اليقين والتحقيقات التكميلية.</w:t>
      </w:r>
    </w:p>
    <w:p>
      <w:pPr>
        <w:jc w:val="right"/>
        <w:bidi/>
      </w:pPr>
      <w:r>
        <w:rPr>
          <w:rFonts w:ascii="Times New Roman" w:hAnsi="Times New Roman" w:cs="Times New Roman" w:eastAsia="Times New Roman"/>
          <w:b w:val="0"/>
          <w:sz w:val="24"/>
          <w:rtl/>
        </w:rPr>
        <w:t>الخلاصة الرئيسية هي أن جودة الاستطلاع لا تُقاس بكثرة الاختبارات، بل بإمكانية تتبع الاستدلال الذي يحول الملاحظات الناقصة إلى قرارات قابلة للتحقق والتنفيذ والمراجعة أثناء الإنشاء والاستغلال.</w:t>
      </w:r>
    </w:p>
    <w:p>
      <w:pPr>
        <w:jc w:val="right"/>
        <w:bidi/>
      </w:pPr>
      <w:r>
        <w:rPr>
          <w:rFonts w:ascii="Times New Roman" w:hAnsi="Times New Roman" w:cs="Times New Roman" w:eastAsia="Times New Roman"/>
          <w:b/>
          <w:sz w:val="24"/>
          <w:rtl/>
        </w:rPr>
        <w:t>الكلمات المفتاحية:</w:t>
      </w:r>
      <w:r>
        <w:rPr>
          <w:rFonts w:ascii="Times New Roman" w:hAnsi="Times New Roman" w:cs="Times New Roman" w:eastAsia="Times New Roman"/>
          <w:b w:val="0"/>
          <w:sz w:val="24"/>
          <w:rtl/>
        </w:rPr>
        <w:t xml:space="preserve"> الجسور؛ الاستطلاع الجيوتقني؛ الأساسات؛ التعرية؛ النموذج الجيوتقني؛ المخاطر؛ الجزائر.</w:t>
      </w:r>
    </w:p>
    <w:p>
      <w:r>
        <w:br w:type="page"/>
      </w:r>
    </w:p>
    <w:p>
      <w:pPr>
        <w:jc w:val="center"/>
      </w:pPr>
      <w:r>
        <w:rPr>
          <w:rFonts w:ascii="Times New Roman" w:hAnsi="Times New Roman" w:cs="Times New Roman" w:eastAsia="Times New Roman"/>
          <w:b/>
          <w:color w:val="1F4E79"/>
          <w:sz w:val="28"/>
        </w:rPr>
        <w:t>LISTE DES FIGURES</w:t>
      </w:r>
    </w:p>
    <w:p>
      <w:r>
        <w:rPr>
          <w:rFonts w:ascii="Times New Roman" w:hAnsi="Times New Roman" w:cs="Times New Roman" w:eastAsia="Times New Roman"/>
          <w:b w:val="0"/>
          <w:color w:val="59636B"/>
          <w:sz w:val="16"/>
        </w:rPr>
        <w:t>Numéros de page actualisables dans Word (champs PAGEREF).</w:t>
      </w:r>
    </w:p>
    <w:p>
      <w:pPr>
        <w:tabs>
          <w:tab w:pos="9071" w:val="right" w:leader="dot"/>
        </w:tabs>
        <w:spacing w:after="40"/>
      </w:pPr>
      <w:r>
        <w:rPr>
          <w:rFonts w:ascii="Times New Roman" w:hAnsi="Times New Roman" w:cs="Times New Roman" w:eastAsia="Times New Roman"/>
          <w:b w:val="0"/>
          <w:sz w:val="17"/>
        </w:rPr>
        <w:t>Figure I.1 — Éléments constitutifs et relation avec le terrain et l’eau</w:t>
        <w:tab/>
      </w:r>
      <w:r>
        <w:fldChar w:fldCharType="begin" w:dirty="true"/>
      </w:r>
      <w:r>
        <w:instrText xml:space="preserve"> PAGEREF BM_FIGI_1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I.2 — Transmission des sollicitations et rétroactions sol–fondation–structure</w:t>
        <w:tab/>
      </w:r>
      <w:r>
        <w:fldChar w:fldCharType="begin" w:dirty="true"/>
      </w:r>
      <w:r>
        <w:instrText xml:space="preserve"> PAGEREF BM_FIGI_2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I.3 — Repères historiques de l’évolution des ponts et de la gestion du cycle de vie</w:t>
        <w:tab/>
      </w:r>
      <w:r>
        <w:fldChar w:fldCharType="begin" w:dirty="true"/>
      </w:r>
      <w:r>
        <w:instrText xml:space="preserve"> PAGEREF BM_FIGI_3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I.4 — Quatre familles structurales et chemins principaux de transmission des charges</w:t>
        <w:tab/>
      </w:r>
      <w:r>
        <w:fldChar w:fldCharType="begin" w:dirty="true"/>
      </w:r>
      <w:r>
        <w:instrText xml:space="preserve"> PAGEREF BM_FIGI_4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I.5 — Principales alternatives de fondation et questions associées</w:t>
        <w:tab/>
      </w:r>
      <w:r>
        <w:fldChar w:fldCharType="begin" w:dirty="true"/>
      </w:r>
      <w:r>
        <w:instrText xml:space="preserve"> PAGEREF BM_FIGI_5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I.6 — Pont romain d’Alcántara sur le Tage (Espagne) : arcs de maçonnerie et piles en rivière</w:t>
        <w:tab/>
      </w:r>
      <w:r>
        <w:fldChar w:fldCharType="begin" w:dirty="true"/>
      </w:r>
      <w:r>
        <w:instrText xml:space="preserve"> PAGEREF BM_FIGI_6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I.7 — Iron Bridge à Ironbridge (Royaume-Uni) : arc en fonte et appuis de rive</w:t>
        <w:tab/>
      </w:r>
      <w:r>
        <w:fldChar w:fldCharType="begin" w:dirty="true"/>
      </w:r>
      <w:r>
        <w:instrText xml:space="preserve"> PAGEREF BM_FIGI_7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I.8 — Brooklyn Bridge (New York) pendant la construction des câbles en 1878</w:t>
        <w:tab/>
      </w:r>
      <w:r>
        <w:fldChar w:fldCharType="begin" w:dirty="true"/>
      </w:r>
      <w:r>
        <w:instrText xml:space="preserve"> PAGEREF BM_FIGI_8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I.9 — Pont de Strömsund (Suède) : exemple historique de pont haubané moderne</w:t>
        <w:tab/>
      </w:r>
      <w:r>
        <w:fldChar w:fldCharType="begin" w:dirty="true"/>
      </w:r>
      <w:r>
        <w:instrText xml:space="preserve"> PAGEREF BM_FIGI_9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I.10 — Viaduc de Millau (France) : travées haubanées et pylônes</w:t>
        <w:tab/>
      </w:r>
      <w:r>
        <w:fldChar w:fldCharType="begin" w:dirty="true"/>
      </w:r>
      <w:r>
        <w:instrText xml:space="preserve"> PAGEREF BM_FIGI_10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I.11 — Exemple réel de pont à poutres sur piles en cours d’eau</w:t>
        <w:tab/>
      </w:r>
      <w:r>
        <w:fldChar w:fldCharType="begin" w:dirty="true"/>
      </w:r>
      <w:r>
        <w:instrText xml:space="preserve"> PAGEREF BM_FIGI_11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I.12 — Exemple réel de pont à haubans : pylône central, câbles et appuis</w:t>
        <w:tab/>
      </w:r>
      <w:r>
        <w:fldChar w:fldCharType="begin" w:dirty="true"/>
      </w:r>
      <w:r>
        <w:instrText xml:space="preserve"> PAGEREF BM_FIGI_12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II.1 — Description d’un profil de sol au Kerala (Inde) : horizons, limites et observations de terrain</w:t>
        <w:tab/>
      </w:r>
      <w:r>
        <w:fldChar w:fldCharType="begin" w:dirty="true"/>
      </w:r>
      <w:r>
        <w:instrText xml:space="preserve"> PAGEREF BM_FIGII_1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II.2 — Glissement de Mameyes à Ponce (Porto Rico, 1985) : exemple d’instabilité de versant documentée par l’USGS</w:t>
        <w:tab/>
      </w:r>
      <w:r>
        <w:fldChar w:fldCharType="begin" w:dirty="true"/>
      </w:r>
      <w:r>
        <w:instrText xml:space="preserve"> PAGEREF BM_FIGII_2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II.3 — Modèle conceptuel d’une vallée alluviale et incertitudes d’interpolation</w:t>
        <w:tab/>
      </w:r>
      <w:r>
        <w:fldChar w:fldCharType="begin" w:dirty="true"/>
      </w:r>
      <w:r>
        <w:instrText xml:space="preserve"> PAGEREF BM_FIGII_3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II.4 — Processus karstiques, investigations et relation avec un appui</w:t>
        <w:tab/>
      </w:r>
      <w:r>
        <w:fldChar w:fldCharType="begin" w:dirty="true"/>
      </w:r>
      <w:r>
        <w:instrText xml:space="preserve"> PAGEREF BM_FIGII_4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II.5 — Tête d’un piézomètre de suivi des eaux souterraines à Majorque (Espagne)</w:t>
        <w:tab/>
      </w:r>
      <w:r>
        <w:fldChar w:fldCharType="begin" w:dirty="true"/>
      </w:r>
      <w:r>
        <w:instrText xml:space="preserve"> PAGEREF BM_FIGII_5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II.6 — Chaîne de transmission entre bassin versant, écoulement, morphodynamique et fondation</w:t>
        <w:tab/>
      </w:r>
      <w:r>
        <w:fldChar w:fldCharType="begin" w:dirty="true"/>
      </w:r>
      <w:r>
        <w:instrText xml:space="preserve"> PAGEREF BM_FIGII_6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II.7 — Méandres et barres sédimentaires de la rivière Togiak (Alaska)</w:t>
        <w:tab/>
      </w:r>
      <w:r>
        <w:fldChar w:fldCharType="begin" w:dirty="true"/>
      </w:r>
      <w:r>
        <w:instrText xml:space="preserve"> PAGEREF BM_FIGII_7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II.8 — Érosion de berges : (a) recul récent sur la Wye après des crues ; (b) dépôts glaciaires exposés au bord de la River Sand (Royaume-Uni)</w:t>
        <w:tab/>
      </w:r>
      <w:r>
        <w:fldChar w:fldCharType="begin" w:dirty="true"/>
      </w:r>
      <w:r>
        <w:instrText xml:space="preserve"> PAGEREF BM_FIGII_8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II.9 — Configurations d’appuis : (a) murs verticaux avec murs en aile à LaMarche Creek ; (b) culée évasée « spill-through » à Independence Creek</w:t>
        <w:tab/>
      </w:r>
      <w:r>
        <w:fldChar w:fldCharType="begin" w:dirty="true"/>
      </w:r>
      <w:r>
        <w:instrText xml:space="preserve"> PAGEREF BM_FIGII_9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II.10 — Évolution du lit : (a) aggradation à Eagle Creek ; (b) dégradation exposant le mudsill à Shepherd Creek</w:t>
        <w:tab/>
      </w:r>
      <w:r>
        <w:fldChar w:fldCharType="begin" w:dirty="true"/>
      </w:r>
      <w:r>
        <w:instrText xml:space="preserve"> PAGEREF BM_FIGII_10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 — Programme de reconnaissance adaptatif, de la revue documentaire à la décision</w:t>
        <w:tab/>
      </w:r>
      <w:r>
        <w:fldChar w:fldCharType="begin" w:dirty="true"/>
      </w:r>
      <w:r>
        <w:instrText xml:space="preserve"> PAGEREF BM_FIGIII_1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III.2 — Préparation et fendage d’une carotte sédimentaire au Core Laboratory de l’USGS</w:t>
        <w:tab/>
      </w:r>
      <w:r>
        <w:fldChar w:fldCharType="begin" w:dirty="true"/>
      </w:r>
      <w:r>
        <w:instrText xml:space="preserve"> PAGEREF BM_FIGIII_2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III.3 — Principes et mesures du SPT, du CPT/CPTu et du pressiomètre Ménard</w:t>
        <w:tab/>
      </w:r>
      <w:r>
        <w:fldChar w:fldCharType="begin" w:dirty="true"/>
      </w:r>
      <w:r>
        <w:instrText xml:space="preserve"> PAGEREF BM_FIGIII_3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III.4 — Tamis de laboratoire de 1 700, 500 et 250 µm utilisés pour le fractionnement granulométrique</w:t>
        <w:tab/>
      </w:r>
      <w:r>
        <w:fldChar w:fldCharType="begin" w:dirty="true"/>
      </w:r>
      <w:r>
        <w:instrText xml:space="preserve"> PAGEREF BM_FIGIII_4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III.5 — Coupelle de Casagrande et sillon dans la pâte de sol pour la détermination de la limite de liquidité</w:t>
        <w:tab/>
      </w:r>
      <w:r>
        <w:fldChar w:fldCharType="begin" w:dirty="true"/>
      </w:r>
      <w:r>
        <w:instrText xml:space="preserve"> PAGEREF BM_FIGIII_5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III.6 — Matériel œdométrique : (a) deux appareils à l’Université de Cambridge ; (b) cadre de mesure de la compressibilité uniaxiale</w:t>
        <w:tab/>
      </w:r>
      <w:r>
        <w:fldChar w:fldCharType="begin" w:dirty="true"/>
      </w:r>
      <w:r>
        <w:instrText xml:space="preserve"> PAGEREF BM_FIGIII_6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III.7 — Détermination du pH d’un échantillon de sol par comparaison colorimétrique au CSIRO</w:t>
        <w:tab/>
      </w:r>
      <w:r>
        <w:fldChar w:fldCharType="begin" w:dirty="true"/>
      </w:r>
      <w:r>
        <w:instrText xml:space="preserve"> PAGEREF BM_FIGIII_7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III.8 — Acquisition géoradar : (a) unité GPR mobile en prospection terrestre ; (b) levé GPR au Wadi Ramm (Jordanie, 2005)</w:t>
        <w:tab/>
      </w:r>
      <w:r>
        <w:fldChar w:fldCharType="begin" w:dirty="true"/>
      </w:r>
      <w:r>
        <w:instrText xml:space="preserve"> PAGEREF BM_FIGIII_8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III.9 — Méthodes sismiques en surface : (a) source marteau–plaque pour la réfraction ; (b) équipe USGS en acquisition pour la réflexion</w:t>
        <w:tab/>
      </w:r>
      <w:r>
        <w:fldChar w:fldCharType="begin" w:dirty="true"/>
      </w:r>
      <w:r>
        <w:instrText xml:space="preserve"> PAGEREF BM_FIGIII_9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III.10 — Principe de calibrage d’une anomalie géophysique par des investigations directes</w:t>
        <w:tab/>
      </w:r>
      <w:r>
        <w:fldChar w:fldCharType="begin" w:dirty="true"/>
      </w:r>
      <w:r>
        <w:instrText xml:space="preserve"> PAGEREF BM_FIGIII_10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III.11 — Deux configurations de matériel de forage équipé pour des essais SPT</w:t>
        <w:tab/>
      </w:r>
      <w:r>
        <w:fldChar w:fldCharType="begin" w:dirty="true"/>
      </w:r>
      <w:r>
        <w:instrText xml:space="preserve"> PAGEREF BM_FIGIII_11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III.12 — Unité de pénétration statique CPT montée sur camion</w:t>
        <w:tab/>
      </w:r>
      <w:r>
        <w:fldChar w:fldCharType="begin" w:dirty="true"/>
      </w:r>
      <w:r>
        <w:instrText xml:space="preserve"> PAGEREF BM_FIGIII_12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III.13 — Acquisition de résistivité électrique : (a) dispositif ERT terrestre ; (b) profilage continu CRP avec électrodes remorquées</w:t>
        <w:tab/>
      </w:r>
      <w:r>
        <w:fldChar w:fldCharType="begin" w:dirty="true"/>
      </w:r>
      <w:r>
        <w:instrText xml:space="preserve"> PAGEREF BM_FIGIII_13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III.14 — Essais triaxiaux : (a) éprouvette pendant un essai cyclique ; (b) mesure de pression interstitielle</w:t>
        <w:tab/>
      </w:r>
      <w:r>
        <w:fldChar w:fldCharType="begin" w:dirty="true"/>
      </w:r>
      <w:r>
        <w:instrText xml:space="preserve"> PAGEREF BM_FIGIII_14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III.15 — Cellule triaxiale haute pression pour la mesure de la résistance du rocher au laboratoire CSIRO</w:t>
        <w:tab/>
      </w:r>
      <w:r>
        <w:fldChar w:fldCharType="begin" w:dirty="true"/>
      </w:r>
      <w:r>
        <w:instrText xml:space="preserve"> PAGEREF BM_FIGIII_15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IV.1 — Interactions des principales familles de risques au niveau d’un appui</w:t>
        <w:tab/>
      </w:r>
      <w:r>
        <w:fldChar w:fldCharType="begin" w:dirty="true"/>
      </w:r>
      <w:r>
        <w:instrText xml:space="preserve"> PAGEREF BM_FIGIV_1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IV.2 — Dégradation à long terme, contraction et affouillement local</w:t>
        <w:tab/>
      </w:r>
      <w:r>
        <w:fldChar w:fldCharType="begin" w:dirty="true"/>
      </w:r>
      <w:r>
        <w:instrText xml:space="preserve"> PAGEREF BM_FIGIV_2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IV.3 — Quatre mécanismes d’érosion interne et leurs conditions de diagnostic</w:t>
        <w:tab/>
      </w:r>
      <w:r>
        <w:fldChar w:fldCharType="begin" w:dirty="true"/>
      </w:r>
      <w:r>
        <w:instrText xml:space="preserve"> PAGEREF BM_FIGIV_3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IV.4 — Chaîne d’évaluation de la liquéfaction, du dépistage aux conséquences</w:t>
        <w:tab/>
      </w:r>
      <w:r>
        <w:fldChar w:fldCharType="begin" w:dirty="true"/>
      </w:r>
      <w:r>
        <w:instrText xml:space="preserve"> PAGEREF BM_FIGIV_4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IV.5 — Manifestations de liquéfaction : (a) volcans de sable le long d’une voie ferrée ; (b) escarpement d’étalement latéral et restes de volcan de sable à Nisqually (2001)</w:t>
        <w:tab/>
      </w:r>
      <w:r>
        <w:fldChar w:fldCharType="begin" w:dirty="true"/>
      </w:r>
      <w:r>
        <w:instrText xml:space="preserve"> PAGEREF BM_FIGIV_5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IV.6 — Organisation d’un registre de risques fondé sur les scénarios et les preuves</w:t>
        <w:tab/>
      </w:r>
      <w:r>
        <w:fldChar w:fldCharType="begin" w:dirty="true"/>
      </w:r>
      <w:r>
        <w:instrText xml:space="preserve"> PAGEREF BM_FIGIV_6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IV.7 — Inspection hydrographique par fathometer au Barnhart Island Bridge, Massena (New York)</w:t>
        <w:tab/>
      </w:r>
      <w:r>
        <w:fldChar w:fldCharType="begin" w:dirty="true"/>
      </w:r>
      <w:r>
        <w:instrText xml:space="preserve"> PAGEREF BM_FIGIV_7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IV.8 — Rupture du tablier de Tacoma Narrows le 7 novembre 1940 : interaction vent–structure</w:t>
        <w:tab/>
      </w:r>
      <w:r>
        <w:fldChar w:fldCharType="begin" w:dirty="true"/>
      </w:r>
      <w:r>
        <w:instrText xml:space="preserve"> PAGEREF BM_FIGIV_8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IV.9 — Conséquences hydrauliques documentées : (a) rupture du Little Salmon River Bridge après affouillement ; (b) rupture du remblai d’un ponceau à Moss Creek après piping et affouillement</w:t>
        <w:tab/>
      </w:r>
      <w:r>
        <w:fldChar w:fldCharType="begin" w:dirty="true"/>
      </w:r>
      <w:r>
        <w:instrText xml:space="preserve"> PAGEREF BM_FIGIV_9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IV.10 — Rupture du remblai de culée au Monture Bridge, avec dommages limités à l’ouvrage</w:t>
        <w:tab/>
      </w:r>
      <w:r>
        <w:fldChar w:fldCharType="begin" w:dirty="true"/>
      </w:r>
      <w:r>
        <w:instrText xml:space="preserve"> PAGEREF BM_FIGIV_10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IV.11 — Écaillage du béton au Lewis River Bridge : exemple d’indice visuel à documenter</w:t>
        <w:tab/>
      </w:r>
      <w:r>
        <w:fldChar w:fldCharType="begin" w:dirty="true"/>
      </w:r>
      <w:r>
        <w:instrText xml:space="preserve"> PAGEREF BM_FIGIV_11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V.1 — Des observations au modèle géotechnique puis aux décisions de fondation</w:t>
        <w:tab/>
      </w:r>
      <w:r>
        <w:fldChar w:fldCharType="begin" w:dirty="true"/>
      </w:r>
      <w:r>
        <w:instrText xml:space="preserve"> PAGEREF BM_FIGV_1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V.2 — Foreuse à tarière pour pieux de fondation sur un chantier à Auckland (Nouvelle-Zélande)</w:t>
        <w:tab/>
      </w:r>
      <w:r>
        <w:fldChar w:fldCharType="begin" w:dirty="true"/>
      </w:r>
      <w:r>
        <w:instrText xml:space="preserve"> PAGEREF BM_FIGV_2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V.3 — Comparaison des solutions de fondation et d’adaptation du site</w:t>
        <w:tab/>
      </w:r>
      <w:r>
        <w:fldChar w:fldCharType="begin" w:dirty="true"/>
      </w:r>
      <w:r>
        <w:instrText xml:space="preserve"> PAGEREF BM_FIGV_3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V.4 — Cellule OJACK360 pour essai bidirectionnel de pieu pendant son installation sur un chantier de bâtiment</w:t>
        <w:tab/>
      </w:r>
      <w:r>
        <w:fldChar w:fldCharType="begin" w:dirty="true"/>
      </w:r>
      <w:r>
        <w:instrText xml:space="preserve"> PAGEREF BM_FIGV_4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V.5 — Bloc d’enrobage fixé sur une armature de paroi moulée</w:t>
        <w:tab/>
      </w:r>
      <w:r>
        <w:fldChar w:fldCharType="begin" w:dirty="true"/>
      </w:r>
      <w:r>
        <w:instrText xml:space="preserve"> PAGEREF BM_FIGV_5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V.6 — Boucle de la méthode observationnelle pendant l’exécution et l’exploitation</w:t>
        <w:tab/>
      </w:r>
      <w:r>
        <w:fldChar w:fldCharType="begin" w:dirty="true"/>
      </w:r>
      <w:r>
        <w:instrText xml:space="preserve"> PAGEREF BM_FIGV_6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V.7 — Réalisation de pieux forés : cage de renforcement et matériel de forage sur chantier</w:t>
        <w:tab/>
      </w:r>
      <w:r>
        <w:fldChar w:fldCharType="begin" w:dirty="true"/>
      </w:r>
      <w:r>
        <w:instrText xml:space="preserve"> PAGEREF BM_FIGV_7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V.8 — Réparation du remblai de culée et protection par enrochements au Monture Bridge</w:t>
        <w:tab/>
      </w:r>
      <w:r>
        <w:fldChar w:fldCharType="begin" w:dirty="true"/>
      </w:r>
      <w:r>
        <w:instrText xml:space="preserve"> PAGEREF BM_FIGV_8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V.9 — Monroe Street Bridge en construction à Spokane en 1911 : cintres, arcs et appuis</w:t>
        <w:tab/>
      </w:r>
      <w:r>
        <w:fldChar w:fldCharType="begin" w:dirty="true"/>
      </w:r>
      <w:r>
        <w:instrText xml:space="preserve"> PAGEREF BM_FIGV_9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V.10 — Bétonnage de la fondation de la pile principale nord du Story Bridge à Brisbane (30 janvier 1936)</w:t>
        <w:tab/>
      </w:r>
      <w:r>
        <w:fldChar w:fldCharType="begin" w:dirty="true"/>
      </w:r>
      <w:r>
        <w:instrText xml:space="preserve"> PAGEREF BM_FIGV_10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VI.1 — Interfaces entre disciplines pour la conception d’une fondation de pont</w:t>
        <w:tab/>
      </w:r>
      <w:r>
        <w:fldChar w:fldCharType="begin" w:dirty="true"/>
      </w:r>
      <w:r>
        <w:instrText xml:space="preserve"> PAGEREF BM_FIGVI_1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VI.2 — Chaîne de décision fondée sur la qualité et la portée des preuves</w:t>
        <w:tab/>
      </w:r>
      <w:r>
        <w:fldChar w:fldCharType="begin" w:dirty="true"/>
      </w:r>
      <w:r>
        <w:instrText xml:space="preserve"> PAGEREF BM_FIGVI_2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VI.3 — Deux ouvrages de Constantine : (a) pont de Sidi M’Cid ; (b) pont Bab El Kantara</w:t>
        <w:tab/>
      </w:r>
      <w:r>
        <w:fldChar w:fldCharType="begin" w:dirty="true"/>
      </w:r>
      <w:r>
        <w:instrText xml:space="preserve"> PAGEREF BM_FIGVI_3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VI.4 — Pont de Sidi Rached à Constantine : arches multiples et appuis en gorge</w:t>
        <w:tab/>
      </w:r>
      <w:r>
        <w:fldChar w:fldCharType="begin" w:dirty="true"/>
      </w:r>
      <w:r>
        <w:instrText xml:space="preserve"> PAGEREF BM_FIGVI_4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Figure VI.5 — Ouvrages algériens : (a) pylône et haubans du pont Salah Bey à Constantine ; (b) viaduc de Cherrata à Berrouaghia (wilaya de Médéa)</w:t>
        <w:tab/>
      </w:r>
      <w:r>
        <w:fldChar w:fldCharType="begin" w:dirty="true"/>
      </w:r>
      <w:r>
        <w:instrText xml:space="preserve"> PAGEREF BM_FIGVI_5 \h </w:instrText>
      </w:r>
      <w:r>
        <w:fldChar w:fldCharType="separate"/>
      </w:r>
      <w:r>
        <w:t>—</w:t>
      </w:r>
      <w:r>
        <w:fldChar w:fldCharType="end"/>
      </w:r>
    </w:p>
    <w:p>
      <w:r>
        <w:br w:type="page"/>
      </w:r>
    </w:p>
    <w:p>
      <w:pPr>
        <w:jc w:val="center"/>
      </w:pPr>
      <w:r>
        <w:rPr>
          <w:rFonts w:ascii="Times New Roman" w:hAnsi="Times New Roman" w:cs="Times New Roman" w:eastAsia="Times New Roman"/>
          <w:b/>
          <w:color w:val="1F4E79"/>
          <w:sz w:val="28"/>
        </w:rPr>
        <w:t>LISTE DES TABLEAUS</w:t>
      </w:r>
    </w:p>
    <w:p>
      <w:r>
        <w:rPr>
          <w:rFonts w:ascii="Times New Roman" w:hAnsi="Times New Roman" w:cs="Times New Roman" w:eastAsia="Times New Roman"/>
          <w:b w:val="0"/>
          <w:color w:val="59636B"/>
          <w:sz w:val="16"/>
        </w:rPr>
        <w:t>Numéros de page actualisables dans Word (champs PAGEREF).</w:t>
      </w:r>
    </w:p>
    <w:p>
      <w:pPr>
        <w:tabs>
          <w:tab w:pos="9071" w:val="right" w:leader="dot"/>
        </w:tabs>
        <w:spacing w:after="40"/>
      </w:pPr>
      <w:r>
        <w:rPr>
          <w:rFonts w:ascii="Times New Roman" w:hAnsi="Times New Roman" w:cs="Times New Roman" w:eastAsia="Times New Roman"/>
          <w:b w:val="0"/>
          <w:sz w:val="17"/>
        </w:rPr>
        <w:t>Tableau I.1 — Éléments de l’ouvrage et données géotechniques associées</w:t>
        <w:tab/>
      </w:r>
      <w:r>
        <w:fldChar w:fldCharType="begin" w:dirty="true"/>
      </w:r>
      <w:r>
        <w:instrText xml:space="preserve"> PAGEREF BM_TABI_1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I.2 — Lecture géotechnique de quelques étapes de l’évolution des ponts</w:t>
        <w:tab/>
      </w:r>
      <w:r>
        <w:fldChar w:fldCharType="begin" w:dirty="true"/>
      </w:r>
      <w:r>
        <w:instrText xml:space="preserve"> PAGEREF BM_TABI_2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I.3 — Deux désordres historiques et leurs enseignements délimités</w:t>
        <w:tab/>
      </w:r>
      <w:r>
        <w:fldChar w:fldCharType="begin" w:dirty="true"/>
      </w:r>
      <w:r>
        <w:instrText xml:space="preserve"> PAGEREF BM_TABI_3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I.4 — Comparaison géotechnique des quatre familles structurales</w:t>
        <w:tab/>
      </w:r>
      <w:r>
        <w:fldChar w:fldCharType="begin" w:dirty="true"/>
      </w:r>
      <w:r>
        <w:instrText xml:space="preserve"> PAGEREF BM_TABI_4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I.5 — Lecture homogène des quatre familles structurales</w:t>
        <w:tab/>
      </w:r>
      <w:r>
        <w:fldChar w:fldCharType="begin" w:dirty="true"/>
      </w:r>
      <w:r>
        <w:instrText xml:space="preserve"> PAGEREF BM_TABI_5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I.6 — Ce que les classifications apportent — et ce qu’elles ne décident pas</w:t>
        <w:tab/>
      </w:r>
      <w:r>
        <w:fldChar w:fldCharType="begin" w:dirty="true"/>
      </w:r>
      <w:r>
        <w:instrText xml:space="preserve"> PAGEREF BM_TABI_6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I.7 — Entrées et décisions du pré-dimensionnement d’un pont</w:t>
        <w:tab/>
      </w:r>
      <w:r>
        <w:fldChar w:fldCharType="begin" w:dirty="true"/>
      </w:r>
      <w:r>
        <w:instrText xml:space="preserve"> PAGEREF BM_TABI_7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I.8 — Familles d’actions et traduction en besoins de données</w:t>
        <w:tab/>
      </w:r>
      <w:r>
        <w:fldChar w:fldCharType="begin" w:dirty="true"/>
      </w:r>
      <w:r>
        <w:instrText xml:space="preserve"> PAGEREF BM_TABI_8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I.9 — Matrice qualitative de comparaison des solutions de fondation</w:t>
        <w:tab/>
      </w:r>
      <w:r>
        <w:fldChar w:fldCharType="begin" w:dirty="true"/>
      </w:r>
      <w:r>
        <w:instrText xml:space="preserve"> PAGEREF BM_TABI_9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I.10 — Déplacements du terrain et conséquences à examiner avec le concepteur de la structure</w:t>
        <w:tab/>
      </w:r>
      <w:r>
        <w:fldChar w:fldCharType="begin" w:dirty="true"/>
      </w:r>
      <w:r>
        <w:instrText xml:space="preserve"> PAGEREF BM_TABI_10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II.1 — Contenu minimal d’un modèle géotechnique de site de pont</w:t>
        <w:tab/>
      </w:r>
      <w:r>
        <w:fldChar w:fldCharType="begin" w:dirty="true"/>
      </w:r>
      <w:r>
        <w:instrText xml:space="preserve"> PAGEREF BM_TABII_1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II.2 — Distinction entre récupération de carotte et qualité du massif</w:t>
        <w:tab/>
      </w:r>
      <w:r>
        <w:fldChar w:fldCharType="begin" w:dirty="true"/>
      </w:r>
      <w:r>
        <w:instrText xml:space="preserve"> PAGEREF BM_TABII_2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II.3 — Karst — séparer les observations des interprétations</w:t>
        <w:tab/>
      </w:r>
      <w:r>
        <w:fldChar w:fldCharType="begin" w:dirty="true"/>
      </w:r>
      <w:r>
        <w:instrText xml:space="preserve"> PAGEREF BM_TABII_3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II.4 — Données sur l’eau et décisions qu’elles éclairent</w:t>
        <w:tab/>
      </w:r>
      <w:r>
        <w:fldChar w:fldCharType="begin" w:dirty="true"/>
      </w:r>
      <w:r>
        <w:instrText xml:space="preserve"> PAGEREF BM_TABII_4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II.5 — Questions distinctes posées par l’hydrologie, l’hydraulique et la morphodynamique</w:t>
        <w:tab/>
      </w:r>
      <w:r>
        <w:fldChar w:fldCharType="begin" w:dirty="true"/>
      </w:r>
      <w:r>
        <w:instrText xml:space="preserve"> PAGEREF BM_TABII_5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II.6 — Sols particuliers — mécanisme et investigations adaptées</w:t>
        <w:tab/>
      </w:r>
      <w:r>
        <w:fldChar w:fldCharType="begin" w:dirty="true"/>
      </w:r>
      <w:r>
        <w:instrText xml:space="preserve"> PAGEREF BM_TABII_6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II.7 — Exemples de contrôles croisés du modèle de site</w:t>
        <w:tab/>
      </w:r>
      <w:r>
        <w:fldChar w:fldCharType="begin" w:dirty="true"/>
      </w:r>
      <w:r>
        <w:instrText xml:space="preserve"> PAGEREF BM_TABII_7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III.1 — Questions de projet et investigations possibles</w:t>
        <w:tab/>
      </w:r>
      <w:r>
        <w:fldChar w:fldCharType="begin" w:dirty="true"/>
      </w:r>
      <w:r>
        <w:instrText xml:space="preserve"> PAGEREF BM_TABIII_1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III.2 — Qualité d’échantillon et usages raisonnables</w:t>
        <w:tab/>
      </w:r>
      <w:r>
        <w:fldChar w:fldCharType="begin" w:dirty="true"/>
      </w:r>
      <w:r>
        <w:instrText xml:space="preserve"> PAGEREF BM_TABIII_2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III.3 — Comparaison des principaux essais in situ</w:t>
        <w:tab/>
      </w:r>
      <w:r>
        <w:fldChar w:fldCharType="begin" w:dirty="true"/>
      </w:r>
      <w:r>
        <w:instrText xml:space="preserve"> PAGEREF BM_TABIII_3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III.4 — Essais de laboratoire et paramètres recherchés</w:t>
        <w:tab/>
      </w:r>
      <w:r>
        <w:fldChar w:fldCharType="begin" w:dirty="true"/>
      </w:r>
      <w:r>
        <w:instrText xml:space="preserve"> PAGEREF BM_TABIII_4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III.5 — Méthodes géophysiques — apports et limites pour un site de pont</w:t>
        <w:tab/>
      </w:r>
      <w:r>
        <w:fldChar w:fldCharType="begin" w:dirty="true"/>
      </w:r>
      <w:r>
        <w:instrText xml:space="preserve"> PAGEREF BM_TABIII_5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III.6 — Contrôles qualité à joindre aux résultats</w:t>
        <w:tab/>
      </w:r>
      <w:r>
        <w:fldChar w:fldCharType="begin" w:dirty="true"/>
      </w:r>
      <w:r>
        <w:instrText xml:space="preserve"> PAGEREF BM_TABIII_6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III.7 — Exemple de matrice de justification — à compléter pour un projet réel</w:t>
        <w:tab/>
      </w:r>
      <w:r>
        <w:fldChar w:fldCharType="begin" w:dirty="true"/>
      </w:r>
      <w:r>
        <w:instrText xml:space="preserve"> PAGEREF BM_TABIII_7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IV.1 — Structure d’un scénario de risque géotechnique</w:t>
        <w:tab/>
      </w:r>
      <w:r>
        <w:fldChar w:fldCharType="begin" w:dirty="true"/>
      </w:r>
      <w:r>
        <w:instrText xml:space="preserve"> PAGEREF BM_TABIV_1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IV.2 — Données et vérifications nécessaires à une analyse d’affouillement</w:t>
        <w:tab/>
      </w:r>
      <w:r>
        <w:fldChar w:fldCharType="begin" w:dirty="true"/>
      </w:r>
      <w:r>
        <w:instrText xml:space="preserve"> PAGEREF BM_TABIV_2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IV.3 — Diagnostic différencié des processus d’érosion interne</w:t>
        <w:tab/>
      </w:r>
      <w:r>
        <w:fldChar w:fldCharType="begin" w:dirty="true"/>
      </w:r>
      <w:r>
        <w:instrText xml:space="preserve"> PAGEREF BM_TABIV_3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IV.4 — Situations de rive à examiner</w:t>
        <w:tab/>
      </w:r>
      <w:r>
        <w:fldChar w:fldCharType="begin" w:dirty="true"/>
      </w:r>
      <w:r>
        <w:instrText xml:space="preserve"> PAGEREF BM_TABIV_4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IV.5 — Erreurs à éviter dans l’analyse de liquéfaction</w:t>
        <w:tab/>
      </w:r>
      <w:r>
        <w:fldChar w:fldCharType="begin" w:dirty="true"/>
      </w:r>
      <w:r>
        <w:instrText xml:space="preserve"> PAGEREF BM_TABIV_5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IV.6 — Chaîne de décision pour l’agressivité chimique</w:t>
        <w:tab/>
      </w:r>
      <w:r>
        <w:fldChar w:fldCharType="begin" w:dirty="true"/>
      </w:r>
      <w:r>
        <w:instrText xml:space="preserve"> PAGEREF BM_TABIV_6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IV.7 — Risques d’exécution et données préventives</w:t>
        <w:tab/>
      </w:r>
      <w:r>
        <w:fldChar w:fldCharType="begin" w:dirty="true"/>
      </w:r>
      <w:r>
        <w:instrText xml:space="preserve"> PAGEREF BM_TABIV_7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IV.8 — Synthèse des mécanismes et des données gouvernantes</w:t>
        <w:tab/>
      </w:r>
      <w:r>
        <w:fldChar w:fldCharType="begin" w:dirty="true"/>
      </w:r>
      <w:r>
        <w:instrText xml:space="preserve"> PAGEREF BM_TABIV_8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V.1 — Traçabilité des valeurs géotechniques</w:t>
        <w:tab/>
      </w:r>
      <w:r>
        <w:fldChar w:fldCharType="begin" w:dirty="true"/>
      </w:r>
      <w:r>
        <w:instrText xml:space="preserve"> PAGEREF BM_TABV_1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V.2 — Types d’incertitude et réponses possibles</w:t>
        <w:tab/>
      </w:r>
      <w:r>
        <w:fldChar w:fldCharType="begin" w:dirty="true"/>
      </w:r>
      <w:r>
        <w:instrText xml:space="preserve"> PAGEREF BM_TABV_2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V.3 — Principales vérifications par famille de fondation</w:t>
        <w:tab/>
      </w:r>
      <w:r>
        <w:fldChar w:fldCharType="begin" w:dirty="true"/>
      </w:r>
      <w:r>
        <w:instrText xml:space="preserve"> PAGEREF BM_TABV_3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V.4 — Exemple de matrice de décision sans poids universels</w:t>
        <w:tab/>
      </w:r>
      <w:r>
        <w:fldChar w:fldCharType="begin" w:dirty="true"/>
      </w:r>
      <w:r>
        <w:instrText xml:space="preserve"> PAGEREF BM_TABV_4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V.5 — Structure générale des approches de calcul de l’Eurocode 7 pour GEO</w:t>
        <w:tab/>
      </w:r>
      <w:r>
        <w:fldChar w:fldCharType="begin" w:dirty="true"/>
      </w:r>
      <w:r>
        <w:instrText xml:space="preserve"> PAGEREF BM_TABV_5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V.6 — Exemple de lecture d’une analyse de sensibilité</w:t>
        <w:tab/>
      </w:r>
      <w:r>
        <w:fldChar w:fldCharType="begin" w:dirty="true"/>
      </w:r>
      <w:r>
        <w:instrText xml:space="preserve"> PAGEREF BM_TABV_6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V.7 — Exemples de suivi relié à des décisions</w:t>
        <w:tab/>
      </w:r>
      <w:r>
        <w:fldChar w:fldCharType="begin" w:dirty="true"/>
      </w:r>
      <w:r>
        <w:instrText xml:space="preserve"> PAGEREF BM_TABV_7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VI.1 — Statut des documents dans un dossier de fondation</w:t>
        <w:tab/>
      </w:r>
      <w:r>
        <w:fldChar w:fldCharType="begin" w:dirty="true"/>
      </w:r>
      <w:r>
        <w:instrText xml:space="preserve"> PAGEREF BM_TABVI_1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VI.2 — Portée de quatre publications algériennes sur le karst</w:t>
        <w:tab/>
      </w:r>
      <w:r>
        <w:fldChar w:fldCharType="begin" w:dirty="true"/>
      </w:r>
      <w:r>
        <w:instrText xml:space="preserve"> PAGEREF BM_TABVI_2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VI.3 — Niveau de preuve des exemples algériens discutés</w:t>
        <w:tab/>
      </w:r>
      <w:r>
        <w:fldChar w:fldCharType="begin" w:dirty="true"/>
      </w:r>
      <w:r>
        <w:instrText xml:space="preserve"> PAGEREF BM_TABVI_3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VI.4 — Exemple de matrice d’interfaces et de livrables</w:t>
        <w:tab/>
      </w:r>
      <w:r>
        <w:fldChar w:fldCharType="begin" w:dirty="true"/>
      </w:r>
      <w:r>
        <w:instrText xml:space="preserve"> PAGEREF BM_TABVI_4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A.1 — Fiche minimale avant définition du programme d’investigation</w:t>
        <w:tab/>
      </w:r>
      <w:r>
        <w:fldChar w:fldCharType="begin" w:dirty="true"/>
      </w:r>
      <w:r>
        <w:instrText xml:space="preserve"> PAGEREF BM_TABA_1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A.2 — Exemples de questions et de preuves à rechercher</w:t>
        <w:tab/>
      </w:r>
      <w:r>
        <w:fldChar w:fldCharType="begin" w:dirty="true"/>
      </w:r>
      <w:r>
        <w:instrText xml:space="preserve"> PAGEREF BM_TABA_2 \h </w:instrText>
      </w:r>
      <w:r>
        <w:fldChar w:fldCharType="separate"/>
      </w:r>
      <w:r>
        <w:t>—</w:t>
      </w:r>
      <w:r>
        <w:fldChar w:fldCharType="end"/>
      </w:r>
    </w:p>
    <w:p>
      <w:pPr>
        <w:tabs>
          <w:tab w:pos="9071" w:val="right" w:leader="dot"/>
        </w:tabs>
        <w:spacing w:after="40"/>
      </w:pPr>
      <w:r>
        <w:rPr>
          <w:rFonts w:ascii="Times New Roman" w:hAnsi="Times New Roman" w:cs="Times New Roman" w:eastAsia="Times New Roman"/>
          <w:b w:val="0"/>
          <w:sz w:val="17"/>
        </w:rPr>
        <w:t>Tableau B.1 — Contrôles rapides des relations utilisées dans le mémoire</w:t>
        <w:tab/>
      </w:r>
      <w:r>
        <w:fldChar w:fldCharType="begin" w:dirty="true"/>
      </w:r>
      <w:r>
        <w:instrText xml:space="preserve"> PAGEREF BM_TABB_1 \h </w:instrText>
      </w:r>
      <w:r>
        <w:fldChar w:fldCharType="separate"/>
      </w:r>
      <w:r>
        <w:t>—</w:t>
      </w:r>
      <w:r>
        <w:fldChar w:fldCharType="end"/>
      </w:r>
    </w:p>
    <w:p>
      <w:r>
        <w:br w:type="page"/>
      </w:r>
    </w:p>
    <w:p>
      <w:pPr>
        <w:jc w:val="left"/>
        <w:pBdr>
          <w:bottom w:val="single" w:sz="8" w:color="1F4E79"/>
        </w:pBdr>
      </w:pPr>
      <w:r>
        <w:rPr>
          <w:rFonts w:ascii="Times New Roman" w:hAnsi="Times New Roman" w:cs="Times New Roman" w:eastAsia="Times New Roman"/>
          <w:b/>
          <w:color w:val="1F4E79"/>
          <w:sz w:val="28"/>
        </w:rPr>
        <w:t>LISTE DES ABRÉVIATIONS</w:t>
      </w:r>
    </w:p>
    <w:tbl>
      <w:tblPr>
        <w:tblStyle w:val="TableGrid"/>
        <w:tblW w:type="auto" w:w="0"/>
        <w:jc w:val="center"/>
        <w:tblLayout w:type="fixed"/>
        <w:tblLook w:firstColumn="1" w:firstRow="1" w:lastColumn="0" w:lastRow="0" w:noHBand="0" w:noVBand="1" w:val="04A0"/>
      </w:tblPr>
      <w:tblGrid>
        <w:gridCol w:w="4536"/>
        <w:gridCol w:w="4536"/>
      </w:tblGrid>
      <w:tr>
        <w:trPr>
          <w:cantSplit/>
          <w:tblHeader w:val="true"/>
        </w:trPr>
        <w:tc>
          <w:tcPr>
            <w:tcW w:type="dxa" w:w="4535"/>
            <w:vAlign w:val="center"/>
            <w:shd w:fill="1F4E79"/>
          </w:tcPr>
          <w:p>
            <w:pPr>
              <w:spacing w:after="30"/>
            </w:pPr>
            <w:r>
              <w:rPr>
                <w:rFonts w:ascii="Times New Roman" w:hAnsi="Times New Roman" w:cs="Times New Roman" w:eastAsia="Times New Roman"/>
                <w:b/>
                <w:color w:val="FFFFFF"/>
                <w:sz w:val="17"/>
              </w:rPr>
              <w:t>Abréviation ou symbole</w:t>
            </w:r>
          </w:p>
        </w:tc>
        <w:tc>
          <w:tcPr>
            <w:tcW w:type="dxa" w:w="4535"/>
            <w:vAlign w:val="center"/>
            <w:shd w:fill="1F4E79"/>
          </w:tcPr>
          <w:p>
            <w:pPr>
              <w:spacing w:after="30"/>
            </w:pPr>
            <w:r>
              <w:rPr>
                <w:rFonts w:ascii="Times New Roman" w:hAnsi="Times New Roman" w:cs="Times New Roman" w:eastAsia="Times New Roman"/>
                <w:b/>
                <w:color w:val="FFFFFF"/>
                <w:sz w:val="17"/>
              </w:rPr>
              <w:t>Signification retenue dans ce mémoire</w:t>
            </w:r>
          </w:p>
        </w:tc>
      </w:tr>
      <w:tr>
        <w:trPr>
          <w:cantSplit/>
        </w:trPr>
        <w:tc>
          <w:tcPr>
            <w:tcW w:type="dxa" w:w="4535"/>
            <w:vAlign w:val="center"/>
          </w:tcPr>
          <w:p>
            <w:pPr>
              <w:spacing w:after="30"/>
            </w:pPr>
            <w:r>
              <w:rPr>
                <w:rFonts w:ascii="Times New Roman" w:hAnsi="Times New Roman" w:cs="Times New Roman" w:eastAsia="Times New Roman"/>
                <w:b w:val="0"/>
                <w:sz w:val="17"/>
              </w:rPr>
              <w:t>AFNOR</w:t>
            </w:r>
          </w:p>
        </w:tc>
        <w:tc>
          <w:tcPr>
            <w:tcW w:type="dxa" w:w="4535"/>
            <w:vAlign w:val="center"/>
          </w:tcPr>
          <w:p>
            <w:pPr>
              <w:spacing w:after="30"/>
            </w:pPr>
            <w:r>
              <w:rPr>
                <w:rFonts w:ascii="Times New Roman" w:hAnsi="Times New Roman" w:cs="Times New Roman" w:eastAsia="Times New Roman"/>
                <w:b w:val="0"/>
                <w:sz w:val="17"/>
              </w:rPr>
              <w:t>Association française de normalisation</w:t>
            </w:r>
          </w:p>
        </w:tc>
      </w:tr>
      <w:tr>
        <w:trPr>
          <w:cantSplit/>
        </w:trPr>
        <w:tc>
          <w:tcPr>
            <w:tcW w:type="dxa" w:w="4535"/>
            <w:vAlign w:val="center"/>
            <w:shd w:fill="F3F6F8"/>
          </w:tcPr>
          <w:p>
            <w:pPr>
              <w:spacing w:after="30"/>
            </w:pPr>
            <w:r>
              <w:rPr>
                <w:rFonts w:ascii="Times New Roman" w:hAnsi="Times New Roman" w:cs="Times New Roman" w:eastAsia="Times New Roman"/>
                <w:b w:val="0"/>
                <w:sz w:val="17"/>
              </w:rPr>
              <w:t>ASTM</w:t>
            </w:r>
          </w:p>
        </w:tc>
        <w:tc>
          <w:tcPr>
            <w:tcW w:type="dxa" w:w="4535"/>
            <w:vAlign w:val="center"/>
            <w:shd w:fill="F3F6F8"/>
          </w:tcPr>
          <w:p>
            <w:pPr>
              <w:spacing w:after="30"/>
            </w:pPr>
            <w:r>
              <w:rPr>
                <w:rFonts w:ascii="Times New Roman" w:hAnsi="Times New Roman" w:cs="Times New Roman" w:eastAsia="Times New Roman"/>
                <w:b w:val="0"/>
                <w:sz w:val="17"/>
              </w:rPr>
              <w:t>ASTM International, organisme de normalisation</w:t>
            </w:r>
          </w:p>
        </w:tc>
      </w:tr>
      <w:tr>
        <w:trPr>
          <w:cantSplit/>
        </w:trPr>
        <w:tc>
          <w:tcPr>
            <w:tcW w:type="dxa" w:w="4535"/>
            <w:vAlign w:val="center"/>
          </w:tcPr>
          <w:p>
            <w:pPr>
              <w:spacing w:after="30"/>
            </w:pPr>
            <w:r>
              <w:rPr>
                <w:rFonts w:ascii="Times New Roman" w:hAnsi="Times New Roman" w:cs="Times New Roman" w:eastAsia="Times New Roman"/>
                <w:b w:val="0"/>
                <w:sz w:val="17"/>
              </w:rPr>
              <w:t>CEN</w:t>
            </w:r>
          </w:p>
        </w:tc>
        <w:tc>
          <w:tcPr>
            <w:tcW w:type="dxa" w:w="4535"/>
            <w:vAlign w:val="center"/>
          </w:tcPr>
          <w:p>
            <w:pPr>
              <w:spacing w:after="30"/>
            </w:pPr>
            <w:r>
              <w:rPr>
                <w:rFonts w:ascii="Times New Roman" w:hAnsi="Times New Roman" w:cs="Times New Roman" w:eastAsia="Times New Roman"/>
                <w:b w:val="0"/>
                <w:sz w:val="17"/>
              </w:rPr>
              <w:t>Comité européen de normalisation</w:t>
            </w:r>
          </w:p>
        </w:tc>
      </w:tr>
      <w:tr>
        <w:trPr>
          <w:cantSplit/>
        </w:trPr>
        <w:tc>
          <w:tcPr>
            <w:tcW w:type="dxa" w:w="4535"/>
            <w:vAlign w:val="center"/>
            <w:shd w:fill="F3F6F8"/>
          </w:tcPr>
          <w:p>
            <w:pPr>
              <w:spacing w:after="30"/>
            </w:pPr>
            <w:r>
              <w:rPr>
                <w:rFonts w:ascii="Times New Roman" w:hAnsi="Times New Roman" w:cs="Times New Roman" w:eastAsia="Times New Roman"/>
                <w:b w:val="0"/>
                <w:sz w:val="17"/>
              </w:rPr>
              <w:t>CPT / CPTu</w:t>
            </w:r>
          </w:p>
        </w:tc>
        <w:tc>
          <w:tcPr>
            <w:tcW w:type="dxa" w:w="4535"/>
            <w:vAlign w:val="center"/>
            <w:shd w:fill="F3F6F8"/>
          </w:tcPr>
          <w:p>
            <w:pPr>
              <w:spacing w:after="30"/>
            </w:pPr>
            <w:r>
              <w:rPr>
                <w:rFonts w:ascii="Times New Roman" w:hAnsi="Times New Roman" w:cs="Times New Roman" w:eastAsia="Times New Roman"/>
                <w:b w:val="0"/>
                <w:sz w:val="17"/>
              </w:rPr>
              <w:t>Essai de pénétration au cône / avec mesure de pression interstitielle</w:t>
            </w:r>
          </w:p>
        </w:tc>
      </w:tr>
      <w:tr>
        <w:trPr>
          <w:cantSplit/>
        </w:trPr>
        <w:tc>
          <w:tcPr>
            <w:tcW w:type="dxa" w:w="4535"/>
            <w:vAlign w:val="center"/>
          </w:tcPr>
          <w:p>
            <w:pPr>
              <w:spacing w:after="30"/>
            </w:pPr>
            <w:r>
              <w:rPr>
                <w:rFonts w:ascii="Times New Roman" w:hAnsi="Times New Roman" w:cs="Times New Roman" w:eastAsia="Times New Roman"/>
                <w:b w:val="0"/>
                <w:sz w:val="17"/>
              </w:rPr>
              <w:t>CSR / CRR</w:t>
            </w:r>
          </w:p>
        </w:tc>
        <w:tc>
          <w:tcPr>
            <w:tcW w:type="dxa" w:w="4535"/>
            <w:vAlign w:val="center"/>
          </w:tcPr>
          <w:p>
            <w:pPr>
              <w:spacing w:after="30"/>
            </w:pPr>
            <w:r>
              <w:rPr>
                <w:rFonts w:ascii="Times New Roman" w:hAnsi="Times New Roman" w:cs="Times New Roman" w:eastAsia="Times New Roman"/>
                <w:b w:val="0"/>
                <w:sz w:val="17"/>
              </w:rPr>
              <w:t>Rapport de contrainte cyclique / rapport de résistance cyclique</w:t>
            </w:r>
          </w:p>
        </w:tc>
      </w:tr>
      <w:tr>
        <w:trPr>
          <w:cantSplit/>
        </w:trPr>
        <w:tc>
          <w:tcPr>
            <w:tcW w:type="dxa" w:w="4535"/>
            <w:vAlign w:val="center"/>
            <w:shd w:fill="F3F6F8"/>
          </w:tcPr>
          <w:p>
            <w:pPr>
              <w:spacing w:after="30"/>
            </w:pPr>
            <w:r>
              <w:rPr>
                <w:rFonts w:ascii="Times New Roman" w:hAnsi="Times New Roman" w:cs="Times New Roman" w:eastAsia="Times New Roman"/>
                <w:b w:val="0"/>
                <w:sz w:val="17"/>
              </w:rPr>
              <w:t>DMT</w:t>
            </w:r>
          </w:p>
        </w:tc>
        <w:tc>
          <w:tcPr>
            <w:tcW w:type="dxa" w:w="4535"/>
            <w:vAlign w:val="center"/>
            <w:shd w:fill="F3F6F8"/>
          </w:tcPr>
          <w:p>
            <w:pPr>
              <w:spacing w:after="30"/>
            </w:pPr>
            <w:r>
              <w:rPr>
                <w:rFonts w:ascii="Times New Roman" w:hAnsi="Times New Roman" w:cs="Times New Roman" w:eastAsia="Times New Roman"/>
                <w:b w:val="0"/>
                <w:sz w:val="17"/>
              </w:rPr>
              <w:t>Dilatomètre plat de Marchetti</w:t>
            </w:r>
          </w:p>
        </w:tc>
      </w:tr>
      <w:tr>
        <w:trPr>
          <w:cantSplit/>
        </w:trPr>
        <w:tc>
          <w:tcPr>
            <w:tcW w:type="dxa" w:w="4535"/>
            <w:vAlign w:val="center"/>
          </w:tcPr>
          <w:p>
            <w:pPr>
              <w:spacing w:after="30"/>
            </w:pPr>
            <w:r>
              <w:rPr>
                <w:rFonts w:ascii="Times New Roman" w:hAnsi="Times New Roman" w:cs="Times New Roman" w:eastAsia="Times New Roman"/>
                <w:b w:val="0"/>
                <w:sz w:val="17"/>
              </w:rPr>
              <w:t>DTR</w:t>
            </w:r>
          </w:p>
        </w:tc>
        <w:tc>
          <w:tcPr>
            <w:tcW w:type="dxa" w:w="4535"/>
            <w:vAlign w:val="center"/>
          </w:tcPr>
          <w:p>
            <w:pPr>
              <w:spacing w:after="30"/>
            </w:pPr>
            <w:r>
              <w:rPr>
                <w:rFonts w:ascii="Times New Roman" w:hAnsi="Times New Roman" w:cs="Times New Roman" w:eastAsia="Times New Roman"/>
                <w:b w:val="0"/>
                <w:sz w:val="17"/>
              </w:rPr>
              <w:t>Document technique réglementaire algérien</w:t>
            </w:r>
          </w:p>
        </w:tc>
      </w:tr>
      <w:tr>
        <w:trPr>
          <w:cantSplit/>
        </w:trPr>
        <w:tc>
          <w:tcPr>
            <w:tcW w:type="dxa" w:w="4535"/>
            <w:vAlign w:val="center"/>
            <w:shd w:fill="F3F6F8"/>
          </w:tcPr>
          <w:p>
            <w:pPr>
              <w:spacing w:after="30"/>
            </w:pPr>
            <w:r>
              <w:rPr>
                <w:rFonts w:ascii="Times New Roman" w:hAnsi="Times New Roman" w:cs="Times New Roman" w:eastAsia="Times New Roman"/>
                <w:b w:val="0"/>
                <w:sz w:val="17"/>
              </w:rPr>
              <w:t>ELU / ELS</w:t>
            </w:r>
          </w:p>
        </w:tc>
        <w:tc>
          <w:tcPr>
            <w:tcW w:type="dxa" w:w="4535"/>
            <w:vAlign w:val="center"/>
            <w:shd w:fill="F3F6F8"/>
          </w:tcPr>
          <w:p>
            <w:pPr>
              <w:spacing w:after="30"/>
            </w:pPr>
            <w:r>
              <w:rPr>
                <w:rFonts w:ascii="Times New Roman" w:hAnsi="Times New Roman" w:cs="Times New Roman" w:eastAsia="Times New Roman"/>
                <w:b w:val="0"/>
                <w:sz w:val="17"/>
              </w:rPr>
              <w:t>État limite ultime / état limite de service</w:t>
            </w:r>
          </w:p>
        </w:tc>
      </w:tr>
      <w:tr>
        <w:trPr>
          <w:cantSplit/>
        </w:trPr>
        <w:tc>
          <w:tcPr>
            <w:tcW w:type="dxa" w:w="4535"/>
            <w:vAlign w:val="center"/>
          </w:tcPr>
          <w:p>
            <w:pPr>
              <w:spacing w:after="30"/>
            </w:pPr>
            <w:r>
              <w:rPr>
                <w:rFonts w:ascii="Times New Roman" w:hAnsi="Times New Roman" w:cs="Times New Roman" w:eastAsia="Times New Roman"/>
                <w:b w:val="0"/>
                <w:sz w:val="17"/>
              </w:rPr>
              <w:t>ERT</w:t>
            </w:r>
          </w:p>
        </w:tc>
        <w:tc>
          <w:tcPr>
            <w:tcW w:type="dxa" w:w="4535"/>
            <w:vAlign w:val="center"/>
          </w:tcPr>
          <w:p>
            <w:pPr>
              <w:spacing w:after="30"/>
            </w:pPr>
            <w:r>
              <w:rPr>
                <w:rFonts w:ascii="Times New Roman" w:hAnsi="Times New Roman" w:cs="Times New Roman" w:eastAsia="Times New Roman"/>
                <w:b w:val="0"/>
                <w:sz w:val="17"/>
              </w:rPr>
              <w:t>Tomographie de résistivité électrique</w:t>
            </w:r>
          </w:p>
        </w:tc>
      </w:tr>
      <w:tr>
        <w:trPr>
          <w:cantSplit/>
        </w:trPr>
        <w:tc>
          <w:tcPr>
            <w:tcW w:type="dxa" w:w="4535"/>
            <w:vAlign w:val="center"/>
            <w:shd w:fill="F3F6F8"/>
          </w:tcPr>
          <w:p>
            <w:pPr>
              <w:spacing w:after="30"/>
            </w:pPr>
            <w:r>
              <w:rPr>
                <w:rFonts w:ascii="Times New Roman" w:hAnsi="Times New Roman" w:cs="Times New Roman" w:eastAsia="Times New Roman"/>
                <w:b w:val="0"/>
                <w:sz w:val="17"/>
              </w:rPr>
              <w:t>FHWA</w:t>
            </w:r>
          </w:p>
        </w:tc>
        <w:tc>
          <w:tcPr>
            <w:tcW w:type="dxa" w:w="4535"/>
            <w:vAlign w:val="center"/>
            <w:shd w:fill="F3F6F8"/>
          </w:tcPr>
          <w:p>
            <w:pPr>
              <w:spacing w:after="30"/>
            </w:pPr>
            <w:r>
              <w:rPr>
                <w:rFonts w:ascii="Times New Roman" w:hAnsi="Times New Roman" w:cs="Times New Roman" w:eastAsia="Times New Roman"/>
                <w:b w:val="0"/>
                <w:sz w:val="17"/>
              </w:rPr>
              <w:t>Federal Highway Administration</w:t>
            </w:r>
          </w:p>
        </w:tc>
      </w:tr>
      <w:tr>
        <w:trPr>
          <w:cantSplit/>
        </w:trPr>
        <w:tc>
          <w:tcPr>
            <w:tcW w:type="dxa" w:w="4535"/>
            <w:vAlign w:val="center"/>
          </w:tcPr>
          <w:p>
            <w:pPr>
              <w:spacing w:after="30"/>
            </w:pPr>
            <w:r>
              <w:rPr>
                <w:rFonts w:ascii="Times New Roman" w:hAnsi="Times New Roman" w:cs="Times New Roman" w:eastAsia="Times New Roman"/>
                <w:b w:val="0"/>
                <w:sz w:val="17"/>
              </w:rPr>
              <w:t>GPR</w:t>
            </w:r>
          </w:p>
        </w:tc>
        <w:tc>
          <w:tcPr>
            <w:tcW w:type="dxa" w:w="4535"/>
            <w:vAlign w:val="center"/>
          </w:tcPr>
          <w:p>
            <w:pPr>
              <w:spacing w:after="30"/>
            </w:pPr>
            <w:r>
              <w:rPr>
                <w:rFonts w:ascii="Times New Roman" w:hAnsi="Times New Roman" w:cs="Times New Roman" w:eastAsia="Times New Roman"/>
                <w:b w:val="0"/>
                <w:sz w:val="17"/>
              </w:rPr>
              <w:t>Géoradar (ground-penetrating radar)</w:t>
            </w:r>
          </w:p>
        </w:tc>
      </w:tr>
      <w:tr>
        <w:trPr>
          <w:cantSplit/>
        </w:trPr>
        <w:tc>
          <w:tcPr>
            <w:tcW w:type="dxa" w:w="4535"/>
            <w:vAlign w:val="center"/>
            <w:shd w:fill="F3F6F8"/>
          </w:tcPr>
          <w:p>
            <w:pPr>
              <w:spacing w:after="30"/>
            </w:pPr>
            <w:r>
              <w:rPr>
                <w:rFonts w:ascii="Times New Roman" w:hAnsi="Times New Roman" w:cs="Times New Roman" w:eastAsia="Times New Roman"/>
                <w:b w:val="0"/>
                <w:sz w:val="17"/>
              </w:rPr>
              <w:t>HDS / HEC</w:t>
            </w:r>
          </w:p>
        </w:tc>
        <w:tc>
          <w:tcPr>
            <w:tcW w:type="dxa" w:w="4535"/>
            <w:vAlign w:val="center"/>
            <w:shd w:fill="F3F6F8"/>
          </w:tcPr>
          <w:p>
            <w:pPr>
              <w:spacing w:after="30"/>
            </w:pPr>
            <w:r>
              <w:rPr>
                <w:rFonts w:ascii="Times New Roman" w:hAnsi="Times New Roman" w:cs="Times New Roman" w:eastAsia="Times New Roman"/>
                <w:b w:val="0"/>
                <w:sz w:val="17"/>
              </w:rPr>
              <w:t>Hydraulic Design Series / Hydraulic Engineering Circular</w:t>
            </w:r>
          </w:p>
        </w:tc>
      </w:tr>
      <w:tr>
        <w:trPr>
          <w:cantSplit/>
        </w:trPr>
        <w:tc>
          <w:tcPr>
            <w:tcW w:type="dxa" w:w="4535"/>
            <w:vAlign w:val="center"/>
          </w:tcPr>
          <w:p>
            <w:pPr>
              <w:spacing w:after="30"/>
            </w:pPr>
            <w:r>
              <w:rPr>
                <w:rFonts w:ascii="Times New Roman" w:hAnsi="Times New Roman" w:cs="Times New Roman" w:eastAsia="Times New Roman"/>
                <w:b w:val="0"/>
                <w:sz w:val="17"/>
              </w:rPr>
              <w:t>MASW / SASW</w:t>
            </w:r>
          </w:p>
        </w:tc>
        <w:tc>
          <w:tcPr>
            <w:tcW w:type="dxa" w:w="4535"/>
            <w:vAlign w:val="center"/>
          </w:tcPr>
          <w:p>
            <w:pPr>
              <w:spacing w:after="30"/>
            </w:pPr>
            <w:r>
              <w:rPr>
                <w:rFonts w:ascii="Times New Roman" w:hAnsi="Times New Roman" w:cs="Times New Roman" w:eastAsia="Times New Roman"/>
                <w:b w:val="0"/>
                <w:sz w:val="17"/>
              </w:rPr>
              <w:t>Analyse multicanale / spectrale des ondes de surface</w:t>
            </w:r>
          </w:p>
        </w:tc>
      </w:tr>
      <w:tr>
        <w:trPr>
          <w:cantSplit/>
        </w:trPr>
        <w:tc>
          <w:tcPr>
            <w:tcW w:type="dxa" w:w="4535"/>
            <w:vAlign w:val="center"/>
            <w:shd w:fill="F3F6F8"/>
          </w:tcPr>
          <w:p>
            <w:pPr>
              <w:spacing w:after="30"/>
            </w:pPr>
            <w:r>
              <w:rPr>
                <w:rFonts w:ascii="Times New Roman" w:hAnsi="Times New Roman" w:cs="Times New Roman" w:eastAsia="Times New Roman"/>
                <w:b w:val="0"/>
                <w:sz w:val="17"/>
              </w:rPr>
              <w:t>MHUV</w:t>
            </w:r>
          </w:p>
        </w:tc>
        <w:tc>
          <w:tcPr>
            <w:tcW w:type="dxa" w:w="4535"/>
            <w:vAlign w:val="center"/>
            <w:shd w:fill="F3F6F8"/>
          </w:tcPr>
          <w:p>
            <w:pPr>
              <w:spacing w:after="30"/>
            </w:pPr>
            <w:r>
              <w:rPr>
                <w:rFonts w:ascii="Times New Roman" w:hAnsi="Times New Roman" w:cs="Times New Roman" w:eastAsia="Times New Roman"/>
                <w:b w:val="0"/>
                <w:sz w:val="17"/>
              </w:rPr>
              <w:t>Ministère de l’Habitat, de l’Urbanisme et de la Ville (Algérie)</w:t>
            </w:r>
          </w:p>
        </w:tc>
      </w:tr>
      <w:tr>
        <w:trPr>
          <w:cantSplit/>
        </w:trPr>
        <w:tc>
          <w:tcPr>
            <w:tcW w:type="dxa" w:w="4535"/>
            <w:vAlign w:val="center"/>
          </w:tcPr>
          <w:p>
            <w:pPr>
              <w:spacing w:after="30"/>
            </w:pPr>
            <w:r>
              <w:rPr>
                <w:rFonts w:ascii="Times New Roman" w:hAnsi="Times New Roman" w:cs="Times New Roman" w:eastAsia="Times New Roman"/>
                <w:b w:val="0"/>
                <w:sz w:val="17"/>
              </w:rPr>
              <w:t>NF</w:t>
            </w:r>
          </w:p>
        </w:tc>
        <w:tc>
          <w:tcPr>
            <w:tcW w:type="dxa" w:w="4535"/>
            <w:vAlign w:val="center"/>
          </w:tcPr>
          <w:p>
            <w:pPr>
              <w:spacing w:after="30"/>
            </w:pPr>
            <w:r>
              <w:rPr>
                <w:rFonts w:ascii="Times New Roman" w:hAnsi="Times New Roman" w:cs="Times New Roman" w:eastAsia="Times New Roman"/>
                <w:b w:val="0"/>
                <w:sz w:val="17"/>
              </w:rPr>
              <w:t>Norme française</w:t>
            </w:r>
          </w:p>
        </w:tc>
      </w:tr>
      <w:tr>
        <w:trPr>
          <w:cantSplit/>
        </w:trPr>
        <w:tc>
          <w:tcPr>
            <w:tcW w:type="dxa" w:w="4535"/>
            <w:vAlign w:val="center"/>
            <w:shd w:fill="F3F6F8"/>
          </w:tcPr>
          <w:p>
            <w:pPr>
              <w:spacing w:after="30"/>
            </w:pPr>
            <w:r>
              <w:rPr>
                <w:rFonts w:ascii="Times New Roman" w:hAnsi="Times New Roman" w:cs="Times New Roman" w:eastAsia="Times New Roman"/>
                <w:b w:val="0"/>
                <w:sz w:val="17"/>
              </w:rPr>
              <w:t>N, N₆₀</w:t>
            </w:r>
          </w:p>
        </w:tc>
        <w:tc>
          <w:tcPr>
            <w:tcW w:type="dxa" w:w="4535"/>
            <w:vAlign w:val="center"/>
            <w:shd w:fill="F3F6F8"/>
          </w:tcPr>
          <w:p>
            <w:pPr>
              <w:spacing w:after="30"/>
            </w:pPr>
            <w:r>
              <w:rPr>
                <w:rFonts w:ascii="Times New Roman" w:hAnsi="Times New Roman" w:cs="Times New Roman" w:eastAsia="Times New Roman"/>
                <w:b w:val="0"/>
                <w:sz w:val="17"/>
              </w:rPr>
              <w:t>Résistance SPT mesurée ; valeur ramenée à une énergie de référence de 60 %</w:t>
            </w:r>
          </w:p>
        </w:tc>
      </w:tr>
      <w:tr>
        <w:trPr>
          <w:cantSplit/>
        </w:trPr>
        <w:tc>
          <w:tcPr>
            <w:tcW w:type="dxa" w:w="4535"/>
            <w:vAlign w:val="center"/>
          </w:tcPr>
          <w:p>
            <w:pPr>
              <w:spacing w:after="30"/>
            </w:pPr>
            <w:r>
              <w:rPr>
                <w:rFonts w:ascii="Times New Roman" w:hAnsi="Times New Roman" w:cs="Times New Roman" w:eastAsia="Times New Roman"/>
                <w:b w:val="0"/>
                <w:sz w:val="17"/>
              </w:rPr>
              <w:t>NTSB</w:t>
            </w:r>
          </w:p>
        </w:tc>
        <w:tc>
          <w:tcPr>
            <w:tcW w:type="dxa" w:w="4535"/>
            <w:vAlign w:val="center"/>
          </w:tcPr>
          <w:p>
            <w:pPr>
              <w:spacing w:after="30"/>
            </w:pPr>
            <w:r>
              <w:rPr>
                <w:rFonts w:ascii="Times New Roman" w:hAnsi="Times New Roman" w:cs="Times New Roman" w:eastAsia="Times New Roman"/>
                <w:b w:val="0"/>
                <w:sz w:val="17"/>
              </w:rPr>
              <w:t>National Transportation Safety Board</w:t>
            </w:r>
          </w:p>
        </w:tc>
      </w:tr>
      <w:tr>
        <w:trPr>
          <w:cantSplit/>
        </w:trPr>
        <w:tc>
          <w:tcPr>
            <w:tcW w:type="dxa" w:w="4535"/>
            <w:vAlign w:val="center"/>
            <w:shd w:fill="F3F6F8"/>
          </w:tcPr>
          <w:p>
            <w:pPr>
              <w:spacing w:after="30"/>
            </w:pPr>
            <w:r>
              <w:rPr>
                <w:rFonts w:ascii="Times New Roman" w:hAnsi="Times New Roman" w:cs="Times New Roman" w:eastAsia="Times New Roman"/>
                <w:b w:val="0"/>
                <w:sz w:val="17"/>
              </w:rPr>
              <w:t>PHE</w:t>
            </w:r>
          </w:p>
        </w:tc>
        <w:tc>
          <w:tcPr>
            <w:tcW w:type="dxa" w:w="4535"/>
            <w:vAlign w:val="center"/>
            <w:shd w:fill="F3F6F8"/>
          </w:tcPr>
          <w:p>
            <w:pPr>
              <w:spacing w:after="30"/>
            </w:pPr>
            <w:r>
              <w:rPr>
                <w:rFonts w:ascii="Times New Roman" w:hAnsi="Times New Roman" w:cs="Times New Roman" w:eastAsia="Times New Roman"/>
                <w:b w:val="0"/>
                <w:sz w:val="17"/>
              </w:rPr>
              <w:t>Plus hautes eaux, selon la définition du scénario de projet</w:t>
            </w:r>
          </w:p>
        </w:tc>
      </w:tr>
      <w:tr>
        <w:trPr>
          <w:cantSplit/>
        </w:trPr>
        <w:tc>
          <w:tcPr>
            <w:tcW w:type="dxa" w:w="4535"/>
            <w:vAlign w:val="center"/>
          </w:tcPr>
          <w:p>
            <w:pPr>
              <w:spacing w:after="30"/>
            </w:pPr>
            <w:r>
              <w:rPr>
                <w:rFonts w:ascii="Times New Roman" w:hAnsi="Times New Roman" w:cs="Times New Roman" w:eastAsia="Times New Roman"/>
                <w:b w:val="0"/>
                <w:sz w:val="17"/>
              </w:rPr>
              <w:t>PMT</w:t>
            </w:r>
          </w:p>
        </w:tc>
        <w:tc>
          <w:tcPr>
            <w:tcW w:type="dxa" w:w="4535"/>
            <w:vAlign w:val="center"/>
          </w:tcPr>
          <w:p>
            <w:pPr>
              <w:spacing w:after="30"/>
            </w:pPr>
            <w:r>
              <w:rPr>
                <w:rFonts w:ascii="Times New Roman" w:hAnsi="Times New Roman" w:cs="Times New Roman" w:eastAsia="Times New Roman"/>
                <w:b w:val="0"/>
                <w:sz w:val="17"/>
              </w:rPr>
              <w:t>Essai pressiométrique Ménard</w:t>
            </w:r>
          </w:p>
        </w:tc>
      </w:tr>
      <w:tr>
        <w:trPr>
          <w:cantSplit/>
        </w:trPr>
        <w:tc>
          <w:tcPr>
            <w:tcW w:type="dxa" w:w="4535"/>
            <w:vAlign w:val="center"/>
            <w:shd w:fill="F3F6F8"/>
          </w:tcPr>
          <w:p>
            <w:pPr>
              <w:spacing w:after="30"/>
            </w:pPr>
            <w:r>
              <w:rPr>
                <w:rFonts w:ascii="Times New Roman" w:hAnsi="Times New Roman" w:cs="Times New Roman" w:eastAsia="Times New Roman"/>
                <w:b w:val="0"/>
                <w:sz w:val="17"/>
              </w:rPr>
              <w:t>RMR</w:t>
            </w:r>
          </w:p>
        </w:tc>
        <w:tc>
          <w:tcPr>
            <w:tcW w:type="dxa" w:w="4535"/>
            <w:vAlign w:val="center"/>
            <w:shd w:fill="F3F6F8"/>
          </w:tcPr>
          <w:p>
            <w:pPr>
              <w:spacing w:after="30"/>
            </w:pPr>
            <w:r>
              <w:rPr>
                <w:rFonts w:ascii="Times New Roman" w:hAnsi="Times New Roman" w:cs="Times New Roman" w:eastAsia="Times New Roman"/>
                <w:b w:val="0"/>
                <w:sz w:val="17"/>
              </w:rPr>
              <w:t>Rock Mass Rating, classification géomécanique du massif rocheux</w:t>
            </w:r>
          </w:p>
        </w:tc>
      </w:tr>
      <w:tr>
        <w:trPr>
          <w:cantSplit/>
        </w:trPr>
        <w:tc>
          <w:tcPr>
            <w:tcW w:type="dxa" w:w="4535"/>
            <w:vAlign w:val="center"/>
          </w:tcPr>
          <w:p>
            <w:pPr>
              <w:spacing w:after="30"/>
            </w:pPr>
            <w:r>
              <w:rPr>
                <w:rFonts w:ascii="Times New Roman" w:hAnsi="Times New Roman" w:cs="Times New Roman" w:eastAsia="Times New Roman"/>
                <w:b w:val="0"/>
                <w:sz w:val="17"/>
              </w:rPr>
              <w:t>RPA / RPOA</w:t>
            </w:r>
          </w:p>
        </w:tc>
        <w:tc>
          <w:tcPr>
            <w:tcW w:type="dxa" w:w="4535"/>
            <w:vAlign w:val="center"/>
          </w:tcPr>
          <w:p>
            <w:pPr>
              <w:spacing w:after="30"/>
            </w:pPr>
            <w:r>
              <w:rPr>
                <w:rFonts w:ascii="Times New Roman" w:hAnsi="Times New Roman" w:cs="Times New Roman" w:eastAsia="Times New Roman"/>
                <w:b w:val="0"/>
                <w:sz w:val="17"/>
              </w:rPr>
              <w:t>Règlement parasismique algérien / règles parasismiques applicables aux ouvrages d’art</w:t>
            </w:r>
          </w:p>
        </w:tc>
      </w:tr>
      <w:tr>
        <w:trPr>
          <w:cantSplit/>
        </w:trPr>
        <w:tc>
          <w:tcPr>
            <w:tcW w:type="dxa" w:w="4535"/>
            <w:vAlign w:val="center"/>
            <w:shd w:fill="F3F6F8"/>
          </w:tcPr>
          <w:p>
            <w:pPr>
              <w:spacing w:after="30"/>
            </w:pPr>
            <w:r>
              <w:rPr>
                <w:rFonts w:ascii="Times New Roman" w:hAnsi="Times New Roman" w:cs="Times New Roman" w:eastAsia="Times New Roman"/>
                <w:b w:val="0"/>
                <w:sz w:val="17"/>
              </w:rPr>
              <w:t>RQD / TCR</w:t>
            </w:r>
          </w:p>
        </w:tc>
        <w:tc>
          <w:tcPr>
            <w:tcW w:type="dxa" w:w="4535"/>
            <w:vAlign w:val="center"/>
            <w:shd w:fill="F3F6F8"/>
          </w:tcPr>
          <w:p>
            <w:pPr>
              <w:spacing w:after="30"/>
            </w:pPr>
            <w:r>
              <w:rPr>
                <w:rFonts w:ascii="Times New Roman" w:hAnsi="Times New Roman" w:cs="Times New Roman" w:eastAsia="Times New Roman"/>
                <w:b w:val="0"/>
                <w:sz w:val="17"/>
              </w:rPr>
              <w:t>Indice de qualité du rocher / récupération totale de carotte</w:t>
            </w:r>
          </w:p>
        </w:tc>
      </w:tr>
      <w:tr>
        <w:trPr>
          <w:cantSplit/>
        </w:trPr>
        <w:tc>
          <w:tcPr>
            <w:tcW w:type="dxa" w:w="4535"/>
            <w:vAlign w:val="center"/>
          </w:tcPr>
          <w:p>
            <w:pPr>
              <w:spacing w:after="30"/>
            </w:pPr>
            <w:r>
              <w:rPr>
                <w:rFonts w:ascii="Times New Roman" w:hAnsi="Times New Roman" w:cs="Times New Roman" w:eastAsia="Times New Roman"/>
                <w:b w:val="0"/>
                <w:sz w:val="17"/>
              </w:rPr>
              <w:t>SPT</w:t>
            </w:r>
          </w:p>
        </w:tc>
        <w:tc>
          <w:tcPr>
            <w:tcW w:type="dxa" w:w="4535"/>
            <w:vAlign w:val="center"/>
          </w:tcPr>
          <w:p>
            <w:pPr>
              <w:spacing w:after="30"/>
            </w:pPr>
            <w:r>
              <w:rPr>
                <w:rFonts w:ascii="Times New Roman" w:hAnsi="Times New Roman" w:cs="Times New Roman" w:eastAsia="Times New Roman"/>
                <w:b w:val="0"/>
                <w:sz w:val="17"/>
              </w:rPr>
              <w:t>Essai de pénétration standard</w:t>
            </w:r>
          </w:p>
        </w:tc>
      </w:tr>
      <w:tr>
        <w:trPr>
          <w:cantSplit/>
        </w:trPr>
        <w:tc>
          <w:tcPr>
            <w:tcW w:type="dxa" w:w="4535"/>
            <w:vAlign w:val="center"/>
            <w:shd w:fill="F3F6F8"/>
          </w:tcPr>
          <w:p>
            <w:pPr>
              <w:spacing w:after="30"/>
            </w:pPr>
            <w:r>
              <w:rPr>
                <w:rFonts w:ascii="Times New Roman" w:hAnsi="Times New Roman" w:cs="Times New Roman" w:eastAsia="Times New Roman"/>
                <w:b w:val="0"/>
                <w:sz w:val="17"/>
              </w:rPr>
              <w:t>Vp / Vs</w:t>
            </w:r>
          </w:p>
        </w:tc>
        <w:tc>
          <w:tcPr>
            <w:tcW w:type="dxa" w:w="4535"/>
            <w:vAlign w:val="center"/>
            <w:shd w:fill="F3F6F8"/>
          </w:tcPr>
          <w:p>
            <w:pPr>
              <w:spacing w:after="30"/>
            </w:pPr>
            <w:r>
              <w:rPr>
                <w:rFonts w:ascii="Times New Roman" w:hAnsi="Times New Roman" w:cs="Times New Roman" w:eastAsia="Times New Roman"/>
                <w:b w:val="0"/>
                <w:sz w:val="17"/>
              </w:rPr>
              <w:t>Vitesse des ondes de compression / des ondes de cisaillement</w:t>
            </w:r>
          </w:p>
        </w:tc>
      </w:tr>
      <w:tr>
        <w:trPr>
          <w:cantSplit/>
        </w:trPr>
        <w:tc>
          <w:tcPr>
            <w:tcW w:type="dxa" w:w="4535"/>
            <w:vAlign w:val="center"/>
          </w:tcPr>
          <w:p>
            <w:pPr>
              <w:spacing w:after="30"/>
            </w:pPr>
            <w:r>
              <w:rPr>
                <w:rFonts w:ascii="Times New Roman" w:hAnsi="Times New Roman" w:cs="Times New Roman" w:eastAsia="Times New Roman"/>
                <w:b w:val="0"/>
                <w:sz w:val="17"/>
              </w:rPr>
              <w:t>qc, fs</w:t>
            </w:r>
          </w:p>
        </w:tc>
        <w:tc>
          <w:tcPr>
            <w:tcW w:type="dxa" w:w="4535"/>
            <w:vAlign w:val="center"/>
          </w:tcPr>
          <w:p>
            <w:pPr>
              <w:spacing w:after="30"/>
            </w:pPr>
            <w:r>
              <w:rPr>
                <w:rFonts w:ascii="Times New Roman" w:hAnsi="Times New Roman" w:cs="Times New Roman" w:eastAsia="Times New Roman"/>
                <w:b w:val="0"/>
                <w:sz w:val="17"/>
              </w:rPr>
              <w:t>Résistance de pointe et frottement latéral mesurés au CPT</w:t>
            </w:r>
          </w:p>
        </w:tc>
      </w:tr>
      <w:tr>
        <w:trPr>
          <w:cantSplit/>
        </w:trPr>
        <w:tc>
          <w:tcPr>
            <w:tcW w:type="dxa" w:w="4535"/>
            <w:vAlign w:val="center"/>
            <w:shd w:fill="F3F6F8"/>
          </w:tcPr>
          <w:p>
            <w:pPr>
              <w:spacing w:after="30"/>
            </w:pPr>
            <w:r>
              <w:rPr>
                <w:rFonts w:ascii="Times New Roman" w:hAnsi="Times New Roman" w:cs="Times New Roman" w:eastAsia="Times New Roman"/>
                <w:b w:val="0"/>
                <w:sz w:val="17"/>
              </w:rPr>
              <w:t>qt</w:t>
            </w:r>
          </w:p>
        </w:tc>
        <w:tc>
          <w:tcPr>
            <w:tcW w:type="dxa" w:w="4535"/>
            <w:vAlign w:val="center"/>
            <w:shd w:fill="F3F6F8"/>
          </w:tcPr>
          <w:p>
            <w:pPr>
              <w:spacing w:after="30"/>
            </w:pPr>
            <w:r>
              <w:rPr>
                <w:rFonts w:ascii="Times New Roman" w:hAnsi="Times New Roman" w:cs="Times New Roman" w:eastAsia="Times New Roman"/>
                <w:b w:val="0"/>
                <w:sz w:val="17"/>
              </w:rPr>
              <w:t>Résistance de pointe corrigée de la pression interstitielle en CPTu</w:t>
            </w:r>
          </w:p>
        </w:tc>
      </w:tr>
      <w:tr>
        <w:trPr>
          <w:cantSplit/>
        </w:trPr>
        <w:tc>
          <w:tcPr>
            <w:tcW w:type="dxa" w:w="4535"/>
            <w:vAlign w:val="center"/>
          </w:tcPr>
          <w:p>
            <w:pPr>
              <w:spacing w:after="30"/>
            </w:pPr>
            <w:r>
              <w:rPr>
                <w:rFonts w:ascii="Times New Roman" w:hAnsi="Times New Roman" w:cs="Times New Roman" w:eastAsia="Times New Roman"/>
                <w:b w:val="0"/>
                <w:sz w:val="17"/>
              </w:rPr>
              <w:t>u₂</w:t>
            </w:r>
          </w:p>
        </w:tc>
        <w:tc>
          <w:tcPr>
            <w:tcW w:type="dxa" w:w="4535"/>
            <w:vAlign w:val="center"/>
          </w:tcPr>
          <w:p>
            <w:pPr>
              <w:spacing w:after="30"/>
            </w:pPr>
            <w:r>
              <w:rPr>
                <w:rFonts w:ascii="Times New Roman" w:hAnsi="Times New Roman" w:cs="Times New Roman" w:eastAsia="Times New Roman"/>
                <w:b w:val="0"/>
                <w:sz w:val="17"/>
              </w:rPr>
              <w:t>Pression interstitielle mesurée à l’épaulement du cône, selon la configuration de l’essai</w:t>
            </w:r>
          </w:p>
        </w:tc>
      </w:tr>
      <w:tr>
        <w:trPr>
          <w:cantSplit/>
        </w:trPr>
        <w:tc>
          <w:tcPr>
            <w:tcW w:type="dxa" w:w="4535"/>
            <w:vAlign w:val="center"/>
            <w:shd w:fill="F3F6F8"/>
          </w:tcPr>
          <w:p>
            <w:pPr>
              <w:spacing w:after="30"/>
            </w:pPr>
            <w:r>
              <w:rPr>
                <w:rFonts w:ascii="Times New Roman" w:hAnsi="Times New Roman" w:cs="Times New Roman" w:eastAsia="Times New Roman"/>
                <w:b w:val="0"/>
                <w:sz w:val="17"/>
              </w:rPr>
              <w:t>EM, p*l</w:t>
            </w:r>
          </w:p>
        </w:tc>
        <w:tc>
          <w:tcPr>
            <w:tcW w:type="dxa" w:w="4535"/>
            <w:vAlign w:val="center"/>
            <w:shd w:fill="F3F6F8"/>
          </w:tcPr>
          <w:p>
            <w:pPr>
              <w:spacing w:after="30"/>
            </w:pPr>
            <w:r>
              <w:rPr>
                <w:rFonts w:ascii="Times New Roman" w:hAnsi="Times New Roman" w:cs="Times New Roman" w:eastAsia="Times New Roman"/>
                <w:b w:val="0"/>
                <w:sz w:val="17"/>
              </w:rPr>
              <w:t>Module pressiométrique Ménard et pression limite nette</w:t>
            </w:r>
          </w:p>
        </w:tc>
      </w:tr>
      <w:tr>
        <w:trPr>
          <w:cantSplit/>
        </w:trPr>
        <w:tc>
          <w:tcPr>
            <w:tcW w:type="dxa" w:w="4535"/>
            <w:vAlign w:val="center"/>
          </w:tcPr>
          <w:p>
            <w:pPr>
              <w:spacing w:after="30"/>
            </w:pPr>
            <w:r>
              <w:rPr>
                <w:rFonts w:ascii="Times New Roman" w:hAnsi="Times New Roman" w:cs="Times New Roman" w:eastAsia="Times New Roman"/>
                <w:b w:val="0"/>
                <w:sz w:val="17"/>
              </w:rPr>
              <w:t>ER</w:t>
            </w:r>
          </w:p>
        </w:tc>
        <w:tc>
          <w:tcPr>
            <w:tcW w:type="dxa" w:w="4535"/>
            <w:vAlign w:val="center"/>
          </w:tcPr>
          <w:p>
            <w:pPr>
              <w:spacing w:after="30"/>
            </w:pPr>
            <w:r>
              <w:rPr>
                <w:rFonts w:ascii="Times New Roman" w:hAnsi="Times New Roman" w:cs="Times New Roman" w:eastAsia="Times New Roman"/>
                <w:b w:val="0"/>
                <w:sz w:val="17"/>
              </w:rPr>
              <w:t>Rapport d’énergie mesuré lors du SPT, exprimé en pourcentage de l’énergie théorique</w:t>
            </w:r>
          </w:p>
        </w:tc>
      </w:tr>
      <w:tr>
        <w:trPr>
          <w:cantSplit/>
        </w:trPr>
        <w:tc>
          <w:tcPr>
            <w:tcW w:type="dxa" w:w="4535"/>
            <w:vAlign w:val="center"/>
            <w:shd w:fill="F3F6F8"/>
          </w:tcPr>
          <w:p>
            <w:pPr>
              <w:spacing w:after="30"/>
            </w:pPr>
            <w:r>
              <w:rPr>
                <w:rFonts w:ascii="Times New Roman" w:hAnsi="Times New Roman" w:cs="Times New Roman" w:eastAsia="Times New Roman"/>
                <w:b w:val="0"/>
                <w:sz w:val="17"/>
              </w:rPr>
              <w:t>γ′</w:t>
            </w:r>
          </w:p>
        </w:tc>
        <w:tc>
          <w:tcPr>
            <w:tcW w:type="dxa" w:w="4535"/>
            <w:vAlign w:val="center"/>
            <w:shd w:fill="F3F6F8"/>
          </w:tcPr>
          <w:p>
            <w:pPr>
              <w:spacing w:after="30"/>
            </w:pPr>
            <w:r>
              <w:rPr>
                <w:rFonts w:ascii="Times New Roman" w:hAnsi="Times New Roman" w:cs="Times New Roman" w:eastAsia="Times New Roman"/>
                <w:b w:val="0"/>
                <w:sz w:val="17"/>
              </w:rPr>
              <w:t>Poids volumique déjaugé</w:t>
            </w:r>
          </w:p>
        </w:tc>
      </w:tr>
      <w:tr>
        <w:trPr>
          <w:cantSplit/>
        </w:trPr>
        <w:tc>
          <w:tcPr>
            <w:tcW w:type="dxa" w:w="4535"/>
            <w:vAlign w:val="center"/>
          </w:tcPr>
          <w:p>
            <w:pPr>
              <w:spacing w:after="30"/>
            </w:pPr>
            <w:r>
              <w:rPr>
                <w:rFonts w:ascii="Times New Roman" w:hAnsi="Times New Roman" w:cs="Times New Roman" w:eastAsia="Times New Roman"/>
                <w:b w:val="0"/>
                <w:sz w:val="17"/>
              </w:rPr>
              <w:t>σ′v0</w:t>
            </w:r>
          </w:p>
        </w:tc>
        <w:tc>
          <w:tcPr>
            <w:tcW w:type="dxa" w:w="4535"/>
            <w:vAlign w:val="center"/>
          </w:tcPr>
          <w:p>
            <w:pPr>
              <w:spacing w:after="30"/>
            </w:pPr>
            <w:r>
              <w:rPr>
                <w:rFonts w:ascii="Times New Roman" w:hAnsi="Times New Roman" w:cs="Times New Roman" w:eastAsia="Times New Roman"/>
                <w:b w:val="0"/>
                <w:sz w:val="17"/>
              </w:rPr>
              <w:t>Contrainte verticale effective initiale</w:t>
            </w:r>
          </w:p>
        </w:tc>
      </w:tr>
    </w:tbl>
    <w:p>
      <w:pPr>
        <w:spacing w:after="20"/>
      </w:pPr>
    </w:p>
    <w:p>
      <w:pPr>
        <w:ind w:left="113" w:right="113"/>
        <w:shd w:fill="E8F1F5"/>
      </w:pPr>
      <w:r>
        <w:rPr>
          <w:rFonts w:ascii="Times New Roman" w:hAnsi="Times New Roman" w:cs="Times New Roman" w:eastAsia="Times New Roman"/>
          <w:b w:val="0"/>
          <w:sz w:val="24"/>
        </w:rPr>
        <w:t>Les sigles sont employés avec une signification unique dans le texte. Les symboles propres à une équation sont définis au voisinage de celle-ci.</w:t>
      </w:r>
    </w:p>
    <w:p>
      <w:r>
        <w:br w:type="page"/>
      </w:r>
    </w:p>
    <w:p>
      <w:pPr>
        <w:jc w:val="center"/>
      </w:pPr>
      <w:r>
        <w:rPr>
          <w:rFonts w:ascii="Times New Roman" w:hAnsi="Times New Roman" w:cs="Times New Roman" w:eastAsia="Times New Roman"/>
          <w:b/>
          <w:color w:val="1F4E79"/>
          <w:sz w:val="28"/>
        </w:rPr>
        <w:t>TABLE DES MATIÈRES</w:t>
      </w:r>
    </w:p>
    <w:p>
      <w:r>
        <w:fldChar w:fldCharType="begin" w:dirty="true"/>
      </w:r>
      <w:r>
        <w:instrText xml:space="preserve"> TOC \o "1-2" \h \z \u </w:instrText>
      </w:r>
      <w:r>
        <w:fldChar w:fldCharType="separate"/>
      </w:r>
      <w:r>
        <w:t>Dans Word : clic droit, puis « Mettre à jour les champs ».</w:t>
      </w:r>
      <w:r>
        <w:fldChar w:fldCharType="end"/>
      </w:r>
    </w:p>
    <w:p>
      <w:r>
        <w:rPr>
          <w:rFonts w:ascii="Times New Roman" w:hAnsi="Times New Roman" w:cs="Times New Roman" w:eastAsia="Times New Roman"/>
          <w:b w:val="0"/>
          <w:color w:val="59636B"/>
          <w:sz w:val="16"/>
        </w:rPr>
        <w:t>La table est un champ Word dynamique ; le PDF fournit la pagination fixe validée.</w:t>
      </w:r>
    </w:p>
    <w:p>
      <w:pPr>
        <w:sectPr>
          <w:headerReference w:type="default" r:id="rId9"/>
          <w:footerReference w:type="default" r:id="rId10"/>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INTRODUCTION GÉNÉRALE</w:t>
      </w:r>
    </w:p>
    <w:p>
      <w:pPr>
        <w:pStyle w:val="Heading2"/>
      </w:pPr>
      <w:r>
        <w:rPr>
          <w:rFonts w:ascii="Times New Roman" w:hAnsi="Times New Roman" w:cs="Times New Roman" w:eastAsia="Times New Roman"/>
          <w:b/>
          <w:color w:val="1F4E79"/>
          <w:sz w:val="24"/>
        </w:rPr>
        <w:t>1. Contexte et justification du sujet</w:t>
      </w:r>
    </w:p>
    <w:p>
      <w:pPr>
        <w:jc w:val="both"/>
      </w:pPr>
      <w:r>
        <w:rPr>
          <w:rFonts w:ascii="Times New Roman" w:hAnsi="Times New Roman" w:cs="Times New Roman" w:eastAsia="Times New Roman"/>
          <w:b w:val="0"/>
          <w:sz w:val="24"/>
        </w:rPr>
        <w:t>Un pont ne repose pas sur un terrain unique et stable dans le temps. Son tablier transmet des effets à des appuis distants, implantés dans des formations qui peuvent différer par leur origine, leur résistance, leur compressibilité et leur relation avec l’eau. Les piles et les culées modifient en retour l’écoulement, les contraintes et les déplacements du sol. La reconnaissance géotechnique doit donc décrire simultanément un terrain, un ouvrage et leurs interactions. Elle ne peut être réduite à la recherche d’une « couche porteuse » ou à une succession de valeurs de résistance.</w:t>
      </w:r>
    </w:p>
    <w:p>
      <w:pPr>
        <w:jc w:val="both"/>
      </w:pPr>
      <w:r>
        <w:rPr>
          <w:rFonts w:ascii="Times New Roman" w:hAnsi="Times New Roman" w:cs="Times New Roman" w:eastAsia="Times New Roman"/>
          <w:b w:val="0"/>
          <w:sz w:val="24"/>
        </w:rPr>
        <w:t>Cette exigence est ancienne, mais elle s’est transformée avec les ouvrages. Les piles de maçonnerie des ponts en arc, les fondations des ponts métalliques industriels, les appuis des tabliers en béton précontraint et les pylônes des grandes structures haubanées ne transmettent ni les mêmes effets ni les mêmes déplacements admissibles. L’augmentation des portées, la continuité des tabliers, les exigences sismiques et la durabilité attendue ont rendu plus importante la connaissance des déformations et des évolutions de site. Les synthèses de CHEN et DUAN (2014) permettent de relier cette évolution structurale à celle des fondations et des méthodes de construction.</w:t>
      </w:r>
    </w:p>
    <w:p>
      <w:pPr>
        <w:jc w:val="both"/>
      </w:pPr>
      <w:r>
        <w:rPr>
          <w:rFonts w:ascii="Times New Roman" w:hAnsi="Times New Roman" w:cs="Times New Roman" w:eastAsia="Times New Roman"/>
          <w:b w:val="0"/>
          <w:sz w:val="24"/>
        </w:rPr>
        <w:t>Le cours d’eau introduit une seconde différence majeure avec de nombreux bâtiments. Le lit et les berges peuvent se déplacer pendant la vie de l’ouvrage. Une crue modifie les vitesses, les niveaux d’eau, le transport solide et parfois la géométrie du chenal. L’affouillement n’est alors pas un simple enlèvement de sol autour d’une pile : il associe, selon le site, la dégradation à long terme, la contraction de l’écoulement et des processus locaux. Les guides HEC-18 et HEC-20 de la FHWA (2012a, 2012b) imposent ainsi une lecture conjointe de l’hydrologie, de l’hydraulique et de la morphodynamique.</w:t>
      </w:r>
    </w:p>
    <w:p>
      <w:pPr>
        <w:jc w:val="both"/>
      </w:pPr>
      <w:r>
        <w:rPr>
          <w:rFonts w:ascii="Times New Roman" w:hAnsi="Times New Roman" w:cs="Times New Roman" w:eastAsia="Times New Roman"/>
          <w:b w:val="0"/>
          <w:sz w:val="24"/>
        </w:rPr>
        <w:t>Enfin, la reconnaissance s’inscrit dans un processus de décision. Les normes et guides ne dispensent pas de raisonner : ils fournissent un cadre pour planifier les investigations, présenter les résultats et justifier les choix. L’Eurocode 7 distingue les règles générales de calcul et la reconnaissance des terrains (CEN, 2004, 2007). La NF P94-500 organise, dans son domaine, les missions géotechniques et les responsabilités (AFNOR, 2013). Les documents algériens applicables doivent également être identifiés à leur date et dans leur domaine, notamment le RPA 2024 et le DTR-BC 2.33 approuvé en 2024. Aucun de ces documents ne permet de déduire un programme de sondages identique pour tous les ponts.</w:t>
      </w:r>
    </w:p>
    <w:p>
      <w:pPr>
        <w:pStyle w:val="Heading2"/>
      </w:pPr>
      <w:r>
        <w:rPr>
          <w:rFonts w:ascii="Times New Roman" w:hAnsi="Times New Roman" w:cs="Times New Roman" w:eastAsia="Times New Roman"/>
          <w:b/>
          <w:color w:val="1F4E79"/>
          <w:sz w:val="24"/>
        </w:rPr>
        <w:t>2. Problématique</w:t>
      </w:r>
    </w:p>
    <w:p>
      <w:pPr>
        <w:jc w:val="both"/>
      </w:pPr>
      <w:r>
        <w:rPr>
          <w:rFonts w:ascii="Times New Roman" w:hAnsi="Times New Roman" w:cs="Times New Roman" w:eastAsia="Times New Roman"/>
          <w:b w:val="0"/>
          <w:sz w:val="24"/>
        </w:rPr>
        <w:t xml:space="preserve">Le problème central de ce mémoire peut être formulé ainsi : </w:t>
      </w:r>
      <w:r>
        <w:rPr>
          <w:rFonts w:ascii="Times New Roman" w:hAnsi="Times New Roman" w:cs="Times New Roman" w:eastAsia="Times New Roman"/>
          <w:b/>
          <w:sz w:val="24"/>
        </w:rPr>
        <w:t>comment construire, à partir de données nécessairement discontinues et incertaines, un modèle géotechnique suffisamment fiable pour choisir et justifier les fondations d’un pont, tout en tenant compte de l’évolution du site et de la vulnérabilité propre à chaque système structural ?</w:t>
      </w:r>
    </w:p>
    <w:p>
      <w:pPr>
        <w:jc w:val="both"/>
      </w:pPr>
      <w:r>
        <w:rPr>
          <w:rFonts w:ascii="Times New Roman" w:hAnsi="Times New Roman" w:cs="Times New Roman" w:eastAsia="Times New Roman"/>
          <w:b w:val="0"/>
          <w:sz w:val="24"/>
        </w:rPr>
        <w:t>Cette question contient quatre difficultés. La première est spatiale. Les sondages et essais renseignent des points ou des profils, alors que le modèle doit représenter un volume situé sous plusieurs appuis et le long d’un corridor. Les intervalles entre investigations ne sont pas des zones de certitude : ils contiennent des hypothèses de continuité qui doivent être explicitées.</w:t>
      </w:r>
    </w:p>
    <w:p>
      <w:pPr>
        <w:jc w:val="both"/>
      </w:pPr>
      <w:r>
        <w:rPr>
          <w:rFonts w:ascii="Times New Roman" w:hAnsi="Times New Roman" w:cs="Times New Roman" w:eastAsia="Times New Roman"/>
          <w:b w:val="0"/>
          <w:sz w:val="24"/>
        </w:rPr>
        <w:t>La deuxième difficulté est méthodologique. Un SPT, un CPT, un pressiomètre, un essai de laboratoire et un profil de résistivité ne mesurent pas la même grandeur. Leur rapprochement nécessite des corrections, des corrélations et un contrôle de cohérence. Une anomalie géophysique n’est pas, à elle seule, la preuve d’une cavité ; une valeur SPT brute n’est pas directement un paramètre de calcul ; une résistance de pointe CPT ne suffit pas à décrire la compressibilité de toutes les formations.</w:t>
      </w:r>
    </w:p>
    <w:p>
      <w:pPr>
        <w:jc w:val="both"/>
      </w:pPr>
      <w:r>
        <w:rPr>
          <w:rFonts w:ascii="Times New Roman" w:hAnsi="Times New Roman" w:cs="Times New Roman" w:eastAsia="Times New Roman"/>
          <w:b w:val="0"/>
          <w:sz w:val="24"/>
        </w:rPr>
        <w:t>La troisième difficulté est temporelle. Le modèle géotechnique pertinent ne se limite pas à l’état du site au jour de la campagne. La nappe varie, le lit se déplace, les berges peuvent reculer, des remblais tassent et des matériaux sont exposés à des agents chimiques. La reconnaissance doit donc produire des hypothèses sur les situations futures et préciser les données de suivi nécessaires.</w:t>
      </w:r>
    </w:p>
    <w:p>
      <w:pPr>
        <w:jc w:val="both"/>
      </w:pPr>
      <w:r>
        <w:rPr>
          <w:rFonts w:ascii="Times New Roman" w:hAnsi="Times New Roman" w:cs="Times New Roman" w:eastAsia="Times New Roman"/>
          <w:b w:val="0"/>
          <w:sz w:val="24"/>
        </w:rPr>
        <w:t>La quatrième difficulté concerne la preuve bibliographique. Les chiffres circulent facilement d’un document à l’autre : densités minimales de sondages, tassements « admissibles », pourcentages de ruptures, rapports économiques ou seuils de liquéfaction. Sans la population étudiée, le référentiel et les hypothèses initiales, ces valeurs deviennent trompeuses. Le présent travail privilégie par conséquent les relations causales et les conditions d’application aux nombres présentés comme universels.</w:t>
      </w:r>
    </w:p>
    <w:p>
      <w:pPr>
        <w:pStyle w:val="Heading2"/>
      </w:pPr>
      <w:r>
        <w:rPr>
          <w:rFonts w:ascii="Times New Roman" w:hAnsi="Times New Roman" w:cs="Times New Roman" w:eastAsia="Times New Roman"/>
          <w:b/>
          <w:color w:val="1F4E79"/>
          <w:sz w:val="24"/>
        </w:rPr>
        <w:t>3. Objectifs du mémoire</w:t>
      </w:r>
    </w:p>
    <w:p>
      <w:pPr>
        <w:jc w:val="both"/>
      </w:pPr>
      <w:r>
        <w:rPr>
          <w:rFonts w:ascii="Times New Roman" w:hAnsi="Times New Roman" w:cs="Times New Roman" w:eastAsia="Times New Roman"/>
          <w:b w:val="0"/>
          <w:sz w:val="24"/>
        </w:rPr>
        <w:t>L’objectif général est d’élaborer une lecture structurée des particularités de la reconnaissance géotechnique des ponts, utilisable pour préparer une étude et en évaluer la complétude. Cet objectif se décompose en six objectifs spécifiques :</w:t>
      </w:r>
    </w:p>
    <w:p>
      <w:pPr>
        <w:spacing w:after="40"/>
        <w:ind w:left="227" w:hanging="170"/>
      </w:pPr>
      <w:r>
        <w:rPr>
          <w:rFonts w:ascii="Times New Roman" w:hAnsi="Times New Roman" w:cs="Times New Roman" w:eastAsia="Times New Roman"/>
          <w:b w:val="0"/>
          <w:sz w:val="24"/>
        </w:rPr>
        <w:t>• retracer l’évolution des ponts et distinguer les besoins géotechniques des systèmes à poutres et dalles, des arcs, des ponts suspendus et des ponts haubanés ;</w:t>
      </w:r>
    </w:p>
    <w:p>
      <w:pPr>
        <w:spacing w:after="40"/>
        <w:ind w:left="227" w:hanging="170"/>
      </w:pPr>
      <w:r>
        <w:rPr>
          <w:rFonts w:ascii="Times New Roman" w:hAnsi="Times New Roman" w:cs="Times New Roman" w:eastAsia="Times New Roman"/>
          <w:b w:val="0"/>
          <w:sz w:val="24"/>
        </w:rPr>
        <w:t>• identifier les composantes du modèle de site : lithologie, géométrie des formations, discontinuités, eau souterraine, hydrologie, hydraulique, morphodynamique et sols problématiques ;</w:t>
      </w:r>
    </w:p>
    <w:p>
      <w:pPr>
        <w:spacing w:after="40"/>
        <w:ind w:left="227" w:hanging="170"/>
      </w:pPr>
      <w:r>
        <w:rPr>
          <w:rFonts w:ascii="Times New Roman" w:hAnsi="Times New Roman" w:cs="Times New Roman" w:eastAsia="Times New Roman"/>
          <w:b w:val="0"/>
          <w:sz w:val="24"/>
        </w:rPr>
        <w:t>• comparer les investigations et les essais selon les paramètres recherchés, les limitations de mesure, les conditions de mise en œuvre et la qualité des échantillons ;</w:t>
      </w:r>
    </w:p>
    <w:p>
      <w:pPr>
        <w:spacing w:after="40"/>
        <w:ind w:left="227" w:hanging="170"/>
      </w:pPr>
      <w:r>
        <w:rPr>
          <w:rFonts w:ascii="Times New Roman" w:hAnsi="Times New Roman" w:cs="Times New Roman" w:eastAsia="Times New Roman"/>
          <w:b w:val="0"/>
          <w:sz w:val="24"/>
        </w:rPr>
        <w:t>• analyser les principaux mécanismes de risque — affouillement, érosion interne, instabilité des berges et des pentes, tassements, liquéfaction, karst et agressivité — sans leur attribuer de hiérarchie universelle ;</w:t>
      </w:r>
    </w:p>
    <w:p>
      <w:pPr>
        <w:spacing w:after="40"/>
        <w:ind w:left="227" w:hanging="170"/>
      </w:pPr>
      <w:r>
        <w:rPr>
          <w:rFonts w:ascii="Times New Roman" w:hAnsi="Times New Roman" w:cs="Times New Roman" w:eastAsia="Times New Roman"/>
          <w:b w:val="0"/>
          <w:sz w:val="24"/>
        </w:rPr>
        <w:t>• relier les résultats au choix des fondations, aux déplacements de la structure, à la constructibilité, à la durabilité et au suivi ;</w:t>
      </w:r>
    </w:p>
    <w:p>
      <w:pPr>
        <w:spacing w:after="40"/>
        <w:ind w:left="227" w:hanging="170"/>
      </w:pPr>
      <w:r>
        <w:rPr>
          <w:rFonts w:ascii="Times New Roman" w:hAnsi="Times New Roman" w:cs="Times New Roman" w:eastAsia="Times New Roman"/>
          <w:b w:val="0"/>
          <w:sz w:val="24"/>
        </w:rPr>
        <w:t>• proposer une synthèse adaptée au contexte algérien, fondée sur des preuves identifiables et distinguant clairement les cas documentés, les analogies et les recommandations de l’auteur.</w:t>
      </w:r>
    </w:p>
    <w:p>
      <w:pPr>
        <w:jc w:val="both"/>
      </w:pPr>
      <w:r>
        <w:rPr>
          <w:rFonts w:ascii="Times New Roman" w:hAnsi="Times New Roman" w:cs="Times New Roman" w:eastAsia="Times New Roman"/>
          <w:b w:val="0"/>
          <w:sz w:val="24"/>
        </w:rPr>
        <w:t>Le résultat attendu n’est pas un programme de reconnaissance prêt à copier. C’est une chaîne de questions et de vérifications permettant de justifier un programme propre à un projet.</w:t>
      </w:r>
    </w:p>
    <w:p>
      <w:pPr>
        <w:pStyle w:val="Heading2"/>
      </w:pPr>
      <w:r>
        <w:rPr>
          <w:rFonts w:ascii="Times New Roman" w:hAnsi="Times New Roman" w:cs="Times New Roman" w:eastAsia="Times New Roman"/>
          <w:b/>
          <w:color w:val="1F4E79"/>
          <w:sz w:val="24"/>
        </w:rPr>
        <w:t>4. Démarche bibliographique</w:t>
      </w:r>
    </w:p>
    <w:p>
      <w:pPr>
        <w:pStyle w:val="Heading3"/>
      </w:pPr>
      <w:r>
        <w:rPr>
          <w:rFonts w:ascii="Times New Roman" w:hAnsi="Times New Roman" w:cs="Times New Roman" w:eastAsia="Times New Roman"/>
          <w:b/>
          <w:color w:val="233741"/>
          <w:sz w:val="24"/>
        </w:rPr>
        <w:t>4.1 Constitution et hiérarchie du corpus</w:t>
      </w:r>
    </w:p>
    <w:p>
      <w:pPr>
        <w:jc w:val="both"/>
      </w:pPr>
      <w:r>
        <w:rPr>
          <w:rFonts w:ascii="Times New Roman" w:hAnsi="Times New Roman" w:cs="Times New Roman" w:eastAsia="Times New Roman"/>
          <w:b w:val="0"/>
          <w:sz w:val="24"/>
        </w:rPr>
        <w:t>Le corpus associe des ouvrages de synthèse, des normes et règlements, des guides techniques institutionnels, des articles scientifiques et des études de cas. La bibliothèque fournie a d’abord été inventoriée sans présumer de la pertinence des fichiers. Le titre descriptif d’un fichier n’a pas été considéré comme une preuve de son contenu : les pages de garde, les métadonnées et le texte ont été contrôlés pour les documents effectivement retenus.</w:t>
      </w:r>
    </w:p>
    <w:p>
      <w:pPr>
        <w:jc w:val="both"/>
      </w:pPr>
      <w:r>
        <w:rPr>
          <w:rFonts w:ascii="Times New Roman" w:hAnsi="Times New Roman" w:cs="Times New Roman" w:eastAsia="Times New Roman"/>
          <w:b w:val="0"/>
          <w:sz w:val="24"/>
        </w:rPr>
        <w:t>Les références ont été hiérarchisées selon la nature de l’affirmation à documenter. Une norme ou un règlement est mobilisé pour son domaine et ses dispositions, non comme preuve d’une fréquence d’accidents. Un guide technique sert à expliciter une méthode et ses hypothèses. Un article de recherche apporte un résultat lié à ses matériaux, ses essais et son modèle. Un article de presse peut confirmer la date et les circonstances générales d’un événement, mais ne remplace pas un rapport d’expertise pour établir son mécanisme de rupture.</w:t>
      </w:r>
    </w:p>
    <w:p>
      <w:pPr>
        <w:jc w:val="both"/>
      </w:pPr>
      <w:r>
        <w:rPr>
          <w:rFonts w:ascii="Times New Roman" w:hAnsi="Times New Roman" w:cs="Times New Roman" w:eastAsia="Times New Roman"/>
          <w:b w:val="0"/>
          <w:sz w:val="24"/>
        </w:rPr>
        <w:t>Les références absentes mais nécessaires à une correction ont fait l’objet d’une recherche ciblée. Les notices bibliographiques ont été rapprochées des pages éditeur, des DOI ou des documents officiels. La bibliographie finale ne conserve que les références citées dans le texte ; elle n’a pas pour objectif de maximiser le nombre de titres.</w:t>
      </w:r>
    </w:p>
    <w:p>
      <w:pPr>
        <w:pStyle w:val="Heading3"/>
      </w:pPr>
      <w:r>
        <w:rPr>
          <w:rFonts w:ascii="Times New Roman" w:hAnsi="Times New Roman" w:cs="Times New Roman" w:eastAsia="Times New Roman"/>
          <w:b/>
          <w:color w:val="233741"/>
          <w:sz w:val="24"/>
        </w:rPr>
        <w:t>4.2 Lecture critique et règles d’utilisation des résultats</w:t>
      </w:r>
    </w:p>
    <w:p>
      <w:pPr>
        <w:jc w:val="both"/>
      </w:pPr>
      <w:r>
        <w:rPr>
          <w:rFonts w:ascii="Times New Roman" w:hAnsi="Times New Roman" w:cs="Times New Roman" w:eastAsia="Times New Roman"/>
          <w:b w:val="0"/>
          <w:sz w:val="24"/>
        </w:rPr>
        <w:t>Chaque information retenue est examinée selon quatre questions : que mesure réellement la source ? Sur quel matériau, quel ouvrage ou quelle population porte-t-elle ? Quelles hypothèses encadrent le résultat ? Quelle décision peut raisonnablement en être tirée ? Cette discipline évite deux écueils : rejeter un résultat local utile et, inversement, le transformer en règle générale.</w:t>
      </w:r>
    </w:p>
    <w:p>
      <w:pPr>
        <w:jc w:val="both"/>
      </w:pPr>
      <w:r>
        <w:rPr>
          <w:rFonts w:ascii="Times New Roman" w:hAnsi="Times New Roman" w:cs="Times New Roman" w:eastAsia="Times New Roman"/>
          <w:b w:val="0"/>
          <w:sz w:val="24"/>
        </w:rPr>
        <w:t>Les valeurs numériques sont conservées lorsqu’elles sont indispensables à une définition, à une formule vérifiée ou à un résultat clairement borné. Les seuils dépendant d’un règlement sont rattachés à son édition et à son domaine. Les corrélations empiriques sont présentées comme telles, avec leur dispersion et leurs limites. Lorsque la source primaire n’a pas pu être identifiée, l’affirmation quantitative est supprimée plutôt que complétée par conjecture.</w:t>
      </w:r>
    </w:p>
    <w:p>
      <w:pPr>
        <w:jc w:val="both"/>
      </w:pPr>
      <w:r>
        <w:rPr>
          <w:rFonts w:ascii="Times New Roman" w:hAnsi="Times New Roman" w:cs="Times New Roman" w:eastAsia="Times New Roman"/>
          <w:b w:val="0"/>
          <w:sz w:val="24"/>
        </w:rPr>
        <w:t>Les études de cas sont présentées sous une forme homogène : événement ou problème, données disponibles, résultat établi, limite de preuve et enseignement méthodologique. Cette présentation sépare ce que la source dit de ce que le mémoire en déduit.</w:t>
      </w:r>
    </w:p>
    <w:p>
      <w:pPr>
        <w:pStyle w:val="Heading3"/>
      </w:pPr>
      <w:r>
        <w:rPr>
          <w:rFonts w:ascii="Times New Roman" w:hAnsi="Times New Roman" w:cs="Times New Roman" w:eastAsia="Times New Roman"/>
          <w:b/>
          <w:color w:val="233741"/>
          <w:sz w:val="24"/>
        </w:rPr>
        <w:t>4.3 Méthode de synthèse</w:t>
      </w:r>
    </w:p>
    <w:p>
      <w:pPr>
        <w:jc w:val="both"/>
      </w:pPr>
      <w:r>
        <w:rPr>
          <w:rFonts w:ascii="Times New Roman" w:hAnsi="Times New Roman" w:cs="Times New Roman" w:eastAsia="Times New Roman"/>
          <w:b w:val="0"/>
          <w:sz w:val="24"/>
        </w:rPr>
        <w:t>La synthèse suit le chemin des données vers la décision. Elle part des fonctions de l’ouvrage et du modèle de site, compare les méthodes d’investigation, analyse les mécanismes de risque, puis examine l’interprétation pour les fondations. Les tableaux sont utilisés pour comparer des conditions et non pour attribuer automatiquement une solution. Les figures sont des schémas de synthèse réalisés pour ce mémoire ; elles illustrent des relations et ne constituent pas des plans d’exécution.</w:t>
      </w:r>
    </w:p>
    <w:p>
      <w:pPr>
        <w:jc w:val="both"/>
      </w:pPr>
      <w:r>
        <w:rPr>
          <w:rFonts w:ascii="Times New Roman" w:hAnsi="Times New Roman" w:cs="Times New Roman" w:eastAsia="Times New Roman"/>
          <w:b w:val="0"/>
          <w:sz w:val="24"/>
        </w:rPr>
        <w:t xml:space="preserve">La révision distingue enfin trois niveaux d’énoncé : le </w:t>
      </w:r>
      <w:r>
        <w:rPr>
          <w:rFonts w:ascii="Times New Roman" w:hAnsi="Times New Roman" w:cs="Times New Roman" w:eastAsia="Times New Roman"/>
          <w:b/>
          <w:sz w:val="24"/>
        </w:rPr>
        <w:t>fait rapporté</w:t>
      </w:r>
      <w:r>
        <w:rPr>
          <w:rFonts w:ascii="Times New Roman" w:hAnsi="Times New Roman" w:cs="Times New Roman" w:eastAsia="Times New Roman"/>
          <w:b w:val="0"/>
          <w:sz w:val="24"/>
        </w:rPr>
        <w:t>, rattaché à une source ; l’</w:t>
      </w:r>
      <w:r>
        <w:rPr>
          <w:rFonts w:ascii="Times New Roman" w:hAnsi="Times New Roman" w:cs="Times New Roman" w:eastAsia="Times New Roman"/>
          <w:b/>
          <w:sz w:val="24"/>
        </w:rPr>
        <w:t>interprétation</w:t>
      </w:r>
      <w:r>
        <w:rPr>
          <w:rFonts w:ascii="Times New Roman" w:hAnsi="Times New Roman" w:cs="Times New Roman" w:eastAsia="Times New Roman"/>
          <w:b w:val="0"/>
          <w:sz w:val="24"/>
        </w:rPr>
        <w:t xml:space="preserve">, qui explique un mécanisme ou une conséquence ; et la </w:t>
      </w:r>
      <w:r>
        <w:rPr>
          <w:rFonts w:ascii="Times New Roman" w:hAnsi="Times New Roman" w:cs="Times New Roman" w:eastAsia="Times New Roman"/>
          <w:b/>
          <w:sz w:val="24"/>
        </w:rPr>
        <w:t>recommandation</w:t>
      </w:r>
      <w:r>
        <w:rPr>
          <w:rFonts w:ascii="Times New Roman" w:hAnsi="Times New Roman" w:cs="Times New Roman" w:eastAsia="Times New Roman"/>
          <w:b w:val="0"/>
          <w:sz w:val="24"/>
        </w:rPr>
        <w:t>, qui propose une démarche pour un projet futur. Cette distinction est essentielle dans un travail bibliographique.</w:t>
      </w:r>
    </w:p>
    <w:p>
      <w:pPr>
        <w:pStyle w:val="Heading2"/>
      </w:pPr>
      <w:r>
        <w:rPr>
          <w:rFonts w:ascii="Times New Roman" w:hAnsi="Times New Roman" w:cs="Times New Roman" w:eastAsia="Times New Roman"/>
          <w:b/>
          <w:color w:val="1F4E79"/>
          <w:sz w:val="24"/>
        </w:rPr>
        <w:t>5. Limites du travail</w:t>
      </w:r>
    </w:p>
    <w:p>
      <w:pPr>
        <w:jc w:val="both"/>
      </w:pPr>
      <w:r>
        <w:rPr>
          <w:rFonts w:ascii="Times New Roman" w:hAnsi="Times New Roman" w:cs="Times New Roman" w:eastAsia="Times New Roman"/>
          <w:b w:val="0"/>
          <w:sz w:val="24"/>
        </w:rPr>
        <w:t>Ce mémoire est une étude bibliographique et théorique. Il ne comprend ni reconnaissance de terrain, ni programme d’essais original, ni modélisation numérique nouvelle, ni enquête statistique sur les pratiques des bureaux d’études. Il ne présente donc pas de résultats expérimentaux inédits et ne prétend pas représenter quantitativement l’ensemble des ponts algériens.</w:t>
      </w:r>
    </w:p>
    <w:p>
      <w:pPr>
        <w:jc w:val="both"/>
      </w:pPr>
      <w:r>
        <w:rPr>
          <w:rFonts w:ascii="Times New Roman" w:hAnsi="Times New Roman" w:cs="Times New Roman" w:eastAsia="Times New Roman"/>
          <w:b w:val="0"/>
          <w:sz w:val="24"/>
        </w:rPr>
        <w:t>Les références disponibles ne couvrent pas uniformément toutes les régions, tous les matériaux et toutes les méthodes. Certains sinistres ne sont documentés que par des sources secondaires. Dans ce cas, le récit est limité aux faits réellement établis et les causes techniques restent qualifiées. Les textes réglementaires sont cités selon les documents accessibles au moment de l’étude ; leur version contractuelle et leurs annexes nationales doivent être vérifiées pour tout projet réel.</w:t>
      </w:r>
    </w:p>
    <w:p>
      <w:pPr>
        <w:jc w:val="both"/>
      </w:pPr>
      <w:r>
        <w:rPr>
          <w:rFonts w:ascii="Times New Roman" w:hAnsi="Times New Roman" w:cs="Times New Roman" w:eastAsia="Times New Roman"/>
          <w:b w:val="0"/>
          <w:sz w:val="24"/>
        </w:rPr>
        <w:t>La démarche proposée ne remplace ni la responsabilité du géotechnicien, ni les missions de conception, ni l’expertise d’un ouvrage existant. Elle constitue un cadre de lecture et de revue.</w:t>
      </w:r>
    </w:p>
    <w:p>
      <w:pPr>
        <w:pStyle w:val="Heading2"/>
      </w:pPr>
      <w:r>
        <w:rPr>
          <w:rFonts w:ascii="Times New Roman" w:hAnsi="Times New Roman" w:cs="Times New Roman" w:eastAsia="Times New Roman"/>
          <w:b/>
          <w:color w:val="1F4E79"/>
          <w:sz w:val="24"/>
        </w:rPr>
        <w:t>6. Organisation du mémoire</w:t>
      </w:r>
    </w:p>
    <w:p>
      <w:pPr>
        <w:jc w:val="both"/>
      </w:pPr>
      <w:r>
        <w:rPr>
          <w:rFonts w:ascii="Times New Roman" w:hAnsi="Times New Roman" w:cs="Times New Roman" w:eastAsia="Times New Roman"/>
          <w:b w:val="0"/>
          <w:sz w:val="24"/>
        </w:rPr>
        <w:t>Le chapitre I présente l’évolution des ponts, quatre familles structurales et les exigences transmises aux appuis et aux fondations. Le chapitre II construit le modèle géologique, hydrogéologique et hydraulique du site. Le chapitre III compare les investigations, les essais in situ, les essais de laboratoire et la géophysique, puis définit un programme adaptatif.</w:t>
      </w:r>
    </w:p>
    <w:p>
      <w:pPr>
        <w:jc w:val="both"/>
      </w:pPr>
      <w:r>
        <w:rPr>
          <w:rFonts w:ascii="Times New Roman" w:hAnsi="Times New Roman" w:cs="Times New Roman" w:eastAsia="Times New Roman"/>
          <w:b w:val="0"/>
          <w:sz w:val="24"/>
        </w:rPr>
        <w:t>Le chapitre IV analyse les risques propres aux ponts et leurs interactions. Le chapitre V suit le passage des données aux paramètres et aux décisions de fondation, en insistant sur les déplacements, les incertitudes, l’exécution et la méthode observationnelle. Le chapitre VI transpose ces principes au contexte algérien et examine les apports et limites de plusieurs études de cas. La conclusion générale dégage les enseignements et les conditions d’une reconnaissance vérifiable. Des annexes fournissent des grilles de revue pour conserver la traçabilité du raisonnement.</w:t>
      </w:r>
    </w:p>
    <w:p>
      <w:pPr>
        <w:sectPr>
          <w:headerReference w:type="default" r:id="rId13"/>
          <w:footerReference w:type="default" r:id="rId14"/>
          <w:headerReference w:type="first" r:id="rId15"/>
          <w:footerReference w:type="first" r:id="rId16"/>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I — ÉVOLUTION DES PONTS ET EXIGENCES GÉOTECHNIQUES</w:t>
      </w:r>
    </w:p>
    <w:p>
      <w:pPr>
        <w:pStyle w:val="Heading2"/>
      </w:pPr>
      <w:r>
        <w:rPr>
          <w:rFonts w:ascii="Times New Roman" w:hAnsi="Times New Roman" w:cs="Times New Roman" w:eastAsia="Times New Roman"/>
          <w:b/>
          <w:color w:val="1F4E79"/>
          <w:sz w:val="24"/>
        </w:rPr>
        <w:t>I.1 Introduction</w:t>
      </w:r>
    </w:p>
    <w:p>
      <w:pPr>
        <w:jc w:val="both"/>
      </w:pPr>
      <w:r>
        <w:rPr>
          <w:rFonts w:ascii="Times New Roman" w:hAnsi="Times New Roman" w:cs="Times New Roman" w:eastAsia="Times New Roman"/>
          <w:b w:val="0"/>
          <w:sz w:val="24"/>
        </w:rPr>
        <w:t>Comprendre la reconnaissance géotechnique des ponts suppose d’abord de comprendre ce que l’ouvrage demande au terrain. La géométrie du tablier, le fonctionnement des appuis, le mode de construction et la durée de service déterminent les effets transmis et les déplacements qui peuvent être acceptés. Une même formation ne présente donc pas le même « aptitude » pour deux structures différentes.</w:t>
      </w:r>
    </w:p>
    <w:p>
      <w:pPr>
        <w:jc w:val="both"/>
      </w:pPr>
      <w:r>
        <w:rPr>
          <w:rFonts w:ascii="Times New Roman" w:hAnsi="Times New Roman" w:cs="Times New Roman" w:eastAsia="Times New Roman"/>
          <w:b w:val="0"/>
          <w:sz w:val="24"/>
        </w:rPr>
        <w:t>Ce chapitre replace les fondations dans la chaîne complète de l’ouvrage. Il retrace les grandes étapes de l’évolution des ponts, puis distingue quatre familles structurales : les poutres et dalles, les arcs, les ponts suspendus et les ponts haubanés. Cette classification ne remplace pas celles fondées sur le matériau, l’usage ou la portée ; elle répond à une question précise : comment les charges parviennent-elles au sol et quels mouvements peuvent modifier ce transfert ?</w:t>
      </w:r>
    </w:p>
    <w:p>
      <w:pPr>
        <w:pStyle w:val="Heading2"/>
      </w:pPr>
      <w:r>
        <w:rPr>
          <w:rFonts w:ascii="Times New Roman" w:hAnsi="Times New Roman" w:cs="Times New Roman" w:eastAsia="Times New Roman"/>
          <w:b/>
          <w:color w:val="1F4E79"/>
          <w:sz w:val="24"/>
        </w:rPr>
        <w:t>I.2 Éléments constitutifs et chaîne de transmission</w:t>
      </w:r>
    </w:p>
    <w:p>
      <w:pPr>
        <w:pStyle w:val="Heading3"/>
      </w:pPr>
      <w:r>
        <w:rPr>
          <w:rFonts w:ascii="Times New Roman" w:hAnsi="Times New Roman" w:cs="Times New Roman" w:eastAsia="Times New Roman"/>
          <w:b/>
          <w:color w:val="233741"/>
          <w:sz w:val="24"/>
        </w:rPr>
        <w:t>I.2.1 Du tablier au terrain</w:t>
      </w:r>
    </w:p>
    <w:p>
      <w:pPr>
        <w:jc w:val="both"/>
      </w:pPr>
      <w:r>
        <w:rPr>
          <w:rFonts w:ascii="Times New Roman" w:hAnsi="Times New Roman" w:cs="Times New Roman" w:eastAsia="Times New Roman"/>
          <w:b w:val="0"/>
          <w:sz w:val="24"/>
        </w:rPr>
        <w:t>Le tablier assure le franchissement et supporte directement les actions d’exploitation. Les appareils d’appui, lorsqu’ils existent, organisent les déplacements et rotations entre le tablier et les appuis. Les piles soutiennent les travées intermédiaires ; les culées relient l’ouvrage aux remblais d’accès et reprennent des effets verticaux et horizontaux. Les fondations répartissent enfin les actions dans le terrain.</w:t>
      </w:r>
    </w:p>
    <w:p>
      <w:pPr>
        <w:jc w:val="both"/>
      </w:pPr>
      <w:r>
        <w:rPr>
          <w:rFonts w:ascii="Times New Roman" w:hAnsi="Times New Roman" w:cs="Times New Roman" w:eastAsia="Times New Roman"/>
          <w:b w:val="0"/>
          <w:sz w:val="24"/>
        </w:rPr>
        <w:t>La figure I.1 rappelle que cette chaîne inclut l’eau et le substratum. Une modification du lit peut réduire l’encastrement d’une fondation ; une variation de nappe change les contraintes effectives ; un tassement de remblai peut solliciter la culée et les pieux qui la traversent. Le modèle géotechnique doit donc couvrir les appuis, les accès et la zone d’influence de l’ouvrage, et non seulement le point situé sous une semelle.</w:t>
      </w:r>
    </w:p>
    <w:p>
      <w:pPr>
        <w:keepNext/>
        <w:jc w:val="center"/>
      </w:pPr>
      <w:r>
        <w:drawing>
          <wp:inline xmlns:a="http://schemas.openxmlformats.org/drawingml/2006/main" xmlns:pic="http://schemas.openxmlformats.org/drawingml/2006/picture">
            <wp:extent cx="5760000" cy="3385886"/>
            <wp:docPr id="3" name="Picture 3"/>
            <wp:cNvGraphicFramePr>
              <a:graphicFrameLocks noChangeAspect="1"/>
            </wp:cNvGraphicFramePr>
            <a:graphic>
              <a:graphicData uri="http://schemas.openxmlformats.org/drawingml/2006/picture">
                <pic:pic>
                  <pic:nvPicPr>
                    <pic:cNvPr id="0" name="bridge_components.png"/>
                    <pic:cNvPicPr/>
                  </pic:nvPicPr>
                  <pic:blipFill>
                    <a:blip r:embed="rId21"/>
                    <a:stretch>
                      <a:fillRect/>
                    </a:stretch>
                  </pic:blipFill>
                  <pic:spPr>
                    <a:xfrm>
                      <a:off x="0" y="0"/>
                      <a:ext cx="5760000" cy="3385886"/>
                    </a:xfrm>
                    <a:prstGeom prst="rect"/>
                  </pic:spPr>
                </pic:pic>
              </a:graphicData>
            </a:graphic>
          </wp:inline>
        </w:drawing>
      </w:r>
    </w:p>
    <w:p>
      <w:bookmarkStart w:id="10" w:name="BM_FIGI_1"/>
      <w:pPr>
        <w:jc w:val="center"/>
      </w:pPr>
      <w:r>
        <w:rPr>
          <w:rFonts w:ascii="Times New Roman" w:hAnsi="Times New Roman" w:cs="Times New Roman" w:eastAsia="Times New Roman"/>
          <w:b/>
          <w:sz w:val="20"/>
        </w:rPr>
        <w:t>Figure I.1 — Éléments constitutifs et relation avec le terrain et l’eau</w:t>
      </w:r>
      <w:bookmarkEnd w:id="10"/>
    </w:p>
    <w:p>
      <w:pPr>
        <w:jc w:val="right"/>
      </w:pPr>
      <w:r>
        <w:rPr>
          <w:rFonts w:ascii="Times New Roman" w:hAnsi="Times New Roman" w:cs="Times New Roman" w:eastAsia="Times New Roman"/>
          <w:b w:val="0"/>
          <w:color w:val="59636B"/>
          <w:sz w:val="20"/>
        </w:rPr>
        <w:t>Source : schéma original de synthèse, sans dimensions normatives.</w:t>
      </w:r>
    </w:p>
    <w:p>
      <w:bookmarkStart w:id="11" w:name="BM_TABI_1"/>
      <w:pPr>
        <w:keepNext/>
        <w:jc w:val="center"/>
      </w:pPr>
      <w:r>
        <w:rPr>
          <w:rFonts w:ascii="Times New Roman" w:hAnsi="Times New Roman" w:cs="Times New Roman" w:eastAsia="Times New Roman"/>
          <w:b/>
          <w:sz w:val="20"/>
        </w:rPr>
        <w:t>Tableau I.1 — Éléments de l’ouvrage et données géotechniques associées</w:t>
      </w:r>
      <w:bookmarkEnd w:id="1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Élément</w:t>
            </w:r>
          </w:p>
        </w:tc>
        <w:tc>
          <w:tcPr>
            <w:tcW w:type="dxa" w:w="3628"/>
            <w:vAlign w:val="center"/>
            <w:shd w:fill="1F4E79"/>
          </w:tcPr>
          <w:p>
            <w:pPr>
              <w:spacing w:after="30"/>
            </w:pPr>
            <w:r>
              <w:rPr>
                <w:rFonts w:ascii="Times New Roman" w:hAnsi="Times New Roman" w:cs="Times New Roman" w:eastAsia="Times New Roman"/>
                <w:b/>
                <w:color w:val="FFFFFF"/>
                <w:sz w:val="17"/>
              </w:rPr>
              <w:t>Fonction structurale principale</w:t>
            </w:r>
          </w:p>
        </w:tc>
        <w:tc>
          <w:tcPr>
            <w:tcW w:type="dxa" w:w="3628"/>
            <w:vAlign w:val="center"/>
            <w:shd w:fill="1F4E79"/>
          </w:tcPr>
          <w:p>
            <w:pPr>
              <w:spacing w:after="30"/>
            </w:pPr>
            <w:r>
              <w:rPr>
                <w:rFonts w:ascii="Times New Roman" w:hAnsi="Times New Roman" w:cs="Times New Roman" w:eastAsia="Times New Roman"/>
                <w:b/>
                <w:color w:val="FFFFFF"/>
                <w:sz w:val="17"/>
              </w:rPr>
              <w:t>Données du site à relier</w:t>
            </w:r>
          </w:p>
        </w:tc>
      </w:tr>
      <w:tr>
        <w:trPr>
          <w:cantSplit/>
        </w:trPr>
        <w:tc>
          <w:tcPr>
            <w:tcW w:type="dxa" w:w="1814"/>
            <w:vAlign w:val="center"/>
          </w:tcPr>
          <w:p>
            <w:pPr>
              <w:spacing w:after="30"/>
            </w:pPr>
            <w:r>
              <w:rPr>
                <w:rFonts w:ascii="Times New Roman" w:hAnsi="Times New Roman" w:cs="Times New Roman" w:eastAsia="Times New Roman"/>
                <w:b w:val="0"/>
                <w:sz w:val="17"/>
              </w:rPr>
              <w:t>Tablier</w:t>
            </w:r>
          </w:p>
        </w:tc>
        <w:tc>
          <w:tcPr>
            <w:tcW w:type="dxa" w:w="3628"/>
            <w:vAlign w:val="center"/>
          </w:tcPr>
          <w:p>
            <w:pPr>
              <w:spacing w:after="30"/>
            </w:pPr>
            <w:r>
              <w:rPr>
                <w:rFonts w:ascii="Times New Roman" w:hAnsi="Times New Roman" w:cs="Times New Roman" w:eastAsia="Times New Roman"/>
                <w:b w:val="0"/>
                <w:sz w:val="17"/>
              </w:rPr>
              <w:t>Franchir, porter et distribuer les actions aux appuis</w:t>
            </w:r>
          </w:p>
        </w:tc>
        <w:tc>
          <w:tcPr>
            <w:tcW w:type="dxa" w:w="3628"/>
            <w:vAlign w:val="center"/>
          </w:tcPr>
          <w:p>
            <w:pPr>
              <w:spacing w:after="30"/>
            </w:pPr>
            <w:r>
              <w:rPr>
                <w:rFonts w:ascii="Times New Roman" w:hAnsi="Times New Roman" w:cs="Times New Roman" w:eastAsia="Times New Roman"/>
                <w:b w:val="0"/>
                <w:sz w:val="17"/>
              </w:rPr>
              <w:t>Sensibilité du système aux déplacements imposés et aux phases de construction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Appareils d’appui</w:t>
            </w:r>
          </w:p>
        </w:tc>
        <w:tc>
          <w:tcPr>
            <w:tcW w:type="dxa" w:w="3628"/>
            <w:vAlign w:val="center"/>
            <w:shd w:fill="F3F6F8"/>
          </w:tcPr>
          <w:p>
            <w:pPr>
              <w:spacing w:after="30"/>
            </w:pPr>
            <w:r>
              <w:rPr>
                <w:rFonts w:ascii="Times New Roman" w:hAnsi="Times New Roman" w:cs="Times New Roman" w:eastAsia="Times New Roman"/>
                <w:b w:val="0"/>
                <w:sz w:val="17"/>
              </w:rPr>
              <w:t>Autoriser ou limiter certains déplacements et rotations</w:t>
            </w:r>
          </w:p>
        </w:tc>
        <w:tc>
          <w:tcPr>
            <w:tcW w:type="dxa" w:w="3628"/>
            <w:vAlign w:val="center"/>
            <w:shd w:fill="F3F6F8"/>
          </w:tcPr>
          <w:p>
            <w:pPr>
              <w:spacing w:after="30"/>
            </w:pPr>
            <w:r>
              <w:rPr>
                <w:rFonts w:ascii="Times New Roman" w:hAnsi="Times New Roman" w:cs="Times New Roman" w:eastAsia="Times New Roman"/>
                <w:b w:val="0"/>
                <w:sz w:val="17"/>
              </w:rPr>
              <w:t>Déplacements horizontaux, rotations, variations thermiques et maintien en crue ou en séisme</w:t>
            </w:r>
          </w:p>
        </w:tc>
      </w:tr>
      <w:tr>
        <w:trPr>
          <w:cantSplit/>
        </w:trPr>
        <w:tc>
          <w:tcPr>
            <w:tcW w:type="dxa" w:w="1814"/>
            <w:vAlign w:val="center"/>
          </w:tcPr>
          <w:p>
            <w:pPr>
              <w:spacing w:after="30"/>
            </w:pPr>
            <w:r>
              <w:rPr>
                <w:rFonts w:ascii="Times New Roman" w:hAnsi="Times New Roman" w:cs="Times New Roman" w:eastAsia="Times New Roman"/>
                <w:b w:val="0"/>
                <w:sz w:val="17"/>
              </w:rPr>
              <w:t>Piles</w:t>
            </w:r>
          </w:p>
        </w:tc>
        <w:tc>
          <w:tcPr>
            <w:tcW w:type="dxa" w:w="3628"/>
            <w:vAlign w:val="center"/>
          </w:tcPr>
          <w:p>
            <w:pPr>
              <w:spacing w:after="30"/>
            </w:pPr>
            <w:r>
              <w:rPr>
                <w:rFonts w:ascii="Times New Roman" w:hAnsi="Times New Roman" w:cs="Times New Roman" w:eastAsia="Times New Roman"/>
                <w:b w:val="0"/>
                <w:sz w:val="17"/>
              </w:rPr>
              <w:t>Transmettre les réactions des travées</w:t>
            </w:r>
          </w:p>
        </w:tc>
        <w:tc>
          <w:tcPr>
            <w:tcW w:type="dxa" w:w="3628"/>
            <w:vAlign w:val="center"/>
          </w:tcPr>
          <w:p>
            <w:pPr>
              <w:spacing w:after="30"/>
            </w:pPr>
            <w:r>
              <w:rPr>
                <w:rFonts w:ascii="Times New Roman" w:hAnsi="Times New Roman" w:cs="Times New Roman" w:eastAsia="Times New Roman"/>
                <w:b w:val="0"/>
                <w:sz w:val="17"/>
              </w:rPr>
              <w:t>Affouillement, stabilité du lit, portance, déformabilité, effets horizontaux</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Culées</w:t>
            </w:r>
          </w:p>
        </w:tc>
        <w:tc>
          <w:tcPr>
            <w:tcW w:type="dxa" w:w="3628"/>
            <w:vAlign w:val="center"/>
            <w:shd w:fill="F3F6F8"/>
          </w:tcPr>
          <w:p>
            <w:pPr>
              <w:spacing w:after="30"/>
            </w:pPr>
            <w:r>
              <w:rPr>
                <w:rFonts w:ascii="Times New Roman" w:hAnsi="Times New Roman" w:cs="Times New Roman" w:eastAsia="Times New Roman"/>
                <w:b w:val="0"/>
                <w:sz w:val="17"/>
              </w:rPr>
              <w:t>Soutenir le tablier et retenir ou accompagner le remblai d’accès</w:t>
            </w:r>
          </w:p>
        </w:tc>
        <w:tc>
          <w:tcPr>
            <w:tcW w:type="dxa" w:w="3628"/>
            <w:vAlign w:val="center"/>
            <w:shd w:fill="F3F6F8"/>
          </w:tcPr>
          <w:p>
            <w:pPr>
              <w:spacing w:after="30"/>
            </w:pPr>
            <w:r>
              <w:rPr>
                <w:rFonts w:ascii="Times New Roman" w:hAnsi="Times New Roman" w:cs="Times New Roman" w:eastAsia="Times New Roman"/>
                <w:b w:val="0"/>
                <w:sz w:val="17"/>
              </w:rPr>
              <w:t>Poussée des terres, tassement du remblai, drainage, stabilité des approches</w:t>
            </w:r>
          </w:p>
        </w:tc>
      </w:tr>
      <w:tr>
        <w:trPr>
          <w:cantSplit/>
        </w:trPr>
        <w:tc>
          <w:tcPr>
            <w:tcW w:type="dxa" w:w="1814"/>
            <w:vAlign w:val="center"/>
          </w:tcPr>
          <w:p>
            <w:pPr>
              <w:spacing w:after="30"/>
            </w:pPr>
            <w:r>
              <w:rPr>
                <w:rFonts w:ascii="Times New Roman" w:hAnsi="Times New Roman" w:cs="Times New Roman" w:eastAsia="Times New Roman"/>
                <w:b w:val="0"/>
                <w:sz w:val="17"/>
              </w:rPr>
              <w:t>Fondations</w:t>
            </w:r>
          </w:p>
        </w:tc>
        <w:tc>
          <w:tcPr>
            <w:tcW w:type="dxa" w:w="3628"/>
            <w:vAlign w:val="center"/>
          </w:tcPr>
          <w:p>
            <w:pPr>
              <w:spacing w:after="30"/>
            </w:pPr>
            <w:r>
              <w:rPr>
                <w:rFonts w:ascii="Times New Roman" w:hAnsi="Times New Roman" w:cs="Times New Roman" w:eastAsia="Times New Roman"/>
                <w:b w:val="0"/>
                <w:sz w:val="17"/>
              </w:rPr>
              <w:t>Transférer les effets au sol ou au rocher</w:t>
            </w:r>
          </w:p>
        </w:tc>
        <w:tc>
          <w:tcPr>
            <w:tcW w:type="dxa" w:w="3628"/>
            <w:vAlign w:val="center"/>
          </w:tcPr>
          <w:p>
            <w:pPr>
              <w:spacing w:after="30"/>
            </w:pPr>
            <w:r>
              <w:rPr>
                <w:rFonts w:ascii="Times New Roman" w:hAnsi="Times New Roman" w:cs="Times New Roman" w:eastAsia="Times New Roman"/>
                <w:b w:val="0"/>
                <w:sz w:val="17"/>
              </w:rPr>
              <w:t>Résistance, déformations, eau, érodabilité, exécution et durabilité</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Remblais et berges</w:t>
            </w:r>
          </w:p>
        </w:tc>
        <w:tc>
          <w:tcPr>
            <w:tcW w:type="dxa" w:w="3628"/>
            <w:vAlign w:val="center"/>
            <w:shd w:fill="F3F6F8"/>
          </w:tcPr>
          <w:p>
            <w:pPr>
              <w:spacing w:after="30"/>
            </w:pPr>
            <w:r>
              <w:rPr>
                <w:rFonts w:ascii="Times New Roman" w:hAnsi="Times New Roman" w:cs="Times New Roman" w:eastAsia="Times New Roman"/>
                <w:b w:val="0"/>
                <w:sz w:val="17"/>
              </w:rPr>
              <w:t>Assurer les accès et la transition avec le terrain naturel</w:t>
            </w:r>
          </w:p>
        </w:tc>
        <w:tc>
          <w:tcPr>
            <w:tcW w:type="dxa" w:w="3628"/>
            <w:vAlign w:val="center"/>
            <w:shd w:fill="F3F6F8"/>
          </w:tcPr>
          <w:p>
            <w:pPr>
              <w:spacing w:after="30"/>
            </w:pPr>
            <w:r>
              <w:rPr>
                <w:rFonts w:ascii="Times New Roman" w:hAnsi="Times New Roman" w:cs="Times New Roman" w:eastAsia="Times New Roman"/>
                <w:b w:val="0"/>
                <w:sz w:val="17"/>
              </w:rPr>
              <w:t>Compressibilité, érosion, stabilité, compatibilité des matériaux et drainage</w:t>
            </w:r>
          </w:p>
        </w:tc>
      </w:tr>
    </w:tbl>
    <w:p>
      <w:pPr>
        <w:spacing w:after="20"/>
      </w:pPr>
    </w:p>
    <w:p>
      <w:pPr>
        <w:pStyle w:val="Heading3"/>
      </w:pPr>
      <w:r>
        <w:rPr>
          <w:rFonts w:ascii="Times New Roman" w:hAnsi="Times New Roman" w:cs="Times New Roman" w:eastAsia="Times New Roman"/>
          <w:b/>
          <w:color w:val="233741"/>
          <w:sz w:val="24"/>
        </w:rPr>
        <w:t>I.2.2 Rétroactions sol–fondation–structure</w:t>
      </w:r>
    </w:p>
    <w:p>
      <w:pPr>
        <w:jc w:val="both"/>
      </w:pPr>
      <w:r>
        <w:rPr>
          <w:rFonts w:ascii="Times New Roman" w:hAnsi="Times New Roman" w:cs="Times New Roman" w:eastAsia="Times New Roman"/>
          <w:b w:val="0"/>
          <w:sz w:val="24"/>
        </w:rPr>
        <w:t>La transmission n’est pas un processus à sens unique. La rigidité du sol influence la répartition des réactions ; les déplacements des appuis modifient les efforts dans un tablier continu ; le poids de l’ouvrage et des remblais change l’état de contrainte du terrain. En cas de séisme, la réponse du site et celle de la structure se couplent également.</w:t>
      </w:r>
    </w:p>
    <w:p>
      <w:pPr>
        <w:jc w:val="both"/>
      </w:pPr>
      <w:r>
        <w:rPr>
          <w:rFonts w:ascii="Times New Roman" w:hAnsi="Times New Roman" w:cs="Times New Roman" w:eastAsia="Times New Roman"/>
          <w:b w:val="0"/>
          <w:sz w:val="24"/>
        </w:rPr>
        <w:t>La figure I.2 schématise ces rétroactions. Elle justifie que la reconnaissance fournisse des paramètres de résistance et de déformation, mais aussi des informations sur leur variabilité. Une moyenne de résistance ne suffit pas à prévoir le tassement différentiel entre deux appuis fondés sur des faciès distincts.</w:t>
      </w:r>
    </w:p>
    <w:p>
      <w:pPr>
        <w:keepNext/>
        <w:jc w:val="center"/>
      </w:pPr>
      <w:r>
        <w:drawing>
          <wp:inline xmlns:a="http://schemas.openxmlformats.org/drawingml/2006/main" xmlns:pic="http://schemas.openxmlformats.org/drawingml/2006/picture">
            <wp:extent cx="5760000" cy="2808595"/>
            <wp:docPr id="4" name="Picture 4"/>
            <wp:cNvGraphicFramePr>
              <a:graphicFrameLocks noChangeAspect="1"/>
            </wp:cNvGraphicFramePr>
            <a:graphic>
              <a:graphicData uri="http://schemas.openxmlformats.org/drawingml/2006/picture">
                <pic:pic>
                  <pic:nvPicPr>
                    <pic:cNvPr id="0" name="load_path.png"/>
                    <pic:cNvPicPr/>
                  </pic:nvPicPr>
                  <pic:blipFill>
                    <a:blip r:embed="rId22"/>
                    <a:stretch>
                      <a:fillRect/>
                    </a:stretch>
                  </pic:blipFill>
                  <pic:spPr>
                    <a:xfrm>
                      <a:off x="0" y="0"/>
                      <a:ext cx="5760000" cy="2808595"/>
                    </a:xfrm>
                    <a:prstGeom prst="rect"/>
                  </pic:spPr>
                </pic:pic>
              </a:graphicData>
            </a:graphic>
          </wp:inline>
        </w:drawing>
      </w:r>
    </w:p>
    <w:p>
      <w:bookmarkStart w:id="12" w:name="BM_FIGI_2"/>
      <w:pPr>
        <w:jc w:val="center"/>
      </w:pPr>
      <w:r>
        <w:rPr>
          <w:rFonts w:ascii="Times New Roman" w:hAnsi="Times New Roman" w:cs="Times New Roman" w:eastAsia="Times New Roman"/>
          <w:b/>
          <w:sz w:val="20"/>
        </w:rPr>
        <w:t>Figure I.2 — Transmission des sollicitations et rétroactions sol–fondation–structure</w:t>
      </w:r>
      <w:bookmarkEnd w:id="12"/>
    </w:p>
    <w:p>
      <w:pPr>
        <w:jc w:val="right"/>
      </w:pPr>
      <w:r>
        <w:rPr>
          <w:rFonts w:ascii="Times New Roman" w:hAnsi="Times New Roman" w:cs="Times New Roman" w:eastAsia="Times New Roman"/>
          <w:b w:val="0"/>
          <w:color w:val="59636B"/>
          <w:sz w:val="20"/>
        </w:rPr>
        <w:t>Source : schéma original ; les interactions représentées sont qualitatives.</w:t>
      </w:r>
    </w:p>
    <w:p>
      <w:pPr>
        <w:ind w:left="113" w:right="113"/>
        <w:shd w:fill="E8F1F5"/>
      </w:pPr>
      <w:r>
        <w:rPr>
          <w:rFonts w:ascii="Times New Roman" w:hAnsi="Times New Roman" w:cs="Times New Roman" w:eastAsia="Times New Roman"/>
          <w:b/>
          <w:sz w:val="24"/>
        </w:rPr>
        <w:t>Principe directeur.</w:t>
      </w:r>
      <w:r>
        <w:rPr>
          <w:rFonts w:ascii="Times New Roman" w:hAnsi="Times New Roman" w:cs="Times New Roman" w:eastAsia="Times New Roman"/>
          <w:b w:val="0"/>
          <w:sz w:val="24"/>
        </w:rPr>
        <w:t xml:space="preserve"> L’unité d’analyse n’est ni le sondage isolé, ni la fondation isolée : c’est le système constitué par le terrain, l’eau, les fondations, les appuis et le tablier.</w:t>
      </w:r>
    </w:p>
    <w:p>
      <w:pPr>
        <w:pStyle w:val="Heading2"/>
      </w:pPr>
      <w:r>
        <w:rPr>
          <w:rFonts w:ascii="Times New Roman" w:hAnsi="Times New Roman" w:cs="Times New Roman" w:eastAsia="Times New Roman"/>
          <w:b/>
          <w:color w:val="1F4E79"/>
          <w:sz w:val="24"/>
        </w:rPr>
        <w:t>I.3 Repères historiques et conséquences pour les fondations</w:t>
      </w:r>
    </w:p>
    <w:p>
      <w:pPr>
        <w:pStyle w:val="Heading3"/>
      </w:pPr>
      <w:r>
        <w:rPr>
          <w:rFonts w:ascii="Times New Roman" w:hAnsi="Times New Roman" w:cs="Times New Roman" w:eastAsia="Times New Roman"/>
          <w:b/>
          <w:color w:val="233741"/>
          <w:sz w:val="24"/>
        </w:rPr>
        <w:t>I.3.1 Ponts antiques et médiévaux : maîtrise des appuis avant celle des matériaux</w:t>
      </w:r>
    </w:p>
    <w:p>
      <w:pPr>
        <w:jc w:val="both"/>
      </w:pPr>
      <w:r>
        <w:rPr>
          <w:rFonts w:ascii="Times New Roman" w:hAnsi="Times New Roman" w:cs="Times New Roman" w:eastAsia="Times New Roman"/>
          <w:b w:val="0"/>
          <w:sz w:val="24"/>
        </w:rPr>
        <w:t>Les ponts antiques en maçonnerie reposent principalement sur la compression. Leur géométrie d’arc réduit la flexion du tablier mais transmet aux culées des poussées importantes. La qualité des fondations, la stabilité des berges et la protection contre l’érosion conditionnent donc directement la conservation de la forme. Les techniques de fondation dans l’eau — enceintes, batardeaux, pieux de bois et remblaiement — ont longtemps reposé sur l’expérience et l’observation des sites.</w:t>
      </w:r>
    </w:p>
    <w:p>
      <w:pPr>
        <w:jc w:val="both"/>
      </w:pPr>
      <w:r>
        <w:rPr>
          <w:rFonts w:ascii="Times New Roman" w:hAnsi="Times New Roman" w:cs="Times New Roman" w:eastAsia="Times New Roman"/>
          <w:b w:val="0"/>
          <w:sz w:val="24"/>
        </w:rPr>
        <w:t>Le pont romain d’Alcántara, construit entre 103 et 106, illustre cette organisation par arcs de maçonnerie et piles munies de brise-glaces. Son évaluation récente associe recherche historique, relevé laser terrestre, géoradar et analyse structurale ; elle rappelle aussi que le minage des piles et la conservation des maçonneries doivent être examinés à partir de la géométrie et des matériaux réels, non d’une image idéalisée de l’ouvrage ancien (CORTÉS PÉREZ et al., 2018).</w:t>
      </w:r>
    </w:p>
    <w:p>
      <w:pPr>
        <w:jc w:val="both"/>
      </w:pPr>
      <w:r>
        <w:rPr>
          <w:rFonts w:ascii="Times New Roman" w:hAnsi="Times New Roman" w:cs="Times New Roman" w:eastAsia="Times New Roman"/>
          <w:b w:val="0"/>
          <w:sz w:val="24"/>
        </w:rPr>
        <w:t>L’enseignement bibliographique n’est pas de reproduire ces solutions, mais de reconnaître la permanence de certains problèmes : accès à un fond sain, maîtrise de l’eau pendant les travaux, résistance du terrain aux poussées et protection des appuis. L’évolution des matériaux n’a supprimé aucune de ces questions.</w:t>
      </w:r>
    </w:p>
    <w:p>
      <w:pPr>
        <w:pStyle w:val="Heading3"/>
      </w:pPr>
      <w:r>
        <w:rPr>
          <w:rFonts w:ascii="Times New Roman" w:hAnsi="Times New Roman" w:cs="Times New Roman" w:eastAsia="Times New Roman"/>
          <w:b/>
          <w:color w:val="233741"/>
          <w:sz w:val="24"/>
        </w:rPr>
        <w:t>I.3.2 Révolution industrielle : fonte, fer et acier</w:t>
      </w:r>
    </w:p>
    <w:p>
      <w:pPr>
        <w:jc w:val="both"/>
      </w:pPr>
      <w:r>
        <w:rPr>
          <w:rFonts w:ascii="Times New Roman" w:hAnsi="Times New Roman" w:cs="Times New Roman" w:eastAsia="Times New Roman"/>
          <w:b w:val="0"/>
          <w:sz w:val="24"/>
        </w:rPr>
        <w:t>Les ponts métalliques ont introduit de nouvelles formes et des portées accrues. L’Iron Bridge de 1779 illustre l’emploi de la fonte dans un arc ; les développements ultérieurs de l’acier ont permis des poutres, treillis, arcs et structures suspendues plus élancés. Le Brooklyn Bridge, ouvert en 1883, constitue un jalon de la suspension par câbles d’acier.</w:t>
      </w:r>
    </w:p>
    <w:p>
      <w:pPr>
        <w:jc w:val="both"/>
      </w:pPr>
      <w:r>
        <w:rPr>
          <w:rFonts w:ascii="Times New Roman" w:hAnsi="Times New Roman" w:cs="Times New Roman" w:eastAsia="Times New Roman"/>
          <w:b w:val="0"/>
          <w:sz w:val="24"/>
        </w:rPr>
        <w:t>Ces changements ont déplacé une partie des difficultés vers les pylônes, les ancrages et les assemblages, sans réduire le rôle du terrain. Les structures plus légères peuvent être sensibles au soulèvement, au vent et aux mouvements d’appuis ; les charges concentrées aux tours exigent une connaissance détaillée de la portance et des déplacements.</w:t>
      </w:r>
    </w:p>
    <w:p>
      <w:pPr>
        <w:pStyle w:val="Heading3"/>
      </w:pPr>
      <w:r>
        <w:rPr>
          <w:rFonts w:ascii="Times New Roman" w:hAnsi="Times New Roman" w:cs="Times New Roman" w:eastAsia="Times New Roman"/>
          <w:b/>
          <w:color w:val="233741"/>
          <w:sz w:val="24"/>
        </w:rPr>
        <w:t>I.3.3 Béton armé et précontrainte : continuité et maîtrise des déformations</w:t>
      </w:r>
    </w:p>
    <w:p>
      <w:pPr>
        <w:jc w:val="both"/>
      </w:pPr>
      <w:r>
        <w:rPr>
          <w:rFonts w:ascii="Times New Roman" w:hAnsi="Times New Roman" w:cs="Times New Roman" w:eastAsia="Times New Roman"/>
          <w:b w:val="0"/>
          <w:sz w:val="24"/>
        </w:rPr>
        <w:t>Le béton armé puis la précontrainte ont favorisé les poutres, dalles, cadres et arcs de grande portée. La continuité structurale et la construction par phases ont amélioré les performances du tablier, tout en rendant plus importante l’analyse des déplacements imposés. Retrait, fluage, température et tassements ne peuvent plus être considérés indépendamment du calendrier de construction.</w:t>
      </w:r>
    </w:p>
    <w:p>
      <w:pPr>
        <w:jc w:val="both"/>
      </w:pPr>
      <w:r>
        <w:rPr>
          <w:rFonts w:ascii="Times New Roman" w:hAnsi="Times New Roman" w:cs="Times New Roman" w:eastAsia="Times New Roman"/>
          <w:b w:val="0"/>
          <w:sz w:val="24"/>
        </w:rPr>
        <w:t>Pour la géotechnique, l’enjeu n’est pas seulement la charge à l’état final. Il faut connaître l’évolution des réactions, les déplacements différés et les situations temporaires. La compressibilité d’une couche peut affecter la redistribution des efforts longtemps après la fin des travaux.</w:t>
      </w:r>
    </w:p>
    <w:p>
      <w:pPr>
        <w:pStyle w:val="Heading3"/>
      </w:pPr>
      <w:r>
        <w:rPr>
          <w:rFonts w:ascii="Times New Roman" w:hAnsi="Times New Roman" w:cs="Times New Roman" w:eastAsia="Times New Roman"/>
          <w:b/>
          <w:color w:val="233741"/>
          <w:sz w:val="24"/>
        </w:rPr>
        <w:t>I.3.4 Grands ouvrages modernes : élancement, cycle de vie et monitoring</w:t>
      </w:r>
    </w:p>
    <w:p>
      <w:pPr>
        <w:jc w:val="both"/>
      </w:pPr>
      <w:r>
        <w:rPr>
          <w:rFonts w:ascii="Times New Roman" w:hAnsi="Times New Roman" w:cs="Times New Roman" w:eastAsia="Times New Roman"/>
          <w:b w:val="0"/>
          <w:sz w:val="24"/>
        </w:rPr>
        <w:t>Les progrès des câbles, des analyses numériques et des méthodes de levage ou de préfabrication ont conduit aux grands ponts suspendus et haubanés contemporains. Le pont de Strömsund, inauguré en 1956, est couramment présenté comme un jalon des ponts haubanés modernes. Les ouvrages récents associent de plus en plus la conception à l’inspection, à la maintenance et au suivi de la performance.</w:t>
      </w:r>
    </w:p>
    <w:p>
      <w:pPr>
        <w:jc w:val="both"/>
      </w:pPr>
      <w:r>
        <w:rPr>
          <w:rFonts w:ascii="Times New Roman" w:hAnsi="Times New Roman" w:cs="Times New Roman" w:eastAsia="Times New Roman"/>
          <w:b w:val="0"/>
          <w:sz w:val="24"/>
        </w:rPr>
        <w:t>Cette évolution conforte une reconnaissance fondée sur le cycle de vie : identification des mécanismes de dégradation, accessibilité des investigations et des inspections, mesures de référence avant travaux, critères d’alerte et possibilité de réviser le modèle. Les grandes portées ne créent pas une règle unique de fondation profonde ; elles rendent simplement plus visibles les conséquences des incertitudes et des mouvements du terrain.</w:t>
      </w:r>
    </w:p>
    <w:p>
      <w:pPr>
        <w:keepNext/>
        <w:jc w:val="center"/>
      </w:pPr>
      <w:r>
        <w:drawing>
          <wp:inline xmlns:a="http://schemas.openxmlformats.org/drawingml/2006/main" xmlns:pic="http://schemas.openxmlformats.org/drawingml/2006/picture">
            <wp:extent cx="5760000" cy="2835939"/>
            <wp:docPr id="5" name="Picture 5"/>
            <wp:cNvGraphicFramePr>
              <a:graphicFrameLocks noChangeAspect="1"/>
            </wp:cNvGraphicFramePr>
            <a:graphic>
              <a:graphicData uri="http://schemas.openxmlformats.org/drawingml/2006/picture">
                <pic:pic>
                  <pic:nvPicPr>
                    <pic:cNvPr id="0" name="history_timeline.png"/>
                    <pic:cNvPicPr/>
                  </pic:nvPicPr>
                  <pic:blipFill>
                    <a:blip r:embed="rId23"/>
                    <a:stretch>
                      <a:fillRect/>
                    </a:stretch>
                  </pic:blipFill>
                  <pic:spPr>
                    <a:xfrm>
                      <a:off x="0" y="0"/>
                      <a:ext cx="5760000" cy="2835939"/>
                    </a:xfrm>
                    <a:prstGeom prst="rect"/>
                  </pic:spPr>
                </pic:pic>
              </a:graphicData>
            </a:graphic>
          </wp:inline>
        </w:drawing>
      </w:r>
    </w:p>
    <w:p>
      <w:bookmarkStart w:id="13" w:name="BM_FIGI_3"/>
      <w:pPr>
        <w:jc w:val="center"/>
      </w:pPr>
      <w:r>
        <w:rPr>
          <w:rFonts w:ascii="Times New Roman" w:hAnsi="Times New Roman" w:cs="Times New Roman" w:eastAsia="Times New Roman"/>
          <w:b/>
          <w:sz w:val="20"/>
        </w:rPr>
        <w:t>Figure I.3 — Repères historiques de l’évolution des ponts et de la gestion du cycle de vie</w:t>
      </w:r>
      <w:bookmarkEnd w:id="13"/>
    </w:p>
    <w:p>
      <w:pPr>
        <w:jc w:val="right"/>
      </w:pPr>
      <w:r>
        <w:rPr>
          <w:rFonts w:ascii="Times New Roman" w:hAnsi="Times New Roman" w:cs="Times New Roman" w:eastAsia="Times New Roman"/>
          <w:b w:val="0"/>
          <w:color w:val="59636B"/>
          <w:sz w:val="20"/>
        </w:rPr>
        <w:t>Source : synthèse d’après CHEN et DUAN (2014) ; frise non exhaustive.</w:t>
      </w:r>
    </w:p>
    <w:p>
      <w:bookmarkStart w:id="14" w:name="BM_TABI_2"/>
      <w:pPr>
        <w:keepNext/>
        <w:jc w:val="center"/>
      </w:pPr>
      <w:r>
        <w:rPr>
          <w:rFonts w:ascii="Times New Roman" w:hAnsi="Times New Roman" w:cs="Times New Roman" w:eastAsia="Times New Roman"/>
          <w:b/>
          <w:sz w:val="20"/>
        </w:rPr>
        <w:t>Tableau I.2 — Lecture géotechnique de quelques étapes de l’évolution des ponts</w:t>
      </w:r>
      <w:bookmarkEnd w:id="1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Période ou jalon</w:t>
            </w:r>
          </w:p>
        </w:tc>
        <w:tc>
          <w:tcPr>
            <w:tcW w:type="dxa" w:w="3628"/>
            <w:vAlign w:val="center"/>
            <w:shd w:fill="1F4E79"/>
          </w:tcPr>
          <w:p>
            <w:pPr>
              <w:spacing w:after="30"/>
            </w:pPr>
            <w:r>
              <w:rPr>
                <w:rFonts w:ascii="Times New Roman" w:hAnsi="Times New Roman" w:cs="Times New Roman" w:eastAsia="Times New Roman"/>
                <w:b/>
                <w:color w:val="FFFFFF"/>
                <w:sz w:val="17"/>
              </w:rPr>
              <w:t>Évolution technique</w:t>
            </w:r>
          </w:p>
        </w:tc>
        <w:tc>
          <w:tcPr>
            <w:tcW w:type="dxa" w:w="3628"/>
            <w:vAlign w:val="center"/>
            <w:shd w:fill="1F4E79"/>
          </w:tcPr>
          <w:p>
            <w:pPr>
              <w:spacing w:after="30"/>
            </w:pPr>
            <w:r>
              <w:rPr>
                <w:rFonts w:ascii="Times New Roman" w:hAnsi="Times New Roman" w:cs="Times New Roman" w:eastAsia="Times New Roman"/>
                <w:b/>
                <w:color w:val="FFFFFF"/>
                <w:sz w:val="17"/>
              </w:rPr>
              <w:t>Conséquence pour la reconnaissance et les appuis</w:t>
            </w:r>
          </w:p>
        </w:tc>
      </w:tr>
      <w:tr>
        <w:trPr>
          <w:cantSplit/>
        </w:trPr>
        <w:tc>
          <w:tcPr>
            <w:tcW w:type="dxa" w:w="1814"/>
            <w:vAlign w:val="center"/>
          </w:tcPr>
          <w:p>
            <w:pPr>
              <w:spacing w:after="30"/>
            </w:pPr>
            <w:r>
              <w:rPr>
                <w:rFonts w:ascii="Times New Roman" w:hAnsi="Times New Roman" w:cs="Times New Roman" w:eastAsia="Times New Roman"/>
                <w:b w:val="0"/>
                <w:sz w:val="17"/>
              </w:rPr>
              <w:t>Ponts en maçonnerie</w:t>
            </w:r>
          </w:p>
        </w:tc>
        <w:tc>
          <w:tcPr>
            <w:tcW w:type="dxa" w:w="3628"/>
            <w:vAlign w:val="center"/>
          </w:tcPr>
          <w:p>
            <w:pPr>
              <w:spacing w:after="30"/>
            </w:pPr>
            <w:r>
              <w:rPr>
                <w:rFonts w:ascii="Times New Roman" w:hAnsi="Times New Roman" w:cs="Times New Roman" w:eastAsia="Times New Roman"/>
                <w:b w:val="0"/>
                <w:sz w:val="17"/>
              </w:rPr>
              <w:t>Fonctionnement dominant en compression</w:t>
            </w:r>
          </w:p>
        </w:tc>
        <w:tc>
          <w:tcPr>
            <w:tcW w:type="dxa" w:w="3628"/>
            <w:vAlign w:val="center"/>
          </w:tcPr>
          <w:p>
            <w:pPr>
              <w:spacing w:after="30"/>
            </w:pPr>
            <w:r>
              <w:rPr>
                <w:rFonts w:ascii="Times New Roman" w:hAnsi="Times New Roman" w:cs="Times New Roman" w:eastAsia="Times New Roman"/>
                <w:b w:val="0"/>
                <w:sz w:val="17"/>
              </w:rPr>
              <w:t>Stabilité des culées, reprise des poussées et protection contre l’érosion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Ponts industriels métalliques</w:t>
            </w:r>
          </w:p>
        </w:tc>
        <w:tc>
          <w:tcPr>
            <w:tcW w:type="dxa" w:w="3628"/>
            <w:vAlign w:val="center"/>
            <w:shd w:fill="F3F6F8"/>
          </w:tcPr>
          <w:p>
            <w:pPr>
              <w:spacing w:after="30"/>
            </w:pPr>
            <w:r>
              <w:rPr>
                <w:rFonts w:ascii="Times New Roman" w:hAnsi="Times New Roman" w:cs="Times New Roman" w:eastAsia="Times New Roman"/>
                <w:b w:val="0"/>
                <w:sz w:val="17"/>
              </w:rPr>
              <w:t>Nouvelles géométries et portées accrues</w:t>
            </w:r>
          </w:p>
        </w:tc>
        <w:tc>
          <w:tcPr>
            <w:tcW w:type="dxa" w:w="3628"/>
            <w:vAlign w:val="center"/>
            <w:shd w:fill="F3F6F8"/>
          </w:tcPr>
          <w:p>
            <w:pPr>
              <w:spacing w:after="30"/>
            </w:pPr>
            <w:r>
              <w:rPr>
                <w:rFonts w:ascii="Times New Roman" w:hAnsi="Times New Roman" w:cs="Times New Roman" w:eastAsia="Times New Roman"/>
                <w:b w:val="0"/>
                <w:sz w:val="17"/>
              </w:rPr>
              <w:t>Charges concentrées, ancrages, effets horizontaux et contrôle des déplacements</w:t>
            </w:r>
          </w:p>
        </w:tc>
      </w:tr>
      <w:tr>
        <w:trPr>
          <w:cantSplit/>
        </w:trPr>
        <w:tc>
          <w:tcPr>
            <w:tcW w:type="dxa" w:w="1814"/>
            <w:vAlign w:val="center"/>
          </w:tcPr>
          <w:p>
            <w:pPr>
              <w:spacing w:after="30"/>
            </w:pPr>
            <w:r>
              <w:rPr>
                <w:rFonts w:ascii="Times New Roman" w:hAnsi="Times New Roman" w:cs="Times New Roman" w:eastAsia="Times New Roman"/>
                <w:b w:val="0"/>
                <w:sz w:val="17"/>
              </w:rPr>
              <w:t>Béton armé et précontrainte</w:t>
            </w:r>
          </w:p>
        </w:tc>
        <w:tc>
          <w:tcPr>
            <w:tcW w:type="dxa" w:w="3628"/>
            <w:vAlign w:val="center"/>
          </w:tcPr>
          <w:p>
            <w:pPr>
              <w:spacing w:after="30"/>
            </w:pPr>
            <w:r>
              <w:rPr>
                <w:rFonts w:ascii="Times New Roman" w:hAnsi="Times New Roman" w:cs="Times New Roman" w:eastAsia="Times New Roman"/>
                <w:b w:val="0"/>
                <w:sz w:val="17"/>
              </w:rPr>
              <w:t>Continuité, élancement et construction par phases</w:t>
            </w:r>
          </w:p>
        </w:tc>
        <w:tc>
          <w:tcPr>
            <w:tcW w:type="dxa" w:w="3628"/>
            <w:vAlign w:val="center"/>
          </w:tcPr>
          <w:p>
            <w:pPr>
              <w:spacing w:after="30"/>
            </w:pPr>
            <w:r>
              <w:rPr>
                <w:rFonts w:ascii="Times New Roman" w:hAnsi="Times New Roman" w:cs="Times New Roman" w:eastAsia="Times New Roman"/>
                <w:b w:val="0"/>
                <w:sz w:val="17"/>
              </w:rPr>
              <w:t>Tassements différés, phases de chargement et sensibilité aux déplacements imposés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Grands suspendus et haubanés</w:t>
            </w:r>
          </w:p>
        </w:tc>
        <w:tc>
          <w:tcPr>
            <w:tcW w:type="dxa" w:w="3628"/>
            <w:vAlign w:val="center"/>
            <w:shd w:fill="F3F6F8"/>
          </w:tcPr>
          <w:p>
            <w:pPr>
              <w:spacing w:after="30"/>
            </w:pPr>
            <w:r>
              <w:rPr>
                <w:rFonts w:ascii="Times New Roman" w:hAnsi="Times New Roman" w:cs="Times New Roman" w:eastAsia="Times New Roman"/>
                <w:b w:val="0"/>
                <w:sz w:val="17"/>
              </w:rPr>
              <w:t>Pylônes et câbles fortement sollicités</w:t>
            </w:r>
          </w:p>
        </w:tc>
        <w:tc>
          <w:tcPr>
            <w:tcW w:type="dxa" w:w="3628"/>
            <w:vAlign w:val="center"/>
            <w:shd w:fill="F3F6F8"/>
          </w:tcPr>
          <w:p>
            <w:pPr>
              <w:spacing w:after="30"/>
            </w:pPr>
            <w:r>
              <w:rPr>
                <w:rFonts w:ascii="Times New Roman" w:hAnsi="Times New Roman" w:cs="Times New Roman" w:eastAsia="Times New Roman"/>
                <w:b w:val="0"/>
                <w:sz w:val="17"/>
              </w:rPr>
              <w:t>Interaction sol–structure, ancrages, mouvements différentiels et conditions de chantier</w:t>
            </w:r>
          </w:p>
        </w:tc>
      </w:tr>
      <w:tr>
        <w:trPr>
          <w:cantSplit/>
        </w:trPr>
        <w:tc>
          <w:tcPr>
            <w:tcW w:type="dxa" w:w="1814"/>
            <w:vAlign w:val="center"/>
          </w:tcPr>
          <w:p>
            <w:pPr>
              <w:spacing w:after="30"/>
            </w:pPr>
            <w:r>
              <w:rPr>
                <w:rFonts w:ascii="Times New Roman" w:hAnsi="Times New Roman" w:cs="Times New Roman" w:eastAsia="Times New Roman"/>
                <w:b w:val="0"/>
                <w:sz w:val="17"/>
              </w:rPr>
              <w:t>Approche cycle de vie</w:t>
            </w:r>
          </w:p>
        </w:tc>
        <w:tc>
          <w:tcPr>
            <w:tcW w:type="dxa" w:w="3628"/>
            <w:vAlign w:val="center"/>
          </w:tcPr>
          <w:p>
            <w:pPr>
              <w:spacing w:after="30"/>
            </w:pPr>
            <w:r>
              <w:rPr>
                <w:rFonts w:ascii="Times New Roman" w:hAnsi="Times New Roman" w:cs="Times New Roman" w:eastAsia="Times New Roman"/>
                <w:b w:val="0"/>
                <w:sz w:val="17"/>
              </w:rPr>
              <w:t>Inspection, maintenance et monitoring</w:t>
            </w:r>
          </w:p>
        </w:tc>
        <w:tc>
          <w:tcPr>
            <w:tcW w:type="dxa" w:w="3628"/>
            <w:vAlign w:val="center"/>
          </w:tcPr>
          <w:p>
            <w:pPr>
              <w:spacing w:after="30"/>
            </w:pPr>
            <w:r>
              <w:rPr>
                <w:rFonts w:ascii="Times New Roman" w:hAnsi="Times New Roman" w:cs="Times New Roman" w:eastAsia="Times New Roman"/>
                <w:b w:val="0"/>
                <w:sz w:val="17"/>
              </w:rPr>
              <w:t>Références initiales, données reproductibles, seuils d’alerte et révision du modèle</w:t>
            </w:r>
          </w:p>
        </w:tc>
      </w:tr>
    </w:tbl>
    <w:p>
      <w:pPr>
        <w:spacing w:after="20"/>
      </w:pPr>
    </w:p>
    <w:p>
      <w:pPr>
        <w:pStyle w:val="Heading3"/>
      </w:pPr>
      <w:r>
        <w:rPr>
          <w:rFonts w:ascii="Times New Roman" w:hAnsi="Times New Roman" w:cs="Times New Roman" w:eastAsia="Times New Roman"/>
          <w:b/>
          <w:color w:val="233741"/>
          <w:sz w:val="24"/>
        </w:rPr>
        <w:t>I.3.5 Désordres documentés et progrès de la conception</w:t>
      </w:r>
    </w:p>
    <w:p>
      <w:pPr>
        <w:jc w:val="both"/>
      </w:pPr>
      <w:r>
        <w:rPr>
          <w:rFonts w:ascii="Times New Roman" w:hAnsi="Times New Roman" w:cs="Times New Roman" w:eastAsia="Times New Roman"/>
          <w:b w:val="0"/>
          <w:sz w:val="24"/>
        </w:rPr>
        <w:t>Les désordres historiques ont une valeur pédagogique lorsque leur mécanisme est établi par une enquête et lorsque la leçon reste dans le domaine de cette enquête. L’effondrement du pont de Tacoma Narrows le 7 novembre 1940 a profondément fait progresser l’étude de la stabilité aérodynamique des ponts suspendus. Les investigations ont mis en évidence la flexibilité, le comportement torsionnel et le rôle des forces aérodynamiques ; elles ont également encouragé les essais en soufflerie. La leçon n’est pas qu’une forme de tablier est dangereuse partout, mais qu’un nouveau niveau d’élancement exige de reconsidérer les actions et les interactions dynamiques (WSDOT, s. d.).</w:t>
      </w:r>
    </w:p>
    <w:p>
      <w:pPr>
        <w:jc w:val="both"/>
      </w:pPr>
      <w:r>
        <w:rPr>
          <w:rFonts w:ascii="Times New Roman" w:hAnsi="Times New Roman" w:cs="Times New Roman" w:eastAsia="Times New Roman"/>
          <w:b w:val="0"/>
          <w:sz w:val="24"/>
        </w:rPr>
        <w:t>L’effondrement du pont de Schoharie Creek le 5 avril 1987 fournit un exemple directement lié aux fondations. Le NTSB a conclu que le maintien insuffisant de l’enrochement autour des piles avait conduit à une érosion sévère sous les semelles, avec des contributions de la conception documentée, de l’inspection et de la supervision. La leçon associe donc le calcul de l’affouillement à la protection, à l’inspection et à la responsabilité de maintenance (NTSB, 1988).</w:t>
      </w:r>
    </w:p>
    <w:p>
      <w:pPr>
        <w:jc w:val="both"/>
      </w:pPr>
      <w:r>
        <w:rPr>
          <w:rFonts w:ascii="Times New Roman" w:hAnsi="Times New Roman" w:cs="Times New Roman" w:eastAsia="Times New Roman"/>
          <w:b w:val="0"/>
          <w:sz w:val="24"/>
        </w:rPr>
        <w:t>Ces deux événements montrent qu’un pont peut être vulnérable par un mécanisme qui n’était pas suffisamment représenté dans le modèle initial. Ils justifient les revues pluridisciplinaires, l’examen des situations exceptionnelles et la conservation des données d’exploitation. Ils ne fournissent pas une fréquence universelle de défaillance ni une recette unique de fondation.</w:t>
      </w:r>
    </w:p>
    <w:p>
      <w:bookmarkStart w:id="15" w:name="BM_TABI_3"/>
      <w:pPr>
        <w:keepNext/>
        <w:jc w:val="center"/>
      </w:pPr>
      <w:r>
        <w:rPr>
          <w:rFonts w:ascii="Times New Roman" w:hAnsi="Times New Roman" w:cs="Times New Roman" w:eastAsia="Times New Roman"/>
          <w:b/>
          <w:sz w:val="20"/>
        </w:rPr>
        <w:t>Tableau I.3 — Deux désordres historiques et leurs enseignements délimités</w:t>
      </w:r>
      <w:bookmarkEnd w:id="15"/>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Événement et source</w:t>
            </w:r>
          </w:p>
        </w:tc>
        <w:tc>
          <w:tcPr>
            <w:tcW w:type="dxa" w:w="2268"/>
            <w:vAlign w:val="center"/>
            <w:shd w:fill="1F4E79"/>
          </w:tcPr>
          <w:p>
            <w:pPr>
              <w:spacing w:after="30"/>
            </w:pPr>
            <w:r>
              <w:rPr>
                <w:rFonts w:ascii="Times New Roman" w:hAnsi="Times New Roman" w:cs="Times New Roman" w:eastAsia="Times New Roman"/>
                <w:b/>
                <w:color w:val="FFFFFF"/>
                <w:sz w:val="17"/>
              </w:rPr>
              <w:t>Mécanisme ou facteur documenté</w:t>
            </w:r>
          </w:p>
        </w:tc>
        <w:tc>
          <w:tcPr>
            <w:tcW w:type="dxa" w:w="4535"/>
            <w:vAlign w:val="center"/>
            <w:shd w:fill="1F4E79"/>
          </w:tcPr>
          <w:p>
            <w:pPr>
              <w:spacing w:after="30"/>
            </w:pPr>
            <w:r>
              <w:rPr>
                <w:rFonts w:ascii="Times New Roman" w:hAnsi="Times New Roman" w:cs="Times New Roman" w:eastAsia="Times New Roman"/>
                <w:b/>
                <w:color w:val="FFFFFF"/>
                <w:sz w:val="17"/>
              </w:rPr>
              <w:t>Enseignement pour la conception et la gestion</w:t>
            </w:r>
          </w:p>
        </w:tc>
      </w:tr>
      <w:tr>
        <w:trPr>
          <w:cantSplit/>
        </w:trPr>
        <w:tc>
          <w:tcPr>
            <w:tcW w:type="dxa" w:w="2268"/>
            <w:vAlign w:val="center"/>
          </w:tcPr>
          <w:p>
            <w:pPr>
              <w:spacing w:after="30"/>
            </w:pPr>
            <w:r>
              <w:rPr>
                <w:rFonts w:ascii="Times New Roman" w:hAnsi="Times New Roman" w:cs="Times New Roman" w:eastAsia="Times New Roman"/>
                <w:b w:val="0"/>
                <w:sz w:val="17"/>
              </w:rPr>
              <w:t>Tacoma Narrows, 1940 ; enquêtes et historique WSDOT</w:t>
            </w:r>
          </w:p>
        </w:tc>
        <w:tc>
          <w:tcPr>
            <w:tcW w:type="dxa" w:w="2268"/>
            <w:vAlign w:val="center"/>
          </w:tcPr>
          <w:p>
            <w:pPr>
              <w:spacing w:after="30"/>
            </w:pPr>
            <w:r>
              <w:rPr>
                <w:rFonts w:ascii="Times New Roman" w:hAnsi="Times New Roman" w:cs="Times New Roman" w:eastAsia="Times New Roman"/>
                <w:b w:val="0"/>
                <w:sz w:val="17"/>
              </w:rPr>
              <w:t>Flexibilité, torsion et instabilité aérodynamique</w:t>
            </w:r>
          </w:p>
        </w:tc>
        <w:tc>
          <w:tcPr>
            <w:tcW w:type="dxa" w:w="4535"/>
            <w:vAlign w:val="center"/>
          </w:tcPr>
          <w:p>
            <w:pPr>
              <w:spacing w:after="30"/>
            </w:pPr>
            <w:r>
              <w:rPr>
                <w:rFonts w:ascii="Times New Roman" w:hAnsi="Times New Roman" w:cs="Times New Roman" w:eastAsia="Times New Roman"/>
                <w:b w:val="0"/>
                <w:sz w:val="17"/>
              </w:rPr>
              <w:t>Intégrer les interactions vent–structure et valider les formes élancées par des méthodes adaptées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Schoharie Creek, 1987 ; rapport NTSB/HAR-88/02</w:t>
            </w:r>
          </w:p>
        </w:tc>
        <w:tc>
          <w:tcPr>
            <w:tcW w:type="dxa" w:w="2268"/>
            <w:vAlign w:val="center"/>
            <w:shd w:fill="F3F6F8"/>
          </w:tcPr>
          <w:p>
            <w:pPr>
              <w:spacing w:after="30"/>
            </w:pPr>
            <w:r>
              <w:rPr>
                <w:rFonts w:ascii="Times New Roman" w:hAnsi="Times New Roman" w:cs="Times New Roman" w:eastAsia="Times New Roman"/>
                <w:b w:val="0"/>
                <w:sz w:val="17"/>
              </w:rPr>
              <w:t>Érosion sous les semelles et maintien insuffisant de la protection, avec facteurs d’inspection et de supervision</w:t>
            </w:r>
          </w:p>
        </w:tc>
        <w:tc>
          <w:tcPr>
            <w:tcW w:type="dxa" w:w="4535"/>
            <w:vAlign w:val="center"/>
            <w:shd w:fill="F3F6F8"/>
          </w:tcPr>
          <w:p>
            <w:pPr>
              <w:spacing w:after="30"/>
            </w:pPr>
            <w:r>
              <w:rPr>
                <w:rFonts w:ascii="Times New Roman" w:hAnsi="Times New Roman" w:cs="Times New Roman" w:eastAsia="Times New Roman"/>
                <w:b w:val="0"/>
                <w:sz w:val="17"/>
              </w:rPr>
              <w:t>Coupler affouillement, détails de fondation, protection, inspection et entretien</w:t>
            </w:r>
          </w:p>
        </w:tc>
      </w:tr>
    </w:tbl>
    <w:p>
      <w:pPr>
        <w:spacing w:after="20"/>
      </w:pPr>
    </w:p>
    <w:p>
      <w:pPr>
        <w:pStyle w:val="Heading2"/>
      </w:pPr>
      <w:r>
        <w:rPr>
          <w:rFonts w:ascii="Times New Roman" w:hAnsi="Times New Roman" w:cs="Times New Roman" w:eastAsia="Times New Roman"/>
          <w:b/>
          <w:color w:val="1F4E79"/>
          <w:sz w:val="24"/>
        </w:rPr>
        <w:t>I.4 Quatre familles structurales et besoins spécifiques</w:t>
      </w:r>
    </w:p>
    <w:p>
      <w:pPr>
        <w:pStyle w:val="Heading3"/>
      </w:pPr>
      <w:r>
        <w:rPr>
          <w:rFonts w:ascii="Times New Roman" w:hAnsi="Times New Roman" w:cs="Times New Roman" w:eastAsia="Times New Roman"/>
          <w:b/>
          <w:color w:val="233741"/>
          <w:sz w:val="24"/>
        </w:rPr>
        <w:t>I.4.1 Lecture par le fonctionnement mécanique</w:t>
      </w:r>
    </w:p>
    <w:p>
      <w:pPr>
        <w:jc w:val="both"/>
      </w:pPr>
      <w:r>
        <w:rPr>
          <w:rFonts w:ascii="Times New Roman" w:hAnsi="Times New Roman" w:cs="Times New Roman" w:eastAsia="Times New Roman"/>
          <w:b w:val="0"/>
          <w:sz w:val="24"/>
        </w:rPr>
        <w:t>La figure I.3 distingue les familles selon leur principe porteur. Elle ne prétend pas couvrir toutes les formes mixtes. Un pont à poutres peut être métallique ou en béton ; un arc peut être en maçonnerie, en acier ou en béton ; un ouvrage haubané peut associer plusieurs matériaux. Le matériau et le système structural sont donc deux axes complémentaires.</w:t>
      </w:r>
    </w:p>
    <w:p>
      <w:pPr>
        <w:keepNext/>
        <w:jc w:val="center"/>
      </w:pPr>
      <w:r>
        <w:drawing>
          <wp:inline xmlns:a="http://schemas.openxmlformats.org/drawingml/2006/main" xmlns:pic="http://schemas.openxmlformats.org/drawingml/2006/picture">
            <wp:extent cx="5760000" cy="3613018"/>
            <wp:docPr id="6" name="Picture 6"/>
            <wp:cNvGraphicFramePr>
              <a:graphicFrameLocks noChangeAspect="1"/>
            </wp:cNvGraphicFramePr>
            <a:graphic>
              <a:graphicData uri="http://schemas.openxmlformats.org/drawingml/2006/picture">
                <pic:pic>
                  <pic:nvPicPr>
                    <pic:cNvPr id="0" name="four_bridge_families.png"/>
                    <pic:cNvPicPr/>
                  </pic:nvPicPr>
                  <pic:blipFill>
                    <a:blip r:embed="rId24"/>
                    <a:stretch>
                      <a:fillRect/>
                    </a:stretch>
                  </pic:blipFill>
                  <pic:spPr>
                    <a:xfrm>
                      <a:off x="0" y="0"/>
                      <a:ext cx="5760000" cy="3613018"/>
                    </a:xfrm>
                    <a:prstGeom prst="rect"/>
                  </pic:spPr>
                </pic:pic>
              </a:graphicData>
            </a:graphic>
          </wp:inline>
        </w:drawing>
      </w:r>
    </w:p>
    <w:p>
      <w:bookmarkStart w:id="16" w:name="BM_FIGI_4"/>
      <w:pPr>
        <w:jc w:val="center"/>
      </w:pPr>
      <w:r>
        <w:rPr>
          <w:rFonts w:ascii="Times New Roman" w:hAnsi="Times New Roman" w:cs="Times New Roman" w:eastAsia="Times New Roman"/>
          <w:b/>
          <w:sz w:val="20"/>
        </w:rPr>
        <w:t>Figure I.4 — Quatre familles structurales et chemins principaux de transmission des charges</w:t>
      </w:r>
      <w:bookmarkEnd w:id="16"/>
    </w:p>
    <w:p>
      <w:pPr>
        <w:jc w:val="right"/>
      </w:pPr>
      <w:r>
        <w:rPr>
          <w:rFonts w:ascii="Times New Roman" w:hAnsi="Times New Roman" w:cs="Times New Roman" w:eastAsia="Times New Roman"/>
          <w:b w:val="0"/>
          <w:color w:val="59636B"/>
          <w:sz w:val="20"/>
        </w:rPr>
        <w:t>Source : schéma original de synthèse d’après les principes présentés par CHEN et DUAN (2014).</w:t>
      </w:r>
    </w:p>
    <w:p>
      <w:bookmarkStart w:id="17" w:name="BM_TABI_4"/>
      <w:pPr>
        <w:keepNext/>
        <w:jc w:val="center"/>
      </w:pPr>
      <w:r>
        <w:rPr>
          <w:rFonts w:ascii="Times New Roman" w:hAnsi="Times New Roman" w:cs="Times New Roman" w:eastAsia="Times New Roman"/>
          <w:b/>
          <w:sz w:val="20"/>
        </w:rPr>
        <w:t>Tableau I.4 — Comparaison géotechnique des quatre familles structurales</w:t>
      </w:r>
      <w:bookmarkEnd w:id="17"/>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Famille</w:t>
            </w:r>
          </w:p>
        </w:tc>
        <w:tc>
          <w:tcPr>
            <w:tcW w:type="dxa" w:w="2268"/>
            <w:vAlign w:val="center"/>
            <w:shd w:fill="1F4E79"/>
          </w:tcPr>
          <w:p>
            <w:pPr>
              <w:spacing w:after="30"/>
            </w:pPr>
            <w:r>
              <w:rPr>
                <w:rFonts w:ascii="Times New Roman" w:hAnsi="Times New Roman" w:cs="Times New Roman" w:eastAsia="Times New Roman"/>
                <w:b/>
                <w:color w:val="FFFFFF"/>
                <w:sz w:val="17"/>
              </w:rPr>
              <w:t>Principe porteur simplifié</w:t>
            </w:r>
          </w:p>
        </w:tc>
        <w:tc>
          <w:tcPr>
            <w:tcW w:type="dxa" w:w="2268"/>
            <w:vAlign w:val="center"/>
            <w:shd w:fill="1F4E79"/>
          </w:tcPr>
          <w:p>
            <w:pPr>
              <w:spacing w:after="30"/>
            </w:pPr>
            <w:r>
              <w:rPr>
                <w:rFonts w:ascii="Times New Roman" w:hAnsi="Times New Roman" w:cs="Times New Roman" w:eastAsia="Times New Roman"/>
                <w:b/>
                <w:color w:val="FFFFFF"/>
                <w:sz w:val="17"/>
              </w:rPr>
              <w:t>Points sensibles pour les appuis</w:t>
            </w:r>
          </w:p>
        </w:tc>
        <w:tc>
          <w:tcPr>
            <w:tcW w:type="dxa" w:w="2268"/>
            <w:vAlign w:val="center"/>
            <w:shd w:fill="1F4E79"/>
          </w:tcPr>
          <w:p>
            <w:pPr>
              <w:spacing w:after="30"/>
            </w:pPr>
            <w:r>
              <w:rPr>
                <w:rFonts w:ascii="Times New Roman" w:hAnsi="Times New Roman" w:cs="Times New Roman" w:eastAsia="Times New Roman"/>
                <w:b/>
                <w:color w:val="FFFFFF"/>
                <w:sz w:val="17"/>
              </w:rPr>
              <w:t>Priorités de reconnaissance</w:t>
            </w:r>
          </w:p>
        </w:tc>
      </w:tr>
      <w:tr>
        <w:trPr>
          <w:cantSplit/>
        </w:trPr>
        <w:tc>
          <w:tcPr>
            <w:tcW w:type="dxa" w:w="2268"/>
            <w:vAlign w:val="center"/>
          </w:tcPr>
          <w:p>
            <w:pPr>
              <w:spacing w:after="30"/>
            </w:pPr>
            <w:r>
              <w:rPr>
                <w:rFonts w:ascii="Times New Roman" w:hAnsi="Times New Roman" w:cs="Times New Roman" w:eastAsia="Times New Roman"/>
                <w:b w:val="0"/>
                <w:sz w:val="17"/>
              </w:rPr>
              <w:t>Poutres et dalles</w:t>
            </w:r>
          </w:p>
        </w:tc>
        <w:tc>
          <w:tcPr>
            <w:tcW w:type="dxa" w:w="2268"/>
            <w:vAlign w:val="center"/>
          </w:tcPr>
          <w:p>
            <w:pPr>
              <w:spacing w:after="30"/>
            </w:pPr>
            <w:r>
              <w:rPr>
                <w:rFonts w:ascii="Times New Roman" w:hAnsi="Times New Roman" w:cs="Times New Roman" w:eastAsia="Times New Roman"/>
                <w:b w:val="0"/>
                <w:sz w:val="17"/>
              </w:rPr>
              <w:t>Flexion du tablier et réactions aux appuis</w:t>
            </w:r>
          </w:p>
        </w:tc>
        <w:tc>
          <w:tcPr>
            <w:tcW w:type="dxa" w:w="2268"/>
            <w:vAlign w:val="center"/>
          </w:tcPr>
          <w:p>
            <w:pPr>
              <w:spacing w:after="30"/>
            </w:pPr>
            <w:r>
              <w:rPr>
                <w:rFonts w:ascii="Times New Roman" w:hAnsi="Times New Roman" w:cs="Times New Roman" w:eastAsia="Times New Roman"/>
                <w:b w:val="0"/>
                <w:sz w:val="17"/>
              </w:rPr>
              <w:t>Tassements différentiels, rotations, affouillement des piles et transition culée–remblai</w:t>
            </w:r>
          </w:p>
        </w:tc>
        <w:tc>
          <w:tcPr>
            <w:tcW w:type="dxa" w:w="2268"/>
            <w:vAlign w:val="center"/>
          </w:tcPr>
          <w:p>
            <w:pPr>
              <w:spacing w:after="30"/>
            </w:pPr>
            <w:r>
              <w:rPr>
                <w:rFonts w:ascii="Times New Roman" w:hAnsi="Times New Roman" w:cs="Times New Roman" w:eastAsia="Times New Roman"/>
                <w:b w:val="0"/>
                <w:sz w:val="17"/>
              </w:rPr>
              <w:t>Variabilité entre appuis, compressibilité, lit du cours d’eau et phases de chargement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Arcs</w:t>
            </w:r>
          </w:p>
        </w:tc>
        <w:tc>
          <w:tcPr>
            <w:tcW w:type="dxa" w:w="2268"/>
            <w:vAlign w:val="center"/>
            <w:shd w:fill="F3F6F8"/>
          </w:tcPr>
          <w:p>
            <w:pPr>
              <w:spacing w:after="30"/>
            </w:pPr>
            <w:r>
              <w:rPr>
                <w:rFonts w:ascii="Times New Roman" w:hAnsi="Times New Roman" w:cs="Times New Roman" w:eastAsia="Times New Roman"/>
                <w:b w:val="0"/>
                <w:sz w:val="17"/>
              </w:rPr>
              <w:t>Compression de l’arc et poussée sur les culées</w:t>
            </w:r>
          </w:p>
        </w:tc>
        <w:tc>
          <w:tcPr>
            <w:tcW w:type="dxa" w:w="2268"/>
            <w:vAlign w:val="center"/>
            <w:shd w:fill="F3F6F8"/>
          </w:tcPr>
          <w:p>
            <w:pPr>
              <w:spacing w:after="30"/>
            </w:pPr>
            <w:r>
              <w:rPr>
                <w:rFonts w:ascii="Times New Roman" w:hAnsi="Times New Roman" w:cs="Times New Roman" w:eastAsia="Times New Roman"/>
                <w:b w:val="0"/>
                <w:sz w:val="17"/>
              </w:rPr>
              <w:t>Glissement ou rotation des culées, déformation des rives et perte de géométrie</w:t>
            </w:r>
          </w:p>
        </w:tc>
        <w:tc>
          <w:tcPr>
            <w:tcW w:type="dxa" w:w="2268"/>
            <w:vAlign w:val="center"/>
            <w:shd w:fill="F3F6F8"/>
          </w:tcPr>
          <w:p>
            <w:pPr>
              <w:spacing w:after="30"/>
            </w:pPr>
            <w:r>
              <w:rPr>
                <w:rFonts w:ascii="Times New Roman" w:hAnsi="Times New Roman" w:cs="Times New Roman" w:eastAsia="Times New Roman"/>
                <w:b w:val="0"/>
                <w:sz w:val="17"/>
              </w:rPr>
              <w:t>Résistance et déformabilité des appuis, stabilité des berges et discontinuités</w:t>
            </w:r>
          </w:p>
        </w:tc>
      </w:tr>
      <w:tr>
        <w:trPr>
          <w:cantSplit/>
        </w:trPr>
        <w:tc>
          <w:tcPr>
            <w:tcW w:type="dxa" w:w="2268"/>
            <w:vAlign w:val="center"/>
          </w:tcPr>
          <w:p>
            <w:pPr>
              <w:spacing w:after="30"/>
            </w:pPr>
            <w:r>
              <w:rPr>
                <w:rFonts w:ascii="Times New Roman" w:hAnsi="Times New Roman" w:cs="Times New Roman" w:eastAsia="Times New Roman"/>
                <w:b w:val="0"/>
                <w:sz w:val="17"/>
              </w:rPr>
              <w:t>Suspendus</w:t>
            </w:r>
          </w:p>
        </w:tc>
        <w:tc>
          <w:tcPr>
            <w:tcW w:type="dxa" w:w="2268"/>
            <w:vAlign w:val="center"/>
          </w:tcPr>
          <w:p>
            <w:pPr>
              <w:spacing w:after="30"/>
            </w:pPr>
            <w:r>
              <w:rPr>
                <w:rFonts w:ascii="Times New Roman" w:hAnsi="Times New Roman" w:cs="Times New Roman" w:eastAsia="Times New Roman"/>
                <w:b w:val="0"/>
                <w:sz w:val="17"/>
              </w:rPr>
              <w:t>Câbles principaux en traction, pylônes en compression et ancrages</w:t>
            </w:r>
          </w:p>
        </w:tc>
        <w:tc>
          <w:tcPr>
            <w:tcW w:type="dxa" w:w="2268"/>
            <w:vAlign w:val="center"/>
          </w:tcPr>
          <w:p>
            <w:pPr>
              <w:spacing w:after="30"/>
            </w:pPr>
            <w:r>
              <w:rPr>
                <w:rFonts w:ascii="Times New Roman" w:hAnsi="Times New Roman" w:cs="Times New Roman" w:eastAsia="Times New Roman"/>
                <w:b w:val="0"/>
                <w:sz w:val="17"/>
              </w:rPr>
              <w:t>Charges concentrées aux tours, traction aux ancrages et mouvements du terrain</w:t>
            </w:r>
          </w:p>
        </w:tc>
        <w:tc>
          <w:tcPr>
            <w:tcW w:type="dxa" w:w="2268"/>
            <w:vAlign w:val="center"/>
          </w:tcPr>
          <w:p>
            <w:pPr>
              <w:spacing w:after="30"/>
            </w:pPr>
            <w:r>
              <w:rPr>
                <w:rFonts w:ascii="Times New Roman" w:hAnsi="Times New Roman" w:cs="Times New Roman" w:eastAsia="Times New Roman"/>
                <w:b w:val="0"/>
                <w:sz w:val="17"/>
              </w:rPr>
              <w:t>Modèle des tours et ancrages, portance, soulèvement éventuel et interaction dynamique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Haubanés</w:t>
            </w:r>
          </w:p>
        </w:tc>
        <w:tc>
          <w:tcPr>
            <w:tcW w:type="dxa" w:w="2268"/>
            <w:vAlign w:val="center"/>
            <w:shd w:fill="F3F6F8"/>
          </w:tcPr>
          <w:p>
            <w:pPr>
              <w:spacing w:after="30"/>
            </w:pPr>
            <w:r>
              <w:rPr>
                <w:rFonts w:ascii="Times New Roman" w:hAnsi="Times New Roman" w:cs="Times New Roman" w:eastAsia="Times New Roman"/>
                <w:b w:val="0"/>
                <w:sz w:val="17"/>
              </w:rPr>
              <w:t>Tablier soutenu par des haubans inclinés et pylônes comprimés</w:t>
            </w:r>
          </w:p>
        </w:tc>
        <w:tc>
          <w:tcPr>
            <w:tcW w:type="dxa" w:w="2268"/>
            <w:vAlign w:val="center"/>
            <w:shd w:fill="F3F6F8"/>
          </w:tcPr>
          <w:p>
            <w:pPr>
              <w:spacing w:after="30"/>
            </w:pPr>
            <w:r>
              <w:rPr>
                <w:rFonts w:ascii="Times New Roman" w:hAnsi="Times New Roman" w:cs="Times New Roman" w:eastAsia="Times New Roman"/>
                <w:b w:val="0"/>
                <w:sz w:val="17"/>
              </w:rPr>
              <w:t>Efforts variables selon les phases, réactions aux pylônes et sensibilité aux déplacements</w:t>
            </w:r>
          </w:p>
        </w:tc>
        <w:tc>
          <w:tcPr>
            <w:tcW w:type="dxa" w:w="2268"/>
            <w:vAlign w:val="center"/>
            <w:shd w:fill="F3F6F8"/>
          </w:tcPr>
          <w:p>
            <w:pPr>
              <w:spacing w:after="30"/>
            </w:pPr>
            <w:r>
              <w:rPr>
                <w:rFonts w:ascii="Times New Roman" w:hAnsi="Times New Roman" w:cs="Times New Roman" w:eastAsia="Times New Roman"/>
                <w:b w:val="0"/>
                <w:sz w:val="17"/>
              </w:rPr>
              <w:t>Construction par étapes, déformations différées, effets horizontaux et suivi</w:t>
            </w:r>
          </w:p>
        </w:tc>
      </w:tr>
    </w:tbl>
    <w:p>
      <w:pPr>
        <w:spacing w:after="20"/>
      </w:pPr>
    </w:p>
    <w:p>
      <w:pPr>
        <w:pStyle w:val="Heading3"/>
      </w:pPr>
      <w:r>
        <w:rPr>
          <w:rFonts w:ascii="Times New Roman" w:hAnsi="Times New Roman" w:cs="Times New Roman" w:eastAsia="Times New Roman"/>
          <w:b/>
          <w:color w:val="233741"/>
          <w:sz w:val="24"/>
        </w:rPr>
        <w:t>I.4.2 Ponts à poutres et à dalles</w:t>
      </w:r>
    </w:p>
    <w:p>
      <w:pPr>
        <w:jc w:val="both"/>
      </w:pPr>
      <w:r>
        <w:rPr>
          <w:rFonts w:ascii="Times New Roman" w:hAnsi="Times New Roman" w:cs="Times New Roman" w:eastAsia="Times New Roman"/>
          <w:b w:val="0"/>
          <w:sz w:val="24"/>
        </w:rPr>
        <w:t>Le fonctionnement de base est la flexion. Les travées peuvent être simplement appuyées, continues, en porte-à-faux ou intégrales aux appuis. Cette diversité interdit d’associer automatiquement une famille à une plage de portée ou à un type de fondation. La continuité et les liaisons au tablier déterminent notamment la manière dont un tassement différentiel se transforme en efforts parasites.</w:t>
      </w:r>
    </w:p>
    <w:p>
      <w:pPr>
        <w:jc w:val="both"/>
      </w:pPr>
      <w:r>
        <w:rPr>
          <w:rFonts w:ascii="Times New Roman" w:hAnsi="Times New Roman" w:cs="Times New Roman" w:eastAsia="Times New Roman"/>
          <w:b w:val="0"/>
          <w:sz w:val="24"/>
        </w:rPr>
        <w:t>Pour les piles situées dans le lit, l’affouillement modifie la géométrie de la fondation et peut réduire sa stabilité. Pour les culées, la transition avec le remblai est souvent déterminante : tassement du remblai, poussée des terres, drainage et compactage interviennent ensemble. La reconnaissance doit donc distinguer les appuis de rive et les appuis en cours d’eau, puis examiner chacun dans sa configuration structurale.</w:t>
      </w:r>
    </w:p>
    <w:p>
      <w:pPr>
        <w:jc w:val="both"/>
      </w:pPr>
      <w:r>
        <w:rPr>
          <w:rFonts w:ascii="Times New Roman" w:hAnsi="Times New Roman" w:cs="Times New Roman" w:eastAsia="Times New Roman"/>
          <w:b w:val="0"/>
          <w:sz w:val="24"/>
        </w:rPr>
        <w:t>L’évolution technique des poutres et dalles — préfabrication, précontrainte, construction par encorbellements ou tabliers intégraux — renforce l’importance du calendrier. Une couche compressible peut être acceptable pour une structure et problématique pour une autre, non en raison d’un seuil universel, mais parce que les déplacements et leurs vitesses agissent différemment sur le système.</w:t>
      </w:r>
    </w:p>
    <w:p>
      <w:pPr>
        <w:pStyle w:val="Heading3"/>
      </w:pPr>
      <w:r>
        <w:rPr>
          <w:rFonts w:ascii="Times New Roman" w:hAnsi="Times New Roman" w:cs="Times New Roman" w:eastAsia="Times New Roman"/>
          <w:b/>
          <w:color w:val="233741"/>
          <w:sz w:val="24"/>
        </w:rPr>
        <w:t>I.4.3 Ponts en arc</w:t>
      </w:r>
    </w:p>
    <w:p>
      <w:pPr>
        <w:jc w:val="both"/>
      </w:pPr>
      <w:r>
        <w:rPr>
          <w:rFonts w:ascii="Times New Roman" w:hAnsi="Times New Roman" w:cs="Times New Roman" w:eastAsia="Times New Roman"/>
          <w:b w:val="0"/>
          <w:sz w:val="24"/>
        </w:rPr>
        <w:t>L’arc transforme une grande partie des actions verticales en compression, mais il exige des appuis capables de reprendre la poussée. Une rotation ou un déplacement horizontal des culées peut changer la géométrie et la répartition des contraintes. La reconnaissance accorde ainsi une attention particulière aux berges, aux discontinuités du rocher, aux sols compressibles et aux circulations d’eau susceptibles de modifier la stabilité.</w:t>
      </w:r>
    </w:p>
    <w:p>
      <w:pPr>
        <w:jc w:val="both"/>
      </w:pPr>
      <w:r>
        <w:rPr>
          <w:rFonts w:ascii="Times New Roman" w:hAnsi="Times New Roman" w:cs="Times New Roman" w:eastAsia="Times New Roman"/>
          <w:b w:val="0"/>
          <w:sz w:val="24"/>
        </w:rPr>
        <w:t>Les arcs de maçonnerie, les arcs en béton et les arcs métalliques ne partagent pas les mêmes tolérances de déformation. Les conditions de construction diffèrent également : cintre, encorbellement, préfabrication ou remblaiement modifient les situations temporaires. Le modèle géotechnique doit donc décrire la résistance et la déformabilité des massifs d’appui, ainsi que la stabilité globale des rives.</w:t>
      </w:r>
    </w:p>
    <w:p>
      <w:pPr>
        <w:jc w:val="both"/>
      </w:pPr>
      <w:r>
        <w:rPr>
          <w:rFonts w:ascii="Times New Roman" w:hAnsi="Times New Roman" w:cs="Times New Roman" w:eastAsia="Times New Roman"/>
          <w:b w:val="0"/>
          <w:sz w:val="24"/>
        </w:rPr>
        <w:t>Le développement des arcs illustre une règle générale : une solution efficace dans un massif rocheux compétent ne se transpose pas directement dans une vallée alluviale compressible. Le choix du système structural et celui de la fondation sont interdépendants.</w:t>
      </w:r>
    </w:p>
    <w:p>
      <w:pPr>
        <w:pStyle w:val="Heading3"/>
      </w:pPr>
      <w:r>
        <w:rPr>
          <w:rFonts w:ascii="Times New Roman" w:hAnsi="Times New Roman" w:cs="Times New Roman" w:eastAsia="Times New Roman"/>
          <w:b/>
          <w:color w:val="233741"/>
          <w:sz w:val="24"/>
        </w:rPr>
        <w:t>I.4.4 Ponts suspendus</w:t>
      </w:r>
    </w:p>
    <w:p>
      <w:pPr>
        <w:jc w:val="both"/>
      </w:pPr>
      <w:r>
        <w:rPr>
          <w:rFonts w:ascii="Times New Roman" w:hAnsi="Times New Roman" w:cs="Times New Roman" w:eastAsia="Times New Roman"/>
          <w:b w:val="0"/>
          <w:sz w:val="24"/>
        </w:rPr>
        <w:t>Dans un pont suspendu, le tablier est supporté par des suspentes reliées aux câbles principaux. Ceux-ci transmettent des efforts aux pylônes et aux ancrages. La reconnaissance doit couvrir ces zones parfois éloignées du chenal principal. Le terrain des ancrages peut être sollicité en traction, en compression inclinée ou par une combinaison d’effets, selon le système retenu.</w:t>
      </w:r>
    </w:p>
    <w:p>
      <w:pPr>
        <w:jc w:val="both"/>
      </w:pPr>
      <w:r>
        <w:rPr>
          <w:rFonts w:ascii="Times New Roman" w:hAnsi="Times New Roman" w:cs="Times New Roman" w:eastAsia="Times New Roman"/>
          <w:b w:val="0"/>
          <w:sz w:val="24"/>
        </w:rPr>
        <w:t>Les pylônes concentrent des charges importantes et peuvent être sensibles aux déplacements différentiels. Les ancrages nécessitent une compréhension de la stabilité du massif, des discontinuités, du drainage et de la durabilité des éléments enterrés. La reconnaissance ne se limite donc pas aux emprises du tablier.</w:t>
      </w:r>
    </w:p>
    <w:p>
      <w:pPr>
        <w:jc w:val="both"/>
      </w:pPr>
      <w:r>
        <w:rPr>
          <w:rFonts w:ascii="Times New Roman" w:hAnsi="Times New Roman" w:cs="Times New Roman" w:eastAsia="Times New Roman"/>
          <w:b w:val="0"/>
          <w:sz w:val="24"/>
        </w:rPr>
        <w:t>L’évolution des câbles et des méthodes de construction a permis de grandes portées, mais a aussi accru l’exigence de coordination entre structure et géotechnique. Les hypothèses de rigidité du terrain utilisées dans le modèle structural doivent être compatibles avec les données d’essais et avec les niveaux de déformation attendus.</w:t>
      </w:r>
    </w:p>
    <w:p>
      <w:pPr>
        <w:pStyle w:val="Heading3"/>
      </w:pPr>
      <w:r>
        <w:rPr>
          <w:rFonts w:ascii="Times New Roman" w:hAnsi="Times New Roman" w:cs="Times New Roman" w:eastAsia="Times New Roman"/>
          <w:b/>
          <w:color w:val="233741"/>
          <w:sz w:val="24"/>
        </w:rPr>
        <w:t>I.4.5 Ponts haubanés</w:t>
      </w:r>
    </w:p>
    <w:p>
      <w:pPr>
        <w:jc w:val="both"/>
      </w:pPr>
      <w:r>
        <w:rPr>
          <w:rFonts w:ascii="Times New Roman" w:hAnsi="Times New Roman" w:cs="Times New Roman" w:eastAsia="Times New Roman"/>
          <w:b w:val="0"/>
          <w:sz w:val="24"/>
        </w:rPr>
        <w:t>Dans un pont haubané, les haubans relient directement le tablier aux pylônes. Leur disposition influence la flexion du tablier, la compression des pylônes et les réactions aux appuis. Les phases de construction et de tension des haubans modifient progressivement le système : la situation finale ne suffit pas à définir toutes les sollicitations des fondations.</w:t>
      </w:r>
    </w:p>
    <w:p>
      <w:pPr>
        <w:jc w:val="both"/>
      </w:pPr>
      <w:r>
        <w:rPr>
          <w:rFonts w:ascii="Times New Roman" w:hAnsi="Times New Roman" w:cs="Times New Roman" w:eastAsia="Times New Roman"/>
          <w:b w:val="0"/>
          <w:sz w:val="24"/>
        </w:rPr>
        <w:t>La reconnaissance doit fournir des paramètres adaptés aux déplacements de faible amplitude comme aux vérifications ultimes. La variation des réactions pendant le montage, le fluage du béton et les tassements différés peuvent nécessiter des itérations entre le modèle géotechnique et le modèle structural.</w:t>
      </w:r>
    </w:p>
    <w:p>
      <w:pPr>
        <w:jc w:val="both"/>
      </w:pPr>
      <w:r>
        <w:rPr>
          <w:rFonts w:ascii="Times New Roman" w:hAnsi="Times New Roman" w:cs="Times New Roman" w:eastAsia="Times New Roman"/>
          <w:b w:val="0"/>
          <w:sz w:val="24"/>
        </w:rPr>
        <w:t>Les ponts haubanés et suspendus partagent des éléments — pylônes, câbles et grandes portées — mais leur chemin de charge n’est pas identique. Les regrouper sous une même prescription de fondation effacerait précisément les différences utiles à la reconnaissance.</w:t>
      </w:r>
    </w:p>
    <w:p>
      <w:pPr>
        <w:pStyle w:val="Heading3"/>
      </w:pPr>
      <w:r>
        <w:rPr>
          <w:rFonts w:ascii="Times New Roman" w:hAnsi="Times New Roman" w:cs="Times New Roman" w:eastAsia="Times New Roman"/>
          <w:b/>
          <w:color w:val="233741"/>
          <w:sz w:val="24"/>
        </w:rPr>
        <w:t>I.4.6 Exemples, atouts et limites de chaque famille</w:t>
      </w:r>
    </w:p>
    <w:p>
      <w:pPr>
        <w:jc w:val="both"/>
      </w:pPr>
      <w:r>
        <w:rPr>
          <w:rFonts w:ascii="Times New Roman" w:hAnsi="Times New Roman" w:cs="Times New Roman" w:eastAsia="Times New Roman"/>
          <w:b w:val="0"/>
          <w:sz w:val="24"/>
        </w:rPr>
        <w:t>Le pont de Luzancy, commencé en 1941 et achevé en 1946, illustre le développement des structures en béton précontraint et de la préfabrication segmentaire. Ses poutres-caissons préfabriquées ont été assemblées sans cintre ni support temporaire entre les appuis, ce qui relie directement innovation du tablier et organisation du chantier. Il est retenu ici comme jalon des systèmes de poutres et cadres élancés, sans en faire une limite de portée ou un modèle à copier (XERCAVINS et al., 2008). L’Iron Bridge, achevé en 1779, illustre l’emploi de la fonte dans un arc et la permanence des questions de culées et de mouvements du terrain (ENGLISH HERITAGE, s. d.).</w:t>
      </w:r>
    </w:p>
    <w:p>
      <w:pPr>
        <w:jc w:val="both"/>
      </w:pPr>
      <w:r>
        <w:rPr>
          <w:rFonts w:ascii="Times New Roman" w:hAnsi="Times New Roman" w:cs="Times New Roman" w:eastAsia="Times New Roman"/>
          <w:b w:val="0"/>
          <w:sz w:val="24"/>
        </w:rPr>
        <w:t>Pour les structures suspendues, le Brooklyn Bridge, ouvert en 1883, marque l’emploi de fils d’acier galvanisé dans les câbles et l’importance des travaux de fondation et d’inspection pendant la construction (ASCE, s. d.). À Constantine, le pont de Sidi M’Cid, ouvert en 1912, associe suspension et haubans selon la notice Archnet. Il rappelle que les ouvrages réels peuvent être hybrides et qu’une classification doit décrire le chemin de charge plutôt que forcer une étiquette unique (ARCHNET, s. d.).</w:t>
      </w:r>
    </w:p>
    <w:p>
      <w:pPr>
        <w:jc w:val="both"/>
      </w:pPr>
      <w:r>
        <w:rPr>
          <w:rFonts w:ascii="Times New Roman" w:hAnsi="Times New Roman" w:cs="Times New Roman" w:eastAsia="Times New Roman"/>
          <w:b w:val="0"/>
          <w:sz w:val="24"/>
        </w:rPr>
        <w:t>Le viaduc de Millau constitue un exemple haubané particulièrement instructif pour la géotechnique. Les fondations s’adaptent aux calcaires et aux marnes, et la méthode observationnelle a été employée pour suivre les déplacements et prévoir des actions correctives. L’exemple démontre l’intérêt d’une reconnaissance différenciée par appui ; il ne fournit pas une dimension de fondation transférable à un autre site (SCHLOSSER et al., 2013).</w:t>
      </w:r>
    </w:p>
    <w:p>
      <w:bookmarkStart w:id="18" w:name="BM_TABI_5"/>
      <w:pPr>
        <w:keepNext/>
        <w:jc w:val="center"/>
      </w:pPr>
      <w:r>
        <w:rPr>
          <w:rFonts w:ascii="Times New Roman" w:hAnsi="Times New Roman" w:cs="Times New Roman" w:eastAsia="Times New Roman"/>
          <w:b/>
          <w:sz w:val="20"/>
        </w:rPr>
        <w:t>Tableau I.5 — Lecture homogène des quatre familles structurales</w:t>
      </w:r>
      <w:bookmarkEnd w:id="18"/>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Famille et exemple</w:t>
            </w:r>
          </w:p>
        </w:tc>
        <w:tc>
          <w:tcPr>
            <w:tcW w:type="dxa" w:w="1814"/>
            <w:vAlign w:val="center"/>
            <w:shd w:fill="1F4E79"/>
          </w:tcPr>
          <w:p>
            <w:pPr>
              <w:spacing w:after="30"/>
            </w:pPr>
            <w:r>
              <w:rPr>
                <w:rFonts w:ascii="Times New Roman" w:hAnsi="Times New Roman" w:cs="Times New Roman" w:eastAsia="Times New Roman"/>
                <w:b/>
                <w:color w:val="FFFFFF"/>
                <w:sz w:val="17"/>
              </w:rPr>
              <w:t>Atouts recherchés</w:t>
            </w:r>
          </w:p>
        </w:tc>
        <w:tc>
          <w:tcPr>
            <w:tcW w:type="dxa" w:w="1814"/>
            <w:vAlign w:val="center"/>
            <w:shd w:fill="1F4E79"/>
          </w:tcPr>
          <w:p>
            <w:pPr>
              <w:spacing w:after="30"/>
            </w:pPr>
            <w:r>
              <w:rPr>
                <w:rFonts w:ascii="Times New Roman" w:hAnsi="Times New Roman" w:cs="Times New Roman" w:eastAsia="Times New Roman"/>
                <w:b/>
                <w:color w:val="FFFFFF"/>
                <w:sz w:val="17"/>
              </w:rPr>
              <w:t>Limites ou sensibilités</w:t>
            </w:r>
          </w:p>
        </w:tc>
        <w:tc>
          <w:tcPr>
            <w:tcW w:type="dxa" w:w="1814"/>
            <w:vAlign w:val="center"/>
            <w:shd w:fill="1F4E79"/>
          </w:tcPr>
          <w:p>
            <w:pPr>
              <w:spacing w:after="30"/>
            </w:pPr>
            <w:r>
              <w:rPr>
                <w:rFonts w:ascii="Times New Roman" w:hAnsi="Times New Roman" w:cs="Times New Roman" w:eastAsia="Times New Roman"/>
                <w:b/>
                <w:color w:val="FFFFFF"/>
                <w:sz w:val="17"/>
              </w:rPr>
              <w:t>Évolution technique</w:t>
            </w:r>
          </w:p>
        </w:tc>
        <w:tc>
          <w:tcPr>
            <w:tcW w:type="dxa" w:w="1814"/>
            <w:vAlign w:val="center"/>
            <w:shd w:fill="1F4E79"/>
          </w:tcPr>
          <w:p>
            <w:pPr>
              <w:spacing w:after="30"/>
            </w:pPr>
            <w:r>
              <w:rPr>
                <w:rFonts w:ascii="Times New Roman" w:hAnsi="Times New Roman" w:cs="Times New Roman" w:eastAsia="Times New Roman"/>
                <w:b/>
                <w:color w:val="FFFFFF"/>
                <w:sz w:val="17"/>
              </w:rPr>
              <w:t>Exigence géotechnique dominante</w:t>
            </w:r>
          </w:p>
        </w:tc>
      </w:tr>
      <w:tr>
        <w:trPr>
          <w:cantSplit/>
        </w:trPr>
        <w:tc>
          <w:tcPr>
            <w:tcW w:type="dxa" w:w="1814"/>
            <w:vAlign w:val="center"/>
          </w:tcPr>
          <w:p>
            <w:pPr>
              <w:spacing w:after="30"/>
            </w:pPr>
            <w:r>
              <w:rPr>
                <w:rFonts w:ascii="Times New Roman" w:hAnsi="Times New Roman" w:cs="Times New Roman" w:eastAsia="Times New Roman"/>
                <w:b w:val="0"/>
                <w:sz w:val="17"/>
              </w:rPr>
              <w:t>Poutres et dalles ; Luzancy</w:t>
            </w:r>
          </w:p>
        </w:tc>
        <w:tc>
          <w:tcPr>
            <w:tcW w:type="dxa" w:w="1814"/>
            <w:vAlign w:val="center"/>
          </w:tcPr>
          <w:p>
            <w:pPr>
              <w:spacing w:after="30"/>
            </w:pPr>
            <w:r>
              <w:rPr>
                <w:rFonts w:ascii="Times New Roman" w:hAnsi="Times New Roman" w:cs="Times New Roman" w:eastAsia="Times New Roman"/>
                <w:b w:val="0"/>
                <w:sz w:val="17"/>
              </w:rPr>
              <w:t>Industrialisation, continuité et diversité des travées</w:t>
            </w:r>
          </w:p>
        </w:tc>
        <w:tc>
          <w:tcPr>
            <w:tcW w:type="dxa" w:w="1814"/>
            <w:vAlign w:val="center"/>
          </w:tcPr>
          <w:p>
            <w:pPr>
              <w:spacing w:after="30"/>
            </w:pPr>
            <w:r>
              <w:rPr>
                <w:rFonts w:ascii="Times New Roman" w:hAnsi="Times New Roman" w:cs="Times New Roman" w:eastAsia="Times New Roman"/>
                <w:b w:val="0"/>
                <w:sz w:val="17"/>
              </w:rPr>
              <w:t>Déplacements imposés, joints, appareils d’appui et transitions de rive</w:t>
            </w:r>
          </w:p>
        </w:tc>
        <w:tc>
          <w:tcPr>
            <w:tcW w:type="dxa" w:w="1814"/>
            <w:vAlign w:val="center"/>
          </w:tcPr>
          <w:p>
            <w:pPr>
              <w:spacing w:after="30"/>
            </w:pPr>
            <w:r>
              <w:rPr>
                <w:rFonts w:ascii="Times New Roman" w:hAnsi="Times New Roman" w:cs="Times New Roman" w:eastAsia="Times New Roman"/>
                <w:b w:val="0"/>
                <w:sz w:val="17"/>
              </w:rPr>
              <w:t>Précontrainte, préfabrication et tabliers intégraux</w:t>
            </w:r>
          </w:p>
        </w:tc>
        <w:tc>
          <w:tcPr>
            <w:tcW w:type="dxa" w:w="1814"/>
            <w:vAlign w:val="center"/>
          </w:tcPr>
          <w:p>
            <w:pPr>
              <w:spacing w:after="30"/>
            </w:pPr>
            <w:r>
              <w:rPr>
                <w:rFonts w:ascii="Times New Roman" w:hAnsi="Times New Roman" w:cs="Times New Roman" w:eastAsia="Times New Roman"/>
                <w:b w:val="0"/>
                <w:sz w:val="17"/>
              </w:rPr>
              <w:t>Variabilité et tassements entre appuis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Arcs ; Alcántara et Iron Bridge</w:t>
            </w:r>
          </w:p>
        </w:tc>
        <w:tc>
          <w:tcPr>
            <w:tcW w:type="dxa" w:w="1814"/>
            <w:vAlign w:val="center"/>
            <w:shd w:fill="F3F6F8"/>
          </w:tcPr>
          <w:p>
            <w:pPr>
              <w:spacing w:after="30"/>
            </w:pPr>
            <w:r>
              <w:rPr>
                <w:rFonts w:ascii="Times New Roman" w:hAnsi="Times New Roman" w:cs="Times New Roman" w:eastAsia="Times New Roman"/>
                <w:b w:val="0"/>
                <w:sz w:val="17"/>
              </w:rPr>
              <w:t>Fonctionnement en compression et franchissement de gorges</w:t>
            </w:r>
          </w:p>
        </w:tc>
        <w:tc>
          <w:tcPr>
            <w:tcW w:type="dxa" w:w="1814"/>
            <w:vAlign w:val="center"/>
            <w:shd w:fill="F3F6F8"/>
          </w:tcPr>
          <w:p>
            <w:pPr>
              <w:spacing w:after="30"/>
            </w:pPr>
            <w:r>
              <w:rPr>
                <w:rFonts w:ascii="Times New Roman" w:hAnsi="Times New Roman" w:cs="Times New Roman" w:eastAsia="Times New Roman"/>
                <w:b w:val="0"/>
                <w:sz w:val="17"/>
              </w:rPr>
              <w:t>Poussée, déplacement des culées et sensibilité de la forme</w:t>
            </w:r>
          </w:p>
        </w:tc>
        <w:tc>
          <w:tcPr>
            <w:tcW w:type="dxa" w:w="1814"/>
            <w:vAlign w:val="center"/>
            <w:shd w:fill="F3F6F8"/>
          </w:tcPr>
          <w:p>
            <w:pPr>
              <w:spacing w:after="30"/>
            </w:pPr>
            <w:r>
              <w:rPr>
                <w:rFonts w:ascii="Times New Roman" w:hAnsi="Times New Roman" w:cs="Times New Roman" w:eastAsia="Times New Roman"/>
                <w:b w:val="0"/>
                <w:sz w:val="17"/>
              </w:rPr>
              <w:t>Maçonnerie, fonte, acier puis béton</w:t>
            </w:r>
          </w:p>
        </w:tc>
        <w:tc>
          <w:tcPr>
            <w:tcW w:type="dxa" w:w="1814"/>
            <w:vAlign w:val="center"/>
            <w:shd w:fill="F3F6F8"/>
          </w:tcPr>
          <w:p>
            <w:pPr>
              <w:spacing w:after="30"/>
            </w:pPr>
            <w:r>
              <w:rPr>
                <w:rFonts w:ascii="Times New Roman" w:hAnsi="Times New Roman" w:cs="Times New Roman" w:eastAsia="Times New Roman"/>
                <w:b w:val="0"/>
                <w:sz w:val="17"/>
              </w:rPr>
              <w:t>Résistance, déformabilité et stabilité des massifs d’appui</w:t>
            </w:r>
          </w:p>
        </w:tc>
      </w:tr>
      <w:tr>
        <w:trPr>
          <w:cantSplit/>
        </w:trPr>
        <w:tc>
          <w:tcPr>
            <w:tcW w:type="dxa" w:w="1814"/>
            <w:vAlign w:val="center"/>
          </w:tcPr>
          <w:p>
            <w:pPr>
              <w:spacing w:after="30"/>
            </w:pPr>
            <w:r>
              <w:rPr>
                <w:rFonts w:ascii="Times New Roman" w:hAnsi="Times New Roman" w:cs="Times New Roman" w:eastAsia="Times New Roman"/>
                <w:b w:val="0"/>
                <w:sz w:val="17"/>
              </w:rPr>
              <w:t>Suspendus ; Brooklyn et Sidi M’Cid</w:t>
            </w:r>
          </w:p>
        </w:tc>
        <w:tc>
          <w:tcPr>
            <w:tcW w:type="dxa" w:w="1814"/>
            <w:vAlign w:val="center"/>
          </w:tcPr>
          <w:p>
            <w:pPr>
              <w:spacing w:after="30"/>
            </w:pPr>
            <w:r>
              <w:rPr>
                <w:rFonts w:ascii="Times New Roman" w:hAnsi="Times New Roman" w:cs="Times New Roman" w:eastAsia="Times New Roman"/>
                <w:b w:val="0"/>
                <w:sz w:val="17"/>
              </w:rPr>
              <w:t>Grandes portées et tablier soutenu par câbles</w:t>
            </w:r>
          </w:p>
        </w:tc>
        <w:tc>
          <w:tcPr>
            <w:tcW w:type="dxa" w:w="1814"/>
            <w:vAlign w:val="center"/>
          </w:tcPr>
          <w:p>
            <w:pPr>
              <w:spacing w:after="30"/>
            </w:pPr>
            <w:r>
              <w:rPr>
                <w:rFonts w:ascii="Times New Roman" w:hAnsi="Times New Roman" w:cs="Times New Roman" w:eastAsia="Times New Roman"/>
                <w:b w:val="0"/>
                <w:sz w:val="17"/>
              </w:rPr>
              <w:t>Vent, charges concentrées et ancrages ; formes parfois hybrides</w:t>
            </w:r>
          </w:p>
        </w:tc>
        <w:tc>
          <w:tcPr>
            <w:tcW w:type="dxa" w:w="1814"/>
            <w:vAlign w:val="center"/>
          </w:tcPr>
          <w:p>
            <w:pPr>
              <w:spacing w:after="30"/>
            </w:pPr>
            <w:r>
              <w:rPr>
                <w:rFonts w:ascii="Times New Roman" w:hAnsi="Times New Roman" w:cs="Times New Roman" w:eastAsia="Times New Roman"/>
                <w:b w:val="0"/>
                <w:sz w:val="17"/>
              </w:rPr>
              <w:t>Câbles d’acier, analyses dynamiques et construction par phases</w:t>
            </w:r>
          </w:p>
        </w:tc>
        <w:tc>
          <w:tcPr>
            <w:tcW w:type="dxa" w:w="1814"/>
            <w:vAlign w:val="center"/>
          </w:tcPr>
          <w:p>
            <w:pPr>
              <w:spacing w:after="30"/>
            </w:pPr>
            <w:r>
              <w:rPr>
                <w:rFonts w:ascii="Times New Roman" w:hAnsi="Times New Roman" w:cs="Times New Roman" w:eastAsia="Times New Roman"/>
                <w:b w:val="0"/>
                <w:sz w:val="17"/>
              </w:rPr>
              <w:t>Tours, ancrages et interaction dynamique avec le terrain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Haubanés ; Strömsund puis Millau</w:t>
            </w:r>
          </w:p>
        </w:tc>
        <w:tc>
          <w:tcPr>
            <w:tcW w:type="dxa" w:w="1814"/>
            <w:vAlign w:val="center"/>
            <w:shd w:fill="F3F6F8"/>
          </w:tcPr>
          <w:p>
            <w:pPr>
              <w:spacing w:after="30"/>
            </w:pPr>
            <w:r>
              <w:rPr>
                <w:rFonts w:ascii="Times New Roman" w:hAnsi="Times New Roman" w:cs="Times New Roman" w:eastAsia="Times New Roman"/>
                <w:b w:val="0"/>
                <w:sz w:val="17"/>
              </w:rPr>
              <w:t>Portées importantes et optimisation du tablier</w:t>
            </w:r>
          </w:p>
        </w:tc>
        <w:tc>
          <w:tcPr>
            <w:tcW w:type="dxa" w:w="1814"/>
            <w:vAlign w:val="center"/>
            <w:shd w:fill="F3F6F8"/>
          </w:tcPr>
          <w:p>
            <w:pPr>
              <w:spacing w:after="30"/>
            </w:pPr>
            <w:r>
              <w:rPr>
                <w:rFonts w:ascii="Times New Roman" w:hAnsi="Times New Roman" w:cs="Times New Roman" w:eastAsia="Times New Roman"/>
                <w:b w:val="0"/>
                <w:sz w:val="17"/>
              </w:rPr>
              <w:t>Réactions variables, phases de tension et sensibilité aux déplacements</w:t>
            </w:r>
          </w:p>
        </w:tc>
        <w:tc>
          <w:tcPr>
            <w:tcW w:type="dxa" w:w="1814"/>
            <w:vAlign w:val="center"/>
            <w:shd w:fill="F3F6F8"/>
          </w:tcPr>
          <w:p>
            <w:pPr>
              <w:spacing w:after="30"/>
            </w:pPr>
            <w:r>
              <w:rPr>
                <w:rFonts w:ascii="Times New Roman" w:hAnsi="Times New Roman" w:cs="Times New Roman" w:eastAsia="Times New Roman"/>
                <w:b w:val="0"/>
                <w:sz w:val="17"/>
              </w:rPr>
              <w:t>Pylônes, haubans, préfabrication et suivi</w:t>
            </w:r>
          </w:p>
        </w:tc>
        <w:tc>
          <w:tcPr>
            <w:tcW w:type="dxa" w:w="1814"/>
            <w:vAlign w:val="center"/>
            <w:shd w:fill="F3F6F8"/>
          </w:tcPr>
          <w:p>
            <w:pPr>
              <w:spacing w:after="30"/>
            </w:pPr>
            <w:r>
              <w:rPr>
                <w:rFonts w:ascii="Times New Roman" w:hAnsi="Times New Roman" w:cs="Times New Roman" w:eastAsia="Times New Roman"/>
                <w:b w:val="0"/>
                <w:sz w:val="17"/>
              </w:rPr>
              <w:t>Fondations différenciées et déplacements pendant les phases</w:t>
            </w:r>
          </w:p>
        </w:tc>
      </w:tr>
    </w:tbl>
    <w:p>
      <w:pPr>
        <w:spacing w:after="20"/>
      </w:pPr>
    </w:p>
    <w:p>
      <w:pPr>
        <w:pStyle w:val="Heading2"/>
      </w:pPr>
      <w:r>
        <w:rPr>
          <w:rFonts w:ascii="Times New Roman" w:hAnsi="Times New Roman" w:cs="Times New Roman" w:eastAsia="Times New Roman"/>
          <w:b/>
          <w:color w:val="1F4E79"/>
          <w:sz w:val="24"/>
        </w:rPr>
        <w:t>I.5 Classifications complémentaires : matériau, usage et portée</w:t>
      </w:r>
    </w:p>
    <w:p>
      <w:pPr>
        <w:jc w:val="both"/>
      </w:pPr>
      <w:r>
        <w:rPr>
          <w:rFonts w:ascii="Times New Roman" w:hAnsi="Times New Roman" w:cs="Times New Roman" w:eastAsia="Times New Roman"/>
          <w:b w:val="0"/>
          <w:sz w:val="24"/>
        </w:rPr>
        <w:t>Le matériau influence la masse, la rigidité, la durabilité et les méthodes de construction. L’acier permet des éléments élancés et des assemblages variés ; le béton offre des solutions massives ou précontraintes ; la maçonnerie reste associée à de nombreux ouvrages anciens ; le bois et les matériaux mixtes répondent à des contextes particuliers. Ces propriétés ne suffisent cependant pas à définir une fondation.</w:t>
      </w:r>
    </w:p>
    <w:p>
      <w:pPr>
        <w:jc w:val="both"/>
      </w:pPr>
      <w:r>
        <w:rPr>
          <w:rFonts w:ascii="Times New Roman" w:hAnsi="Times New Roman" w:cs="Times New Roman" w:eastAsia="Times New Roman"/>
          <w:b w:val="0"/>
          <w:sz w:val="24"/>
        </w:rPr>
        <w:t>De même, une classification par portée est utile pour décrire un ouvrage, mais les limites numériques varient selon les documents et les pratiques. Une plage issue d’un guide ne constitue pas une frontière physique. Deux ponts de même portée peuvent transmettre des effets très différents en fonction du nombre de travées, de la largeur, du système porteur et des conditions d’appui.</w:t>
      </w:r>
    </w:p>
    <w:p>
      <w:bookmarkStart w:id="19" w:name="BM_TABI_6"/>
      <w:pPr>
        <w:keepNext/>
        <w:jc w:val="center"/>
      </w:pPr>
      <w:r>
        <w:rPr>
          <w:rFonts w:ascii="Times New Roman" w:hAnsi="Times New Roman" w:cs="Times New Roman" w:eastAsia="Times New Roman"/>
          <w:b/>
          <w:sz w:val="20"/>
        </w:rPr>
        <w:t>Tableau I.6 — Ce que les classifications apportent — et ce qu’elles ne décident pas</w:t>
      </w:r>
      <w:bookmarkEnd w:id="19"/>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Axe de classification</w:t>
            </w:r>
          </w:p>
        </w:tc>
        <w:tc>
          <w:tcPr>
            <w:tcW w:type="dxa" w:w="3628"/>
            <w:vAlign w:val="center"/>
            <w:shd w:fill="1F4E79"/>
          </w:tcPr>
          <w:p>
            <w:pPr>
              <w:spacing w:after="30"/>
            </w:pPr>
            <w:r>
              <w:rPr>
                <w:rFonts w:ascii="Times New Roman" w:hAnsi="Times New Roman" w:cs="Times New Roman" w:eastAsia="Times New Roman"/>
                <w:b/>
                <w:color w:val="FFFFFF"/>
                <w:sz w:val="17"/>
              </w:rPr>
              <w:t>Apport descriptif</w:t>
            </w:r>
          </w:p>
        </w:tc>
        <w:tc>
          <w:tcPr>
            <w:tcW w:type="dxa" w:w="3628"/>
            <w:vAlign w:val="center"/>
            <w:shd w:fill="1F4E79"/>
          </w:tcPr>
          <w:p>
            <w:pPr>
              <w:spacing w:after="30"/>
            </w:pPr>
            <w:r>
              <w:rPr>
                <w:rFonts w:ascii="Times New Roman" w:hAnsi="Times New Roman" w:cs="Times New Roman" w:eastAsia="Times New Roman"/>
                <w:b/>
                <w:color w:val="FFFFFF"/>
                <w:sz w:val="17"/>
              </w:rPr>
              <w:t>Pourquoi il ne suffit pas au choix des fondations</w:t>
            </w:r>
          </w:p>
        </w:tc>
      </w:tr>
      <w:tr>
        <w:trPr>
          <w:cantSplit/>
        </w:trPr>
        <w:tc>
          <w:tcPr>
            <w:tcW w:type="dxa" w:w="1814"/>
            <w:vAlign w:val="center"/>
          </w:tcPr>
          <w:p>
            <w:pPr>
              <w:spacing w:after="30"/>
            </w:pPr>
            <w:r>
              <w:rPr>
                <w:rFonts w:ascii="Times New Roman" w:hAnsi="Times New Roman" w:cs="Times New Roman" w:eastAsia="Times New Roman"/>
                <w:b w:val="0"/>
                <w:sz w:val="17"/>
              </w:rPr>
              <w:t>Matériau</w:t>
            </w:r>
          </w:p>
        </w:tc>
        <w:tc>
          <w:tcPr>
            <w:tcW w:type="dxa" w:w="3628"/>
            <w:vAlign w:val="center"/>
          </w:tcPr>
          <w:p>
            <w:pPr>
              <w:spacing w:after="30"/>
            </w:pPr>
            <w:r>
              <w:rPr>
                <w:rFonts w:ascii="Times New Roman" w:hAnsi="Times New Roman" w:cs="Times New Roman" w:eastAsia="Times New Roman"/>
                <w:b w:val="0"/>
                <w:sz w:val="17"/>
              </w:rPr>
              <w:t>Masse, rigidité, durabilité et technique de construction</w:t>
            </w:r>
          </w:p>
        </w:tc>
        <w:tc>
          <w:tcPr>
            <w:tcW w:type="dxa" w:w="3628"/>
            <w:vAlign w:val="center"/>
          </w:tcPr>
          <w:p>
            <w:pPr>
              <w:spacing w:after="30"/>
            </w:pPr>
            <w:r>
              <w:rPr>
                <w:rFonts w:ascii="Times New Roman" w:hAnsi="Times New Roman" w:cs="Times New Roman" w:eastAsia="Times New Roman"/>
                <w:b w:val="0"/>
                <w:sz w:val="17"/>
              </w:rPr>
              <w:t>Ne définit ni le chemin complet des charges ni la réponse du terrain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Système structural</w:t>
            </w:r>
          </w:p>
        </w:tc>
        <w:tc>
          <w:tcPr>
            <w:tcW w:type="dxa" w:w="3628"/>
            <w:vAlign w:val="center"/>
            <w:shd w:fill="F3F6F8"/>
          </w:tcPr>
          <w:p>
            <w:pPr>
              <w:spacing w:after="30"/>
            </w:pPr>
            <w:r>
              <w:rPr>
                <w:rFonts w:ascii="Times New Roman" w:hAnsi="Times New Roman" w:cs="Times New Roman" w:eastAsia="Times New Roman"/>
                <w:b w:val="0"/>
                <w:sz w:val="17"/>
              </w:rPr>
              <w:t>Mode de transmission et sensibilité aux déplacements</w:t>
            </w:r>
          </w:p>
        </w:tc>
        <w:tc>
          <w:tcPr>
            <w:tcW w:type="dxa" w:w="3628"/>
            <w:vAlign w:val="center"/>
            <w:shd w:fill="F3F6F8"/>
          </w:tcPr>
          <w:p>
            <w:pPr>
              <w:spacing w:after="30"/>
            </w:pPr>
            <w:r>
              <w:rPr>
                <w:rFonts w:ascii="Times New Roman" w:hAnsi="Times New Roman" w:cs="Times New Roman" w:eastAsia="Times New Roman"/>
                <w:b w:val="0"/>
                <w:sz w:val="17"/>
              </w:rPr>
              <w:t>Doit être complété par les charges, les phases et la géométrie des appuis</w:t>
            </w:r>
          </w:p>
        </w:tc>
      </w:tr>
      <w:tr>
        <w:trPr>
          <w:cantSplit/>
        </w:trPr>
        <w:tc>
          <w:tcPr>
            <w:tcW w:type="dxa" w:w="1814"/>
            <w:vAlign w:val="center"/>
          </w:tcPr>
          <w:p>
            <w:pPr>
              <w:spacing w:after="30"/>
            </w:pPr>
            <w:r>
              <w:rPr>
                <w:rFonts w:ascii="Times New Roman" w:hAnsi="Times New Roman" w:cs="Times New Roman" w:eastAsia="Times New Roman"/>
                <w:b w:val="0"/>
                <w:sz w:val="17"/>
              </w:rPr>
              <w:t>Portée et nombre de travées</w:t>
            </w:r>
          </w:p>
        </w:tc>
        <w:tc>
          <w:tcPr>
            <w:tcW w:type="dxa" w:w="3628"/>
            <w:vAlign w:val="center"/>
          </w:tcPr>
          <w:p>
            <w:pPr>
              <w:spacing w:after="30"/>
            </w:pPr>
            <w:r>
              <w:rPr>
                <w:rFonts w:ascii="Times New Roman" w:hAnsi="Times New Roman" w:cs="Times New Roman" w:eastAsia="Times New Roman"/>
                <w:b w:val="0"/>
                <w:sz w:val="17"/>
              </w:rPr>
              <w:t>Échelle du franchissement et organisation du tablier</w:t>
            </w:r>
          </w:p>
        </w:tc>
        <w:tc>
          <w:tcPr>
            <w:tcW w:type="dxa" w:w="3628"/>
            <w:vAlign w:val="center"/>
          </w:tcPr>
          <w:p>
            <w:pPr>
              <w:spacing w:after="30"/>
            </w:pPr>
            <w:r>
              <w:rPr>
                <w:rFonts w:ascii="Times New Roman" w:hAnsi="Times New Roman" w:cs="Times New Roman" w:eastAsia="Times New Roman"/>
                <w:b w:val="0"/>
                <w:sz w:val="17"/>
              </w:rPr>
              <w:t>Ne remplace pas les sollicitations et le modèle de site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Usage routier, ferroviaire ou piéton</w:t>
            </w:r>
          </w:p>
        </w:tc>
        <w:tc>
          <w:tcPr>
            <w:tcW w:type="dxa" w:w="3628"/>
            <w:vAlign w:val="center"/>
            <w:shd w:fill="F3F6F8"/>
          </w:tcPr>
          <w:p>
            <w:pPr>
              <w:spacing w:after="30"/>
            </w:pPr>
            <w:r>
              <w:rPr>
                <w:rFonts w:ascii="Times New Roman" w:hAnsi="Times New Roman" w:cs="Times New Roman" w:eastAsia="Times New Roman"/>
                <w:b w:val="0"/>
                <w:sz w:val="17"/>
              </w:rPr>
              <w:t>Actions d’exploitation et exigences fonctionnelles</w:t>
            </w:r>
          </w:p>
        </w:tc>
        <w:tc>
          <w:tcPr>
            <w:tcW w:type="dxa" w:w="3628"/>
            <w:vAlign w:val="center"/>
            <w:shd w:fill="F3F6F8"/>
          </w:tcPr>
          <w:p>
            <w:pPr>
              <w:spacing w:after="30"/>
            </w:pPr>
            <w:r>
              <w:rPr>
                <w:rFonts w:ascii="Times New Roman" w:hAnsi="Times New Roman" w:cs="Times New Roman" w:eastAsia="Times New Roman"/>
                <w:b w:val="0"/>
                <w:sz w:val="17"/>
              </w:rPr>
              <w:t>Les référentiels et combinaisons diffèrent selon l’usage</w:t>
            </w:r>
          </w:p>
        </w:tc>
      </w:tr>
      <w:tr>
        <w:trPr>
          <w:cantSplit/>
        </w:trPr>
        <w:tc>
          <w:tcPr>
            <w:tcW w:type="dxa" w:w="1814"/>
            <w:vAlign w:val="center"/>
          </w:tcPr>
          <w:p>
            <w:pPr>
              <w:spacing w:after="30"/>
            </w:pPr>
            <w:r>
              <w:rPr>
                <w:rFonts w:ascii="Times New Roman" w:hAnsi="Times New Roman" w:cs="Times New Roman" w:eastAsia="Times New Roman"/>
                <w:b w:val="0"/>
                <w:sz w:val="17"/>
              </w:rPr>
              <w:t>Ouvrage neuf ou existant</w:t>
            </w:r>
          </w:p>
        </w:tc>
        <w:tc>
          <w:tcPr>
            <w:tcW w:type="dxa" w:w="3628"/>
            <w:vAlign w:val="center"/>
          </w:tcPr>
          <w:p>
            <w:pPr>
              <w:spacing w:after="30"/>
            </w:pPr>
            <w:r>
              <w:rPr>
                <w:rFonts w:ascii="Times New Roman" w:hAnsi="Times New Roman" w:cs="Times New Roman" w:eastAsia="Times New Roman"/>
                <w:b w:val="0"/>
                <w:sz w:val="17"/>
              </w:rPr>
              <w:t>Données disponibles et possibilités d’intervention</w:t>
            </w:r>
          </w:p>
        </w:tc>
        <w:tc>
          <w:tcPr>
            <w:tcW w:type="dxa" w:w="3628"/>
            <w:vAlign w:val="center"/>
          </w:tcPr>
          <w:p>
            <w:pPr>
              <w:spacing w:after="30"/>
            </w:pPr>
            <w:r>
              <w:rPr>
                <w:rFonts w:ascii="Times New Roman" w:hAnsi="Times New Roman" w:cs="Times New Roman" w:eastAsia="Times New Roman"/>
                <w:b w:val="0"/>
                <w:sz w:val="17"/>
              </w:rPr>
              <w:t>Les méthodes d’investigation et les contraintes d’accès sont très différentes</w:t>
            </w:r>
          </w:p>
        </w:tc>
      </w:tr>
    </w:tbl>
    <w:p>
      <w:pPr>
        <w:spacing w:after="20"/>
      </w:pPr>
    </w:p>
    <w:p>
      <w:pPr>
        <w:pStyle w:val="Heading2"/>
      </w:pPr>
      <w:r>
        <w:rPr>
          <w:rFonts w:ascii="Times New Roman" w:hAnsi="Times New Roman" w:cs="Times New Roman" w:eastAsia="Times New Roman"/>
          <w:b/>
          <w:color w:val="1F4E79"/>
          <w:sz w:val="24"/>
        </w:rPr>
        <w:t>I.6 Du besoin fonctionnel au pré-dimensionnement</w:t>
      </w:r>
    </w:p>
    <w:p>
      <w:pPr>
        <w:pStyle w:val="Heading3"/>
      </w:pPr>
      <w:r>
        <w:rPr>
          <w:rFonts w:ascii="Times New Roman" w:hAnsi="Times New Roman" w:cs="Times New Roman" w:eastAsia="Times New Roman"/>
          <w:b/>
          <w:color w:val="233741"/>
          <w:sz w:val="24"/>
        </w:rPr>
        <w:t>I.6.1 Longueur, largeur et gabarits</w:t>
      </w:r>
    </w:p>
    <w:p>
      <w:pPr>
        <w:jc w:val="both"/>
      </w:pPr>
      <w:r>
        <w:rPr>
          <w:rFonts w:ascii="Times New Roman" w:hAnsi="Times New Roman" w:cs="Times New Roman" w:eastAsia="Times New Roman"/>
          <w:b w:val="0"/>
          <w:sz w:val="24"/>
        </w:rPr>
        <w:t>Le pré-dimensionnement commence par la fonction de l’ouvrage et par l’obstacle à franchir. La largeur résulte du profil en travers : chaussées, voies, accotements, dispositifs de retenue, circulations douces, réseaux et éventuels besoins d’exploitation. Chaque élément est défini par le référentiel et le programme du projet ; une largeur ne se déduit pas de la seule portée.</w:t>
      </w:r>
    </w:p>
    <w:p>
      <w:pPr>
        <w:jc w:val="both"/>
      </w:pPr>
      <w:r>
        <w:rPr>
          <w:rFonts w:ascii="Times New Roman" w:hAnsi="Times New Roman" w:cs="Times New Roman" w:eastAsia="Times New Roman"/>
          <w:b w:val="0"/>
          <w:sz w:val="24"/>
        </w:rPr>
        <w:t>La longueur et l’implantation des culées dépendent du tracé, des berges, des zones inondables, des gabarits à préserver, des accès et des contraintes géotechniques. Une traversée plus courte peut imposer des remblais élevés ou des appuis dans un terrain moins favorable. La comparaison porte donc sur l’ensemble pont–remblais–accès, non sur le seul tablier.</w:t>
      </w:r>
    </w:p>
    <w:p>
      <w:pPr>
        <w:jc w:val="both"/>
      </w:pPr>
      <w:r>
        <w:rPr>
          <w:rFonts w:ascii="Times New Roman" w:hAnsi="Times New Roman" w:cs="Times New Roman" w:eastAsia="Times New Roman"/>
          <w:b w:val="0"/>
          <w:sz w:val="24"/>
        </w:rPr>
        <w:t>Les gabarits comprennent ceux de la navigation, des routes ou voies franchies, du fonctionnement hydraulique et de la sécurité des usagers. Ils sont fixés par les gestionnaires et les textes applicables. La géométrie doit également permettre l’inspection, l’entretien et, lorsque nécessaire, l’évacuation des embâcles.</w:t>
      </w:r>
    </w:p>
    <w:p>
      <w:pPr>
        <w:pStyle w:val="Heading3"/>
      </w:pPr>
      <w:r>
        <w:rPr>
          <w:rFonts w:ascii="Times New Roman" w:hAnsi="Times New Roman" w:cs="Times New Roman" w:eastAsia="Times New Roman"/>
          <w:b/>
          <w:color w:val="233741"/>
          <w:sz w:val="24"/>
        </w:rPr>
        <w:t>I.6.2 Niveaux, ouverture hydraulique et revanche</w:t>
      </w:r>
    </w:p>
    <w:p>
      <w:pPr>
        <w:jc w:val="both"/>
      </w:pPr>
      <w:r>
        <w:rPr>
          <w:rFonts w:ascii="Times New Roman" w:hAnsi="Times New Roman" w:cs="Times New Roman" w:eastAsia="Times New Roman"/>
          <w:b w:val="0"/>
          <w:sz w:val="24"/>
        </w:rPr>
        <w:t>Pour un pont sur cours d’eau, le niveau du tablier est coordonné avec le profil routier, le plus haut niveau d’eau de projet et le gabarit sous l’ouvrage. La revanche est la marge verticale définie entre un niveau d’eau de référence et un élément de l’ouvrage selon la convention du projet. Sa valeur et le point de mesure doivent être explicités ; aucun nombre universel n’est retenu ici.</w:t>
      </w:r>
    </w:p>
    <w:p>
      <w:pPr>
        <w:jc w:val="both"/>
      </w:pPr>
      <w:r>
        <w:rPr>
          <w:rFonts w:ascii="Times New Roman" w:hAnsi="Times New Roman" w:cs="Times New Roman" w:eastAsia="Times New Roman"/>
          <w:b w:val="0"/>
          <w:sz w:val="24"/>
        </w:rPr>
        <w:t>L’ouverture hydraulique n’est pas seulement la distance entre deux culées. Elle dépend de la section offerte à l’écoulement, des piles, des afflux, de la contraction et de la morphologie. L’hydrologie fournit les scénarios de débit ; l’hydraulique détermine les niveaux, vitesses et lignes d’eau ; la morphodynamique et l’affouillement modifient ensuite la géométrie de calcul des fondations.</w:t>
      </w:r>
    </w:p>
    <w:p>
      <w:pPr>
        <w:jc w:val="both"/>
      </w:pPr>
      <w:r>
        <w:rPr>
          <w:rFonts w:ascii="Times New Roman" w:hAnsi="Times New Roman" w:cs="Times New Roman" w:eastAsia="Times New Roman"/>
          <w:b w:val="0"/>
          <w:sz w:val="24"/>
        </w:rPr>
        <w:t>Cette séquence peut conduire à déplacer une pile, augmenter une portée ou modifier le profil. Elle évite de figer la géométrie du pont avant de connaître le comportement du cours d’eau. Les chapitres II et IV détaillent les données et les mécanismes correspondants.</w:t>
      </w:r>
    </w:p>
    <w:p>
      <w:pPr>
        <w:pStyle w:val="Heading3"/>
      </w:pPr>
      <w:r>
        <w:rPr>
          <w:rFonts w:ascii="Times New Roman" w:hAnsi="Times New Roman" w:cs="Times New Roman" w:eastAsia="Times New Roman"/>
          <w:b/>
          <w:color w:val="233741"/>
          <w:sz w:val="24"/>
        </w:rPr>
        <w:t>I.6.3 Nombre de travées, hauteur et coût global</w:t>
      </w:r>
    </w:p>
    <w:p>
      <w:pPr>
        <w:jc w:val="both"/>
      </w:pPr>
      <w:r>
        <w:rPr>
          <w:rFonts w:ascii="Times New Roman" w:hAnsi="Times New Roman" w:cs="Times New Roman" w:eastAsia="Times New Roman"/>
          <w:b w:val="0"/>
          <w:sz w:val="24"/>
        </w:rPr>
        <w:t>Le découpage en travées résulte d’une comparaison entre les possibilités structurales, la géométrie du site, les appuis possibles et la méthode de construction. Ajouter une travée peut réduire certaines dimensions du tablier mais ajoute une pile, une fondation et parfois une exposition à l’affouillement. Augmenter une portée peut supprimer un appui défavorable tout en exigeant un système plus complexe.</w:t>
      </w:r>
    </w:p>
    <w:p>
      <w:pPr>
        <w:jc w:val="both"/>
      </w:pPr>
      <w:r>
        <w:rPr>
          <w:rFonts w:ascii="Times New Roman" w:hAnsi="Times New Roman" w:cs="Times New Roman" w:eastAsia="Times New Roman"/>
          <w:b w:val="0"/>
          <w:sz w:val="24"/>
        </w:rPr>
        <w:t>La hauteur de structure et la hauteur sous tablier ne sont pas choisies indépendamment. Elles influencent les culées, les remblais, les pentes d’accès et les gabarits. Les alternatives doivent être comparées à géométrie fonctionnelle équivalente.</w:t>
      </w:r>
    </w:p>
    <w:p>
      <w:pPr>
        <w:jc w:val="both"/>
      </w:pPr>
      <w:r>
        <w:rPr>
          <w:rFonts w:ascii="Times New Roman" w:hAnsi="Times New Roman" w:cs="Times New Roman" w:eastAsia="Times New Roman"/>
          <w:b w:val="0"/>
          <w:sz w:val="24"/>
        </w:rPr>
        <w:t>Le coût est examiné sur le cycle de vie : investigations, fondations, tablier, protection, délais, maintenance, inspection et risques résiduels. Aucun rapport économique universel n’est attribué à un mètre de pont ou à une famille de fondation. Les quantités et prix relèvent d’une étude de projet ; le présent mémoire définit les postes à comparer et les hypothèses techniques qui les déterminent.</w:t>
      </w:r>
    </w:p>
    <w:p>
      <w:bookmarkStart w:id="20" w:name="BM_TABI_7"/>
      <w:pPr>
        <w:keepNext/>
        <w:jc w:val="center"/>
      </w:pPr>
      <w:r>
        <w:rPr>
          <w:rFonts w:ascii="Times New Roman" w:hAnsi="Times New Roman" w:cs="Times New Roman" w:eastAsia="Times New Roman"/>
          <w:b/>
          <w:sz w:val="20"/>
        </w:rPr>
        <w:t>Tableau I.7 — Entrées et décisions du pré-dimensionnement d’un pont</w:t>
      </w:r>
      <w:bookmarkEnd w:id="20"/>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Question</w:t>
            </w:r>
          </w:p>
        </w:tc>
        <w:tc>
          <w:tcPr>
            <w:tcW w:type="dxa" w:w="3628"/>
            <w:vAlign w:val="center"/>
            <w:shd w:fill="1F4E79"/>
          </w:tcPr>
          <w:p>
            <w:pPr>
              <w:spacing w:after="30"/>
            </w:pPr>
            <w:r>
              <w:rPr>
                <w:rFonts w:ascii="Times New Roman" w:hAnsi="Times New Roman" w:cs="Times New Roman" w:eastAsia="Times New Roman"/>
                <w:b/>
                <w:color w:val="FFFFFF"/>
                <w:sz w:val="17"/>
              </w:rPr>
              <w:t>Données nécessaires</w:t>
            </w:r>
          </w:p>
        </w:tc>
        <w:tc>
          <w:tcPr>
            <w:tcW w:type="dxa" w:w="3628"/>
            <w:vAlign w:val="center"/>
            <w:shd w:fill="1F4E79"/>
          </w:tcPr>
          <w:p>
            <w:pPr>
              <w:spacing w:after="30"/>
            </w:pPr>
            <w:r>
              <w:rPr>
                <w:rFonts w:ascii="Times New Roman" w:hAnsi="Times New Roman" w:cs="Times New Roman" w:eastAsia="Times New Roman"/>
                <w:b/>
                <w:color w:val="FFFFFF"/>
                <w:sz w:val="17"/>
              </w:rPr>
              <w:t>Décision ou itération attendue</w:t>
            </w:r>
          </w:p>
        </w:tc>
      </w:tr>
      <w:tr>
        <w:trPr>
          <w:cantSplit/>
        </w:trPr>
        <w:tc>
          <w:tcPr>
            <w:tcW w:type="dxa" w:w="1814"/>
            <w:vAlign w:val="center"/>
          </w:tcPr>
          <w:p>
            <w:pPr>
              <w:spacing w:after="30"/>
            </w:pPr>
            <w:r>
              <w:rPr>
                <w:rFonts w:ascii="Times New Roman" w:hAnsi="Times New Roman" w:cs="Times New Roman" w:eastAsia="Times New Roman"/>
                <w:b w:val="0"/>
                <w:sz w:val="17"/>
              </w:rPr>
              <w:t>Quelle fonction et quelle largeur ?</w:t>
            </w:r>
          </w:p>
        </w:tc>
        <w:tc>
          <w:tcPr>
            <w:tcW w:type="dxa" w:w="3628"/>
            <w:vAlign w:val="center"/>
          </w:tcPr>
          <w:p>
            <w:pPr>
              <w:spacing w:after="30"/>
            </w:pPr>
            <w:r>
              <w:rPr>
                <w:rFonts w:ascii="Times New Roman" w:hAnsi="Times New Roman" w:cs="Times New Roman" w:eastAsia="Times New Roman"/>
                <w:b w:val="0"/>
                <w:sz w:val="17"/>
              </w:rPr>
              <w:t>Profil en travers, usage, sécurité, réseaux et exploitation</w:t>
            </w:r>
          </w:p>
        </w:tc>
        <w:tc>
          <w:tcPr>
            <w:tcW w:type="dxa" w:w="3628"/>
            <w:vAlign w:val="center"/>
          </w:tcPr>
          <w:p>
            <w:pPr>
              <w:spacing w:after="30"/>
            </w:pPr>
            <w:r>
              <w:rPr>
                <w:rFonts w:ascii="Times New Roman" w:hAnsi="Times New Roman" w:cs="Times New Roman" w:eastAsia="Times New Roman"/>
                <w:b w:val="0"/>
                <w:sz w:val="17"/>
              </w:rPr>
              <w:t>Largeur utile et équipements à réserver</w:t>
            </w:r>
          </w:p>
        </w:tc>
      </w:tr>
      <w:tr>
        <w:trPr>
          <w:cantSplit/>
        </w:trPr>
        <w:tc>
          <w:tcPr>
            <w:tcW w:type="dxa" w:w="1814"/>
            <w:vAlign w:val="center"/>
            <w:shd w:fill="F3F6F8"/>
          </w:tcPr>
          <w:p>
            <w:pPr>
              <w:spacing w:after="30"/>
            </w:pPr>
            <w:r>
              <w:rPr>
                <w:rFonts w:ascii="Times New Roman" w:hAnsi="Times New Roman" w:cs="Times New Roman" w:eastAsia="Times New Roman"/>
                <w:b w:val="0"/>
                <w:sz w:val="17"/>
              </w:rPr>
              <w:t>Où placer les culées ?</w:t>
            </w:r>
          </w:p>
        </w:tc>
        <w:tc>
          <w:tcPr>
            <w:tcW w:type="dxa" w:w="3628"/>
            <w:vAlign w:val="center"/>
            <w:shd w:fill="F3F6F8"/>
          </w:tcPr>
          <w:p>
            <w:pPr>
              <w:spacing w:after="30"/>
            </w:pPr>
            <w:r>
              <w:rPr>
                <w:rFonts w:ascii="Times New Roman" w:hAnsi="Times New Roman" w:cs="Times New Roman" w:eastAsia="Times New Roman"/>
                <w:b w:val="0"/>
                <w:sz w:val="17"/>
              </w:rPr>
              <w:t>Tracé, topographie, berges, inondation, géologie et accès</w:t>
            </w:r>
          </w:p>
        </w:tc>
        <w:tc>
          <w:tcPr>
            <w:tcW w:type="dxa" w:w="3628"/>
            <w:vAlign w:val="center"/>
            <w:shd w:fill="F3F6F8"/>
          </w:tcPr>
          <w:p>
            <w:pPr>
              <w:spacing w:after="30"/>
            </w:pPr>
            <w:r>
              <w:rPr>
                <w:rFonts w:ascii="Times New Roman" w:hAnsi="Times New Roman" w:cs="Times New Roman" w:eastAsia="Times New Roman"/>
                <w:b w:val="0"/>
                <w:sz w:val="17"/>
              </w:rPr>
              <w:t>Longueur franchie, remblais et emprises</w:t>
            </w:r>
          </w:p>
        </w:tc>
      </w:tr>
      <w:tr>
        <w:trPr>
          <w:cantSplit/>
        </w:trPr>
        <w:tc>
          <w:tcPr>
            <w:tcW w:type="dxa" w:w="1814"/>
            <w:vAlign w:val="center"/>
          </w:tcPr>
          <w:p>
            <w:pPr>
              <w:spacing w:after="30"/>
            </w:pPr>
            <w:r>
              <w:rPr>
                <w:rFonts w:ascii="Times New Roman" w:hAnsi="Times New Roman" w:cs="Times New Roman" w:eastAsia="Times New Roman"/>
                <w:b w:val="0"/>
                <w:sz w:val="17"/>
              </w:rPr>
              <w:t>Quels niveaux et quels gabarits ?</w:t>
            </w:r>
          </w:p>
        </w:tc>
        <w:tc>
          <w:tcPr>
            <w:tcW w:type="dxa" w:w="3628"/>
            <w:vAlign w:val="center"/>
          </w:tcPr>
          <w:p>
            <w:pPr>
              <w:spacing w:after="30"/>
            </w:pPr>
            <w:r>
              <w:rPr>
                <w:rFonts w:ascii="Times New Roman" w:hAnsi="Times New Roman" w:cs="Times New Roman" w:eastAsia="Times New Roman"/>
                <w:b w:val="0"/>
                <w:sz w:val="17"/>
              </w:rPr>
              <w:t>Profil, PHE, navigation, voies franchies et revanche du projet</w:t>
            </w:r>
          </w:p>
        </w:tc>
        <w:tc>
          <w:tcPr>
            <w:tcW w:type="dxa" w:w="3628"/>
            <w:vAlign w:val="center"/>
          </w:tcPr>
          <w:p>
            <w:pPr>
              <w:spacing w:after="30"/>
            </w:pPr>
            <w:r>
              <w:rPr>
                <w:rFonts w:ascii="Times New Roman" w:hAnsi="Times New Roman" w:cs="Times New Roman" w:eastAsia="Times New Roman"/>
                <w:b w:val="0"/>
                <w:sz w:val="17"/>
              </w:rPr>
              <w:t>Cote du tablier et espace à préserver</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Combien de travées et de piles ?</w:t>
            </w:r>
          </w:p>
        </w:tc>
        <w:tc>
          <w:tcPr>
            <w:tcW w:type="dxa" w:w="3628"/>
            <w:vAlign w:val="center"/>
            <w:shd w:fill="F3F6F8"/>
          </w:tcPr>
          <w:p>
            <w:pPr>
              <w:spacing w:after="30"/>
            </w:pPr>
            <w:r>
              <w:rPr>
                <w:rFonts w:ascii="Times New Roman" w:hAnsi="Times New Roman" w:cs="Times New Roman" w:eastAsia="Times New Roman"/>
                <w:b w:val="0"/>
                <w:sz w:val="17"/>
              </w:rPr>
              <w:t>Alternatives structurales, hydraulique, affouillement et sol</w:t>
            </w:r>
          </w:p>
        </w:tc>
        <w:tc>
          <w:tcPr>
            <w:tcW w:type="dxa" w:w="3628"/>
            <w:vAlign w:val="center"/>
            <w:shd w:fill="F3F6F8"/>
          </w:tcPr>
          <w:p>
            <w:pPr>
              <w:spacing w:after="30"/>
            </w:pPr>
            <w:r>
              <w:rPr>
                <w:rFonts w:ascii="Times New Roman" w:hAnsi="Times New Roman" w:cs="Times New Roman" w:eastAsia="Times New Roman"/>
                <w:b w:val="0"/>
                <w:sz w:val="17"/>
              </w:rPr>
              <w:t>Implantation des appuis et familles à comparer</w:t>
            </w:r>
          </w:p>
        </w:tc>
      </w:tr>
      <w:tr>
        <w:trPr>
          <w:cantSplit/>
        </w:trPr>
        <w:tc>
          <w:tcPr>
            <w:tcW w:type="dxa" w:w="1814"/>
            <w:vAlign w:val="center"/>
          </w:tcPr>
          <w:p>
            <w:pPr>
              <w:spacing w:after="30"/>
            </w:pPr>
            <w:r>
              <w:rPr>
                <w:rFonts w:ascii="Times New Roman" w:hAnsi="Times New Roman" w:cs="Times New Roman" w:eastAsia="Times New Roman"/>
                <w:b w:val="0"/>
                <w:sz w:val="17"/>
              </w:rPr>
              <w:t>Quelle méthode de construction ?</w:t>
            </w:r>
          </w:p>
        </w:tc>
        <w:tc>
          <w:tcPr>
            <w:tcW w:type="dxa" w:w="3628"/>
            <w:vAlign w:val="center"/>
          </w:tcPr>
          <w:p>
            <w:pPr>
              <w:spacing w:after="30"/>
            </w:pPr>
            <w:r>
              <w:rPr>
                <w:rFonts w:ascii="Times New Roman" w:hAnsi="Times New Roman" w:cs="Times New Roman" w:eastAsia="Times New Roman"/>
                <w:b w:val="0"/>
                <w:sz w:val="17"/>
              </w:rPr>
              <w:t>Accès, eau, matériel, phasage et environnement</w:t>
            </w:r>
          </w:p>
        </w:tc>
        <w:tc>
          <w:tcPr>
            <w:tcW w:type="dxa" w:w="3628"/>
            <w:vAlign w:val="center"/>
          </w:tcPr>
          <w:p>
            <w:pPr>
              <w:spacing w:after="30"/>
            </w:pPr>
            <w:r>
              <w:rPr>
                <w:rFonts w:ascii="Times New Roman" w:hAnsi="Times New Roman" w:cs="Times New Roman" w:eastAsia="Times New Roman"/>
                <w:b w:val="0"/>
                <w:sz w:val="17"/>
              </w:rPr>
              <w:t>Solutions constructibles et investigations nécessaires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Quel coût global ?</w:t>
            </w:r>
          </w:p>
        </w:tc>
        <w:tc>
          <w:tcPr>
            <w:tcW w:type="dxa" w:w="3628"/>
            <w:vAlign w:val="center"/>
            <w:shd w:fill="F3F6F8"/>
          </w:tcPr>
          <w:p>
            <w:pPr>
              <w:spacing w:after="30"/>
            </w:pPr>
            <w:r>
              <w:rPr>
                <w:rFonts w:ascii="Times New Roman" w:hAnsi="Times New Roman" w:cs="Times New Roman" w:eastAsia="Times New Roman"/>
                <w:b w:val="0"/>
                <w:sz w:val="17"/>
              </w:rPr>
              <w:t>Quantités, entretien, inspection, délais et risques</w:t>
            </w:r>
          </w:p>
        </w:tc>
        <w:tc>
          <w:tcPr>
            <w:tcW w:type="dxa" w:w="3628"/>
            <w:vAlign w:val="center"/>
            <w:shd w:fill="F3F6F8"/>
          </w:tcPr>
          <w:p>
            <w:pPr>
              <w:spacing w:after="30"/>
            </w:pPr>
            <w:r>
              <w:rPr>
                <w:rFonts w:ascii="Times New Roman" w:hAnsi="Times New Roman" w:cs="Times New Roman" w:eastAsia="Times New Roman"/>
                <w:b w:val="0"/>
                <w:sz w:val="17"/>
              </w:rPr>
              <w:t>Alternative retenue avec hypothèses explicites</w:t>
            </w:r>
          </w:p>
        </w:tc>
      </w:tr>
    </w:tbl>
    <w:p>
      <w:pPr>
        <w:spacing w:after="20"/>
      </w:pPr>
    </w:p>
    <w:p>
      <w:pPr>
        <w:pStyle w:val="Heading2"/>
      </w:pPr>
      <w:r>
        <w:rPr>
          <w:rFonts w:ascii="Times New Roman" w:hAnsi="Times New Roman" w:cs="Times New Roman" w:eastAsia="Times New Roman"/>
          <w:b/>
          <w:color w:val="1F4E79"/>
          <w:sz w:val="24"/>
        </w:rPr>
        <w:t>I.7 Actions et situations à considérer</w:t>
      </w:r>
    </w:p>
    <w:p>
      <w:pPr>
        <w:jc w:val="both"/>
      </w:pPr>
      <w:r>
        <w:rPr>
          <w:rFonts w:ascii="Times New Roman" w:hAnsi="Times New Roman" w:cs="Times New Roman" w:eastAsia="Times New Roman"/>
          <w:b w:val="0"/>
          <w:sz w:val="24"/>
        </w:rPr>
        <w:t>Les actions permanentes comprennent le poids propre et les équipements durables. Les actions variables incluent le trafic, l’eau, le vent et la température. Les situations accidentelles ou sismiques peuvent introduire d’autres combinaisons. La reconnaissance n’a pas à calculer toutes ces actions, mais elle doit recevoir celles qui influencent le choix des investigations et des paramètres.</w:t>
      </w:r>
    </w:p>
    <w:p>
      <w:pPr>
        <w:jc w:val="both"/>
      </w:pPr>
      <w:r>
        <w:rPr>
          <w:rFonts w:ascii="Times New Roman" w:hAnsi="Times New Roman" w:cs="Times New Roman" w:eastAsia="Times New Roman"/>
          <w:b w:val="0"/>
          <w:sz w:val="24"/>
        </w:rPr>
        <w:t>Les actions hydrauliques méritent une attention particulière. Une fondation peut être vérifiée dans une situation de lit affouillé, avec des niveaux d’eau et des vitesses différents de ceux observés lors de la campagne. Les forces hydrodynamiques, les embâcles et la pression interstitielle modifient les conditions de stabilité. Les données nécessaires relèvent donc autant de l’hydraulicien que du géotechnicien.</w:t>
      </w:r>
    </w:p>
    <w:p>
      <w:pPr>
        <w:jc w:val="both"/>
      </w:pPr>
      <w:r>
        <w:rPr>
          <w:rFonts w:ascii="Times New Roman" w:hAnsi="Times New Roman" w:cs="Times New Roman" w:eastAsia="Times New Roman"/>
          <w:b w:val="0"/>
          <w:sz w:val="24"/>
        </w:rPr>
        <w:t>Les phases de construction peuvent être gouvernantes : batardeau, fonçage, battage, remblaiement, mise en tension ou levage modifient les effets et le terrain. Le programme d’investigation doit anticiper les paramètres requis pour ces phases, notamment la tenue des parois, la stabilité du fond, les vibrations et la possibilité de pompage.</w:t>
      </w:r>
    </w:p>
    <w:p>
      <w:bookmarkStart w:id="21" w:name="BM_TABI_8"/>
      <w:pPr>
        <w:keepNext/>
        <w:jc w:val="center"/>
      </w:pPr>
      <w:r>
        <w:rPr>
          <w:rFonts w:ascii="Times New Roman" w:hAnsi="Times New Roman" w:cs="Times New Roman" w:eastAsia="Times New Roman"/>
          <w:b/>
          <w:sz w:val="20"/>
        </w:rPr>
        <w:t>Tableau I.8 — Familles d’actions et traduction en besoins de données</w:t>
      </w:r>
      <w:bookmarkEnd w:id="2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Situation ou action</w:t>
            </w:r>
          </w:p>
        </w:tc>
        <w:tc>
          <w:tcPr>
            <w:tcW w:type="dxa" w:w="3628"/>
            <w:vAlign w:val="center"/>
            <w:shd w:fill="1F4E79"/>
          </w:tcPr>
          <w:p>
            <w:pPr>
              <w:spacing w:after="30"/>
            </w:pPr>
            <w:r>
              <w:rPr>
                <w:rFonts w:ascii="Times New Roman" w:hAnsi="Times New Roman" w:cs="Times New Roman" w:eastAsia="Times New Roman"/>
                <w:b/>
                <w:color w:val="FFFFFF"/>
                <w:sz w:val="17"/>
              </w:rPr>
              <w:t>Effets possibles sur les fondations</w:t>
            </w:r>
          </w:p>
        </w:tc>
        <w:tc>
          <w:tcPr>
            <w:tcW w:type="dxa" w:w="3628"/>
            <w:vAlign w:val="center"/>
            <w:shd w:fill="1F4E79"/>
          </w:tcPr>
          <w:p>
            <w:pPr>
              <w:spacing w:after="30"/>
            </w:pPr>
            <w:r>
              <w:rPr>
                <w:rFonts w:ascii="Times New Roman" w:hAnsi="Times New Roman" w:cs="Times New Roman" w:eastAsia="Times New Roman"/>
                <w:b/>
                <w:color w:val="FFFFFF"/>
                <w:sz w:val="17"/>
              </w:rPr>
              <w:t>Données à obtenir ou à partager</w:t>
            </w:r>
          </w:p>
        </w:tc>
      </w:tr>
      <w:tr>
        <w:trPr>
          <w:cantSplit/>
        </w:trPr>
        <w:tc>
          <w:tcPr>
            <w:tcW w:type="dxa" w:w="1814"/>
            <w:vAlign w:val="center"/>
          </w:tcPr>
          <w:p>
            <w:pPr>
              <w:spacing w:after="30"/>
            </w:pPr>
            <w:r>
              <w:rPr>
                <w:rFonts w:ascii="Times New Roman" w:hAnsi="Times New Roman" w:cs="Times New Roman" w:eastAsia="Times New Roman"/>
                <w:b w:val="0"/>
                <w:sz w:val="17"/>
              </w:rPr>
              <w:t>Charges permanentes et réactions du tablier</w:t>
            </w:r>
          </w:p>
        </w:tc>
        <w:tc>
          <w:tcPr>
            <w:tcW w:type="dxa" w:w="3628"/>
            <w:vAlign w:val="center"/>
          </w:tcPr>
          <w:p>
            <w:pPr>
              <w:spacing w:after="30"/>
            </w:pPr>
            <w:r>
              <w:rPr>
                <w:rFonts w:ascii="Times New Roman" w:hAnsi="Times New Roman" w:cs="Times New Roman" w:eastAsia="Times New Roman"/>
                <w:b w:val="0"/>
                <w:sz w:val="17"/>
              </w:rPr>
              <w:t>Compression, flexion des semelles et tassements</w:t>
            </w:r>
          </w:p>
        </w:tc>
        <w:tc>
          <w:tcPr>
            <w:tcW w:type="dxa" w:w="3628"/>
            <w:vAlign w:val="center"/>
          </w:tcPr>
          <w:p>
            <w:pPr>
              <w:spacing w:after="30"/>
            </w:pPr>
            <w:r>
              <w:rPr>
                <w:rFonts w:ascii="Times New Roman" w:hAnsi="Times New Roman" w:cs="Times New Roman" w:eastAsia="Times New Roman"/>
                <w:b w:val="0"/>
                <w:sz w:val="17"/>
              </w:rPr>
              <w:t>Réactions par appui, phases de chargement, rigidité et compressibilité du terrain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Trafic et actions variables</w:t>
            </w:r>
          </w:p>
        </w:tc>
        <w:tc>
          <w:tcPr>
            <w:tcW w:type="dxa" w:w="3628"/>
            <w:vAlign w:val="center"/>
            <w:shd w:fill="F3F6F8"/>
          </w:tcPr>
          <w:p>
            <w:pPr>
              <w:spacing w:after="30"/>
            </w:pPr>
            <w:r>
              <w:rPr>
                <w:rFonts w:ascii="Times New Roman" w:hAnsi="Times New Roman" w:cs="Times New Roman" w:eastAsia="Times New Roman"/>
                <w:b w:val="0"/>
                <w:sz w:val="17"/>
              </w:rPr>
              <w:t>Cycles de contrainte et variations de réactions</w:t>
            </w:r>
          </w:p>
        </w:tc>
        <w:tc>
          <w:tcPr>
            <w:tcW w:type="dxa" w:w="3628"/>
            <w:vAlign w:val="center"/>
            <w:shd w:fill="F3F6F8"/>
          </w:tcPr>
          <w:p>
            <w:pPr>
              <w:spacing w:after="30"/>
            </w:pPr>
            <w:r>
              <w:rPr>
                <w:rFonts w:ascii="Times New Roman" w:hAnsi="Times New Roman" w:cs="Times New Roman" w:eastAsia="Times New Roman"/>
                <w:b w:val="0"/>
                <w:sz w:val="17"/>
              </w:rPr>
              <w:t>Amplitudes et combinaisons définies par le référentiel du projet</w:t>
            </w:r>
          </w:p>
        </w:tc>
      </w:tr>
      <w:tr>
        <w:trPr>
          <w:cantSplit/>
        </w:trPr>
        <w:tc>
          <w:tcPr>
            <w:tcW w:type="dxa" w:w="1814"/>
            <w:vAlign w:val="center"/>
          </w:tcPr>
          <w:p>
            <w:pPr>
              <w:spacing w:after="30"/>
            </w:pPr>
            <w:r>
              <w:rPr>
                <w:rFonts w:ascii="Times New Roman" w:hAnsi="Times New Roman" w:cs="Times New Roman" w:eastAsia="Times New Roman"/>
                <w:b w:val="0"/>
                <w:sz w:val="17"/>
              </w:rPr>
              <w:t>Crue et hydrodynamique</w:t>
            </w:r>
          </w:p>
        </w:tc>
        <w:tc>
          <w:tcPr>
            <w:tcW w:type="dxa" w:w="3628"/>
            <w:vAlign w:val="center"/>
          </w:tcPr>
          <w:p>
            <w:pPr>
              <w:spacing w:after="30"/>
            </w:pPr>
            <w:r>
              <w:rPr>
                <w:rFonts w:ascii="Times New Roman" w:hAnsi="Times New Roman" w:cs="Times New Roman" w:eastAsia="Times New Roman"/>
                <w:b w:val="0"/>
                <w:sz w:val="17"/>
              </w:rPr>
              <w:t>Affouillement, poussée, embâcles et variations de pression interstitielle</w:t>
            </w:r>
          </w:p>
        </w:tc>
        <w:tc>
          <w:tcPr>
            <w:tcW w:type="dxa" w:w="3628"/>
            <w:vAlign w:val="center"/>
          </w:tcPr>
          <w:p>
            <w:pPr>
              <w:spacing w:after="30"/>
            </w:pPr>
            <w:r>
              <w:rPr>
                <w:rFonts w:ascii="Times New Roman" w:hAnsi="Times New Roman" w:cs="Times New Roman" w:eastAsia="Times New Roman"/>
                <w:b w:val="0"/>
                <w:sz w:val="17"/>
              </w:rPr>
              <w:t>Niveaux, vitesses, géométrie du lit, scénarios hydrauliques et morphodynamiques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Température et déplacements imposés</w:t>
            </w:r>
          </w:p>
        </w:tc>
        <w:tc>
          <w:tcPr>
            <w:tcW w:type="dxa" w:w="3628"/>
            <w:vAlign w:val="center"/>
            <w:shd w:fill="F3F6F8"/>
          </w:tcPr>
          <w:p>
            <w:pPr>
              <w:spacing w:after="30"/>
            </w:pPr>
            <w:r>
              <w:rPr>
                <w:rFonts w:ascii="Times New Roman" w:hAnsi="Times New Roman" w:cs="Times New Roman" w:eastAsia="Times New Roman"/>
                <w:b w:val="0"/>
                <w:sz w:val="17"/>
              </w:rPr>
              <w:t>Efforts horizontaux et interactions avec les appuis</w:t>
            </w:r>
          </w:p>
        </w:tc>
        <w:tc>
          <w:tcPr>
            <w:tcW w:type="dxa" w:w="3628"/>
            <w:vAlign w:val="center"/>
            <w:shd w:fill="F3F6F8"/>
          </w:tcPr>
          <w:p>
            <w:pPr>
              <w:spacing w:after="30"/>
            </w:pPr>
            <w:r>
              <w:rPr>
                <w:rFonts w:ascii="Times New Roman" w:hAnsi="Times New Roman" w:cs="Times New Roman" w:eastAsia="Times New Roman"/>
                <w:b w:val="0"/>
                <w:sz w:val="17"/>
              </w:rPr>
              <w:t>Système d’appuis, déplacements de calcul et réponse du terrain</w:t>
            </w:r>
          </w:p>
        </w:tc>
      </w:tr>
      <w:tr>
        <w:trPr>
          <w:cantSplit/>
        </w:trPr>
        <w:tc>
          <w:tcPr>
            <w:tcW w:type="dxa" w:w="1814"/>
            <w:vAlign w:val="center"/>
          </w:tcPr>
          <w:p>
            <w:pPr>
              <w:spacing w:after="30"/>
            </w:pPr>
            <w:r>
              <w:rPr>
                <w:rFonts w:ascii="Times New Roman" w:hAnsi="Times New Roman" w:cs="Times New Roman" w:eastAsia="Times New Roman"/>
                <w:b w:val="0"/>
                <w:sz w:val="17"/>
              </w:rPr>
              <w:t>Séisme</w:t>
            </w:r>
          </w:p>
        </w:tc>
        <w:tc>
          <w:tcPr>
            <w:tcW w:type="dxa" w:w="3628"/>
            <w:vAlign w:val="center"/>
          </w:tcPr>
          <w:p>
            <w:pPr>
              <w:spacing w:after="30"/>
            </w:pPr>
            <w:r>
              <w:rPr>
                <w:rFonts w:ascii="Times New Roman" w:hAnsi="Times New Roman" w:cs="Times New Roman" w:eastAsia="Times New Roman"/>
                <w:b w:val="0"/>
                <w:sz w:val="17"/>
              </w:rPr>
              <w:t>Pressions interstitielles, liquéfaction, inertie et déplacements du sol</w:t>
            </w:r>
          </w:p>
        </w:tc>
        <w:tc>
          <w:tcPr>
            <w:tcW w:type="dxa" w:w="3628"/>
            <w:vAlign w:val="center"/>
          </w:tcPr>
          <w:p>
            <w:pPr>
              <w:spacing w:after="30"/>
            </w:pPr>
            <w:r>
              <w:rPr>
                <w:rFonts w:ascii="Times New Roman" w:hAnsi="Times New Roman" w:cs="Times New Roman" w:eastAsia="Times New Roman"/>
                <w:b w:val="0"/>
                <w:sz w:val="17"/>
              </w:rPr>
              <w:t>Mouvement de référence, réponse du site, paramètres dynamiques et drainage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Construction</w:t>
            </w:r>
          </w:p>
        </w:tc>
        <w:tc>
          <w:tcPr>
            <w:tcW w:type="dxa" w:w="3628"/>
            <w:vAlign w:val="center"/>
            <w:shd w:fill="F3F6F8"/>
          </w:tcPr>
          <w:p>
            <w:pPr>
              <w:spacing w:after="30"/>
            </w:pPr>
            <w:r>
              <w:rPr>
                <w:rFonts w:ascii="Times New Roman" w:hAnsi="Times New Roman" w:cs="Times New Roman" w:eastAsia="Times New Roman"/>
                <w:b w:val="0"/>
                <w:sz w:val="17"/>
              </w:rPr>
              <w:t>Situations temporaires, vibrations, remaniement et variations d’eau</w:t>
            </w:r>
          </w:p>
        </w:tc>
        <w:tc>
          <w:tcPr>
            <w:tcW w:type="dxa" w:w="3628"/>
            <w:vAlign w:val="center"/>
            <w:shd w:fill="F3F6F8"/>
          </w:tcPr>
          <w:p>
            <w:pPr>
              <w:spacing w:after="30"/>
            </w:pPr>
            <w:r>
              <w:rPr>
                <w:rFonts w:ascii="Times New Roman" w:hAnsi="Times New Roman" w:cs="Times New Roman" w:eastAsia="Times New Roman"/>
                <w:b w:val="0"/>
                <w:sz w:val="17"/>
              </w:rPr>
              <w:t>Méthode d’exécution, accessibilité, phasage et tolérances de contrôle</w:t>
            </w:r>
          </w:p>
        </w:tc>
      </w:tr>
    </w:tbl>
    <w:p>
      <w:pPr>
        <w:spacing w:after="20"/>
      </w:pPr>
    </w:p>
    <w:p>
      <w:pPr>
        <w:pStyle w:val="Heading2"/>
      </w:pPr>
      <w:r>
        <w:rPr>
          <w:rFonts w:ascii="Times New Roman" w:hAnsi="Times New Roman" w:cs="Times New Roman" w:eastAsia="Times New Roman"/>
          <w:b/>
          <w:color w:val="1F4E79"/>
          <w:sz w:val="24"/>
        </w:rPr>
        <w:t>I.8 Familles de fondations et critères de choix</w:t>
      </w:r>
    </w:p>
    <w:p>
      <w:pPr>
        <w:pStyle w:val="Heading3"/>
      </w:pPr>
      <w:r>
        <w:rPr>
          <w:rFonts w:ascii="Times New Roman" w:hAnsi="Times New Roman" w:cs="Times New Roman" w:eastAsia="Times New Roman"/>
          <w:b/>
          <w:color w:val="233741"/>
          <w:sz w:val="24"/>
        </w:rPr>
        <w:t>I.8.1 Fondations superficielles</w:t>
      </w:r>
    </w:p>
    <w:p>
      <w:pPr>
        <w:jc w:val="both"/>
      </w:pPr>
      <w:r>
        <w:rPr>
          <w:rFonts w:ascii="Times New Roman" w:hAnsi="Times New Roman" w:cs="Times New Roman" w:eastAsia="Times New Roman"/>
          <w:b w:val="0"/>
          <w:sz w:val="24"/>
        </w:rPr>
        <w:t>Les semelles et radiers transmettent directement les charges à un horizon proche de la surface. Leur pertinence dépend de la résistance, de la compressibilité, de la position de la nappe, de l’affouillement de calcul et de la possibilité d’exécuter une fouille sûre. Une formation compétente en rive ne justifie pas une semelle sous une pile exposée à une future mobilité du lit.</w:t>
      </w:r>
    </w:p>
    <w:p>
      <w:pPr>
        <w:jc w:val="both"/>
      </w:pPr>
      <w:r>
        <w:rPr>
          <w:rFonts w:ascii="Times New Roman" w:hAnsi="Times New Roman" w:cs="Times New Roman" w:eastAsia="Times New Roman"/>
          <w:b w:val="0"/>
          <w:sz w:val="24"/>
        </w:rPr>
        <w:t>La justification associe stabilité de rupture et déformations. Les paramètres de portance ne doivent pas être séparés des conditions de drainage et de la géométrie réellement disponible après affouillement. Le FHWA (2006a, 2006b) et TOMLINSON (2001) présentent ces vérifications dans une chaîne qui inclut les données, le modèle et la construction.</w:t>
      </w:r>
    </w:p>
    <w:p>
      <w:pPr>
        <w:pStyle w:val="Heading3"/>
      </w:pPr>
      <w:r>
        <w:rPr>
          <w:rFonts w:ascii="Times New Roman" w:hAnsi="Times New Roman" w:cs="Times New Roman" w:eastAsia="Times New Roman"/>
          <w:b/>
          <w:color w:val="233741"/>
          <w:sz w:val="24"/>
        </w:rPr>
        <w:t>I.8.2 Pieux et barrettes</w:t>
      </w:r>
    </w:p>
    <w:p>
      <w:pPr>
        <w:jc w:val="both"/>
      </w:pPr>
      <w:r>
        <w:rPr>
          <w:rFonts w:ascii="Times New Roman" w:hAnsi="Times New Roman" w:cs="Times New Roman" w:eastAsia="Times New Roman"/>
          <w:b w:val="0"/>
          <w:sz w:val="24"/>
        </w:rPr>
        <w:t>Les fondations profondes transfèrent les effets par le frottement latéral et la résistance de pointe. Leur comportement dépend du mode d’installation, du groupe, du niveau d’eau, des couches traversées et des déplacements imposés. Les pieux battus refoulent le sol et peuvent générer des vibrations ; les pieux forés soulèvent des questions de tenue de paroi, de nettoyage et de qualité du béton ; les barrettes mobilisent des techniques de paroi moulée.</w:t>
      </w:r>
    </w:p>
    <w:p>
      <w:pPr>
        <w:jc w:val="both"/>
      </w:pPr>
      <w:r>
        <w:rPr>
          <w:rFonts w:ascii="Times New Roman" w:hAnsi="Times New Roman" w:cs="Times New Roman" w:eastAsia="Times New Roman"/>
          <w:b w:val="0"/>
          <w:sz w:val="24"/>
        </w:rPr>
        <w:t>L’analyse ne se limite pas à une capacité verticale isolée. Il faut examiner les effets de groupe, le frottement négatif, les charges horizontales, le soulèvement, la flexion due aux déplacements du sol et les situations sismiques. POULOS et DAVIS (1980) fournissent un cadre d’analyse ; les guides de construction apportent les contraintes pratiques nécessaires au choix.</w:t>
      </w:r>
    </w:p>
    <w:p>
      <w:pPr>
        <w:pStyle w:val="Heading3"/>
      </w:pPr>
      <w:r>
        <w:rPr>
          <w:rFonts w:ascii="Times New Roman" w:hAnsi="Times New Roman" w:cs="Times New Roman" w:eastAsia="Times New Roman"/>
          <w:b/>
          <w:color w:val="233741"/>
          <w:sz w:val="24"/>
        </w:rPr>
        <w:t>I.8.3 Puits, caissons et ancrages dans le rocher</w:t>
      </w:r>
    </w:p>
    <w:p>
      <w:pPr>
        <w:jc w:val="both"/>
      </w:pPr>
      <w:r>
        <w:rPr>
          <w:rFonts w:ascii="Times New Roman" w:hAnsi="Times New Roman" w:cs="Times New Roman" w:eastAsia="Times New Roman"/>
          <w:b w:val="0"/>
          <w:sz w:val="24"/>
        </w:rPr>
        <w:t>Les puits et caissons peuvent convenir à des charges importantes et à des travaux dans l’eau, mais leur constructibilité est déterminante. Le contrôle du fond, la descente sous eau ou sous air comprimé, les obstacles et la stabilité des parois doivent être évalués avant le choix. Les fondations scellées dans le rocher exigent une description des discontinuités et de l’altération, pas seulement de la résistance de la roche intacte. CARTER et KULHAWY (1988) traitent spécifiquement des shafts scellés dans le rocher.</w:t>
      </w:r>
    </w:p>
    <w:p>
      <w:pPr>
        <w:keepNext/>
        <w:jc w:val="center"/>
      </w:pPr>
      <w:r>
        <w:drawing>
          <wp:inline xmlns:a="http://schemas.openxmlformats.org/drawingml/2006/main" xmlns:pic="http://schemas.openxmlformats.org/drawingml/2006/picture">
            <wp:extent cx="5760000" cy="3037630"/>
            <wp:docPr id="7" name="Picture 7"/>
            <wp:cNvGraphicFramePr>
              <a:graphicFrameLocks noChangeAspect="1"/>
            </wp:cNvGraphicFramePr>
            <a:graphic>
              <a:graphicData uri="http://schemas.openxmlformats.org/drawingml/2006/picture">
                <pic:pic>
                  <pic:nvPicPr>
                    <pic:cNvPr id="0" name="foundation_alternatives.png"/>
                    <pic:cNvPicPr/>
                  </pic:nvPicPr>
                  <pic:blipFill>
                    <a:blip r:embed="rId25"/>
                    <a:stretch>
                      <a:fillRect/>
                    </a:stretch>
                  </pic:blipFill>
                  <pic:spPr>
                    <a:xfrm>
                      <a:off x="0" y="0"/>
                      <a:ext cx="5760000" cy="3037630"/>
                    </a:xfrm>
                    <a:prstGeom prst="rect"/>
                  </pic:spPr>
                </pic:pic>
              </a:graphicData>
            </a:graphic>
          </wp:inline>
        </w:drawing>
      </w:r>
    </w:p>
    <w:p>
      <w:bookmarkStart w:id="22" w:name="BM_FIGI_5"/>
      <w:pPr>
        <w:jc w:val="center"/>
      </w:pPr>
      <w:r>
        <w:rPr>
          <w:rFonts w:ascii="Times New Roman" w:hAnsi="Times New Roman" w:cs="Times New Roman" w:eastAsia="Times New Roman"/>
          <w:b/>
          <w:sz w:val="20"/>
        </w:rPr>
        <w:t>Figure I.5 — Principales alternatives de fondation et questions associées</w:t>
      </w:r>
      <w:bookmarkEnd w:id="22"/>
    </w:p>
    <w:p>
      <w:pPr>
        <w:jc w:val="right"/>
      </w:pPr>
      <w:r>
        <w:rPr>
          <w:rFonts w:ascii="Times New Roman" w:hAnsi="Times New Roman" w:cs="Times New Roman" w:eastAsia="Times New Roman"/>
          <w:b w:val="0"/>
          <w:color w:val="59636B"/>
          <w:sz w:val="20"/>
        </w:rPr>
        <w:t>Source : schéma original ; aucune profondeur minimale n’est implicite dans les représentations.</w:t>
      </w:r>
    </w:p>
    <w:p>
      <w:bookmarkStart w:id="23" w:name="BM_TABI_9"/>
      <w:pPr>
        <w:keepNext/>
        <w:jc w:val="center"/>
      </w:pPr>
      <w:r>
        <w:rPr>
          <w:rFonts w:ascii="Times New Roman" w:hAnsi="Times New Roman" w:cs="Times New Roman" w:eastAsia="Times New Roman"/>
          <w:b/>
          <w:sz w:val="20"/>
        </w:rPr>
        <w:t>Tableau I.9 — Matrice qualitative de comparaison des solutions de fondation</w:t>
      </w:r>
      <w:bookmarkEnd w:id="23"/>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Solution</w:t>
            </w:r>
          </w:p>
        </w:tc>
        <w:tc>
          <w:tcPr>
            <w:tcW w:type="dxa" w:w="2268"/>
            <w:vAlign w:val="center"/>
            <w:shd w:fill="1F4E79"/>
          </w:tcPr>
          <w:p>
            <w:pPr>
              <w:spacing w:after="30"/>
            </w:pPr>
            <w:r>
              <w:rPr>
                <w:rFonts w:ascii="Times New Roman" w:hAnsi="Times New Roman" w:cs="Times New Roman" w:eastAsia="Times New Roman"/>
                <w:b/>
                <w:color w:val="FFFFFF"/>
                <w:sz w:val="17"/>
              </w:rPr>
              <w:t>Conditions favorables à examiner</w:t>
            </w:r>
          </w:p>
        </w:tc>
        <w:tc>
          <w:tcPr>
            <w:tcW w:type="dxa" w:w="2268"/>
            <w:vAlign w:val="center"/>
            <w:shd w:fill="1F4E79"/>
          </w:tcPr>
          <w:p>
            <w:pPr>
              <w:spacing w:after="30"/>
            </w:pPr>
            <w:r>
              <w:rPr>
                <w:rFonts w:ascii="Times New Roman" w:hAnsi="Times New Roman" w:cs="Times New Roman" w:eastAsia="Times New Roman"/>
                <w:b/>
                <w:color w:val="FFFFFF"/>
                <w:sz w:val="17"/>
              </w:rPr>
              <w:t>Points de vigilance</w:t>
            </w:r>
          </w:p>
        </w:tc>
        <w:tc>
          <w:tcPr>
            <w:tcW w:type="dxa" w:w="2268"/>
            <w:vAlign w:val="center"/>
            <w:shd w:fill="1F4E79"/>
          </w:tcPr>
          <w:p>
            <w:pPr>
              <w:spacing w:after="30"/>
            </w:pPr>
            <w:r>
              <w:rPr>
                <w:rFonts w:ascii="Times New Roman" w:hAnsi="Times New Roman" w:cs="Times New Roman" w:eastAsia="Times New Roman"/>
                <w:b/>
                <w:color w:val="FFFFFF"/>
                <w:sz w:val="17"/>
              </w:rPr>
              <w:t>Données déterminantes</w:t>
            </w:r>
          </w:p>
        </w:tc>
      </w:tr>
      <w:tr>
        <w:trPr>
          <w:cantSplit/>
        </w:trPr>
        <w:tc>
          <w:tcPr>
            <w:tcW w:type="dxa" w:w="2268"/>
            <w:vAlign w:val="center"/>
          </w:tcPr>
          <w:p>
            <w:pPr>
              <w:spacing w:after="30"/>
            </w:pPr>
            <w:r>
              <w:rPr>
                <w:rFonts w:ascii="Times New Roman" w:hAnsi="Times New Roman" w:cs="Times New Roman" w:eastAsia="Times New Roman"/>
                <w:b w:val="0"/>
                <w:sz w:val="17"/>
              </w:rPr>
              <w:t>Semelle ou radier</w:t>
            </w:r>
          </w:p>
        </w:tc>
        <w:tc>
          <w:tcPr>
            <w:tcW w:type="dxa" w:w="2268"/>
            <w:vAlign w:val="center"/>
          </w:tcPr>
          <w:p>
            <w:pPr>
              <w:spacing w:after="30"/>
            </w:pPr>
            <w:r>
              <w:rPr>
                <w:rFonts w:ascii="Times New Roman" w:hAnsi="Times New Roman" w:cs="Times New Roman" w:eastAsia="Times New Roman"/>
                <w:b w:val="0"/>
                <w:sz w:val="17"/>
              </w:rPr>
              <w:t>Horizon compétent accessible et déformations compatibles</w:t>
            </w:r>
          </w:p>
        </w:tc>
        <w:tc>
          <w:tcPr>
            <w:tcW w:type="dxa" w:w="2268"/>
            <w:vAlign w:val="center"/>
          </w:tcPr>
          <w:p>
            <w:pPr>
              <w:spacing w:after="30"/>
            </w:pPr>
            <w:r>
              <w:rPr>
                <w:rFonts w:ascii="Times New Roman" w:hAnsi="Times New Roman" w:cs="Times New Roman" w:eastAsia="Times New Roman"/>
                <w:b w:val="0"/>
                <w:sz w:val="17"/>
              </w:rPr>
              <w:t>Affouillement, tassements, fouille et nappe</w:t>
            </w:r>
          </w:p>
        </w:tc>
        <w:tc>
          <w:tcPr>
            <w:tcW w:type="dxa" w:w="2268"/>
            <w:vAlign w:val="center"/>
          </w:tcPr>
          <w:p>
            <w:pPr>
              <w:spacing w:after="30"/>
            </w:pPr>
            <w:r>
              <w:rPr>
                <w:rFonts w:ascii="Times New Roman" w:hAnsi="Times New Roman" w:cs="Times New Roman" w:eastAsia="Times New Roman"/>
                <w:b w:val="0"/>
                <w:sz w:val="17"/>
              </w:rPr>
              <w:t>Résistance, compressibilité, niveau d’eau et géométrie future du lit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Pieux battus</w:t>
            </w:r>
          </w:p>
        </w:tc>
        <w:tc>
          <w:tcPr>
            <w:tcW w:type="dxa" w:w="2268"/>
            <w:vAlign w:val="center"/>
            <w:shd w:fill="F3F6F8"/>
          </w:tcPr>
          <w:p>
            <w:pPr>
              <w:spacing w:after="30"/>
            </w:pPr>
            <w:r>
              <w:rPr>
                <w:rFonts w:ascii="Times New Roman" w:hAnsi="Times New Roman" w:cs="Times New Roman" w:eastAsia="Times New Roman"/>
                <w:b w:val="0"/>
                <w:sz w:val="17"/>
              </w:rPr>
              <w:t>Couches traversables et transfert profond recherché</w:t>
            </w:r>
          </w:p>
        </w:tc>
        <w:tc>
          <w:tcPr>
            <w:tcW w:type="dxa" w:w="2268"/>
            <w:vAlign w:val="center"/>
            <w:shd w:fill="F3F6F8"/>
          </w:tcPr>
          <w:p>
            <w:pPr>
              <w:spacing w:after="30"/>
            </w:pPr>
            <w:r>
              <w:rPr>
                <w:rFonts w:ascii="Times New Roman" w:hAnsi="Times New Roman" w:cs="Times New Roman" w:eastAsia="Times New Roman"/>
                <w:b w:val="0"/>
                <w:sz w:val="17"/>
              </w:rPr>
              <w:t>Refoulement, vibrations, refus, groupe et contrôle de battage</w:t>
            </w:r>
          </w:p>
        </w:tc>
        <w:tc>
          <w:tcPr>
            <w:tcW w:type="dxa" w:w="2268"/>
            <w:vAlign w:val="center"/>
            <w:shd w:fill="F3F6F8"/>
          </w:tcPr>
          <w:p>
            <w:pPr>
              <w:spacing w:after="30"/>
            </w:pPr>
            <w:r>
              <w:rPr>
                <w:rFonts w:ascii="Times New Roman" w:hAnsi="Times New Roman" w:cs="Times New Roman" w:eastAsia="Times New Roman"/>
                <w:b w:val="0"/>
                <w:sz w:val="17"/>
              </w:rPr>
              <w:t>Profil de pénétration, portance, exécution et tolérances environnementales</w:t>
            </w:r>
          </w:p>
        </w:tc>
      </w:tr>
      <w:tr>
        <w:trPr>
          <w:cantSplit/>
        </w:trPr>
        <w:tc>
          <w:tcPr>
            <w:tcW w:type="dxa" w:w="2268"/>
            <w:vAlign w:val="center"/>
          </w:tcPr>
          <w:p>
            <w:pPr>
              <w:spacing w:after="30"/>
            </w:pPr>
            <w:r>
              <w:rPr>
                <w:rFonts w:ascii="Times New Roman" w:hAnsi="Times New Roman" w:cs="Times New Roman" w:eastAsia="Times New Roman"/>
                <w:b w:val="0"/>
                <w:sz w:val="17"/>
              </w:rPr>
              <w:t>Pieux forés ou barrettes</w:t>
            </w:r>
          </w:p>
        </w:tc>
        <w:tc>
          <w:tcPr>
            <w:tcW w:type="dxa" w:w="2268"/>
            <w:vAlign w:val="center"/>
          </w:tcPr>
          <w:p>
            <w:pPr>
              <w:spacing w:after="30"/>
            </w:pPr>
            <w:r>
              <w:rPr>
                <w:rFonts w:ascii="Times New Roman" w:hAnsi="Times New Roman" w:cs="Times New Roman" w:eastAsia="Times New Roman"/>
                <w:b w:val="0"/>
                <w:sz w:val="17"/>
              </w:rPr>
              <w:t>Charges importantes avec limitation du battage</w:t>
            </w:r>
          </w:p>
        </w:tc>
        <w:tc>
          <w:tcPr>
            <w:tcW w:type="dxa" w:w="2268"/>
            <w:vAlign w:val="center"/>
          </w:tcPr>
          <w:p>
            <w:pPr>
              <w:spacing w:after="30"/>
            </w:pPr>
            <w:r>
              <w:rPr>
                <w:rFonts w:ascii="Times New Roman" w:hAnsi="Times New Roman" w:cs="Times New Roman" w:eastAsia="Times New Roman"/>
                <w:b w:val="0"/>
                <w:sz w:val="17"/>
              </w:rPr>
              <w:t>Tenue de paroi, boues, défauts, nettoyage et bétonnage</w:t>
            </w:r>
          </w:p>
        </w:tc>
        <w:tc>
          <w:tcPr>
            <w:tcW w:type="dxa" w:w="2268"/>
            <w:vAlign w:val="center"/>
          </w:tcPr>
          <w:p>
            <w:pPr>
              <w:spacing w:after="30"/>
            </w:pPr>
            <w:r>
              <w:rPr>
                <w:rFonts w:ascii="Times New Roman" w:hAnsi="Times New Roman" w:cs="Times New Roman" w:eastAsia="Times New Roman"/>
                <w:b w:val="0"/>
                <w:sz w:val="17"/>
              </w:rPr>
              <w:t>Lithologie, eau, stabilité du forage et contrôles de qualité</w:t>
            </w:r>
          </w:p>
        </w:tc>
      </w:tr>
      <w:tr>
        <w:trPr>
          <w:cantSplit/>
        </w:trPr>
        <w:tc>
          <w:tcPr>
            <w:tcW w:type="dxa" w:w="2268"/>
            <w:vAlign w:val="center"/>
            <w:shd w:fill="F3F6F8"/>
          </w:tcPr>
          <w:p>
            <w:pPr>
              <w:spacing w:after="30"/>
            </w:pPr>
            <w:r>
              <w:rPr>
                <w:rFonts w:ascii="Times New Roman" w:hAnsi="Times New Roman" w:cs="Times New Roman" w:eastAsia="Times New Roman"/>
                <w:b w:val="0"/>
                <w:sz w:val="17"/>
              </w:rPr>
              <w:t>Puits ou caissons</w:t>
            </w:r>
          </w:p>
        </w:tc>
        <w:tc>
          <w:tcPr>
            <w:tcW w:type="dxa" w:w="2268"/>
            <w:vAlign w:val="center"/>
            <w:shd w:fill="F3F6F8"/>
          </w:tcPr>
          <w:p>
            <w:pPr>
              <w:spacing w:after="30"/>
            </w:pPr>
            <w:r>
              <w:rPr>
                <w:rFonts w:ascii="Times New Roman" w:hAnsi="Times New Roman" w:cs="Times New Roman" w:eastAsia="Times New Roman"/>
                <w:b w:val="0"/>
                <w:sz w:val="17"/>
              </w:rPr>
              <w:t>Appuis importants et conditions adaptées à ce mode d’exécution</w:t>
            </w:r>
          </w:p>
        </w:tc>
        <w:tc>
          <w:tcPr>
            <w:tcW w:type="dxa" w:w="2268"/>
            <w:vAlign w:val="center"/>
            <w:shd w:fill="F3F6F8"/>
          </w:tcPr>
          <w:p>
            <w:pPr>
              <w:spacing w:after="30"/>
            </w:pPr>
            <w:r>
              <w:rPr>
                <w:rFonts w:ascii="Times New Roman" w:hAnsi="Times New Roman" w:cs="Times New Roman" w:eastAsia="Times New Roman"/>
                <w:b w:val="0"/>
                <w:sz w:val="17"/>
              </w:rPr>
              <w:t>Descente, obstacles, sécurité, contrôle du fond et décompression</w:t>
            </w:r>
          </w:p>
        </w:tc>
        <w:tc>
          <w:tcPr>
            <w:tcW w:type="dxa" w:w="2268"/>
            <w:vAlign w:val="center"/>
            <w:shd w:fill="F3F6F8"/>
          </w:tcPr>
          <w:p>
            <w:pPr>
              <w:spacing w:after="30"/>
            </w:pPr>
            <w:r>
              <w:rPr>
                <w:rFonts w:ascii="Times New Roman" w:hAnsi="Times New Roman" w:cs="Times New Roman" w:eastAsia="Times New Roman"/>
                <w:b w:val="0"/>
                <w:sz w:val="17"/>
              </w:rPr>
              <w:t>Géométrie du substratum, hydrogéologie et méthode de chantier</w:t>
            </w:r>
          </w:p>
        </w:tc>
      </w:tr>
      <w:tr>
        <w:trPr>
          <w:cantSplit/>
        </w:trPr>
        <w:tc>
          <w:tcPr>
            <w:tcW w:type="dxa" w:w="2268"/>
            <w:vAlign w:val="center"/>
          </w:tcPr>
          <w:p>
            <w:pPr>
              <w:spacing w:after="30"/>
            </w:pPr>
            <w:r>
              <w:rPr>
                <w:rFonts w:ascii="Times New Roman" w:hAnsi="Times New Roman" w:cs="Times New Roman" w:eastAsia="Times New Roman"/>
                <w:b w:val="0"/>
                <w:sz w:val="17"/>
              </w:rPr>
              <w:t>Amélioration du terrain</w:t>
            </w:r>
          </w:p>
        </w:tc>
        <w:tc>
          <w:tcPr>
            <w:tcW w:type="dxa" w:w="2268"/>
            <w:vAlign w:val="center"/>
          </w:tcPr>
          <w:p>
            <w:pPr>
              <w:spacing w:after="30"/>
            </w:pPr>
            <w:r>
              <w:rPr>
                <w:rFonts w:ascii="Times New Roman" w:hAnsi="Times New Roman" w:cs="Times New Roman" w:eastAsia="Times New Roman"/>
                <w:b w:val="0"/>
                <w:sz w:val="17"/>
              </w:rPr>
              <w:t>Possibilité de modifier les propriétés ou le drainage</w:t>
            </w:r>
          </w:p>
        </w:tc>
        <w:tc>
          <w:tcPr>
            <w:tcW w:type="dxa" w:w="2268"/>
            <w:vAlign w:val="center"/>
          </w:tcPr>
          <w:p>
            <w:pPr>
              <w:spacing w:after="30"/>
            </w:pPr>
            <w:r>
              <w:rPr>
                <w:rFonts w:ascii="Times New Roman" w:hAnsi="Times New Roman" w:cs="Times New Roman" w:eastAsia="Times New Roman"/>
                <w:b w:val="0"/>
                <w:sz w:val="17"/>
              </w:rPr>
              <w:t>Vérification du traitement, compatibilité et suivi</w:t>
            </w:r>
          </w:p>
        </w:tc>
        <w:tc>
          <w:tcPr>
            <w:tcW w:type="dxa" w:w="2268"/>
            <w:vAlign w:val="center"/>
          </w:tcPr>
          <w:p>
            <w:pPr>
              <w:spacing w:after="30"/>
            </w:pPr>
            <w:r>
              <w:rPr>
                <w:rFonts w:ascii="Times New Roman" w:hAnsi="Times New Roman" w:cs="Times New Roman" w:eastAsia="Times New Roman"/>
                <w:b w:val="0"/>
                <w:sz w:val="17"/>
              </w:rPr>
              <w:t>Essais avant/après, homogénéité et objectifs de performance</w:t>
            </w:r>
          </w:p>
        </w:tc>
      </w:tr>
    </w:tbl>
    <w:p>
      <w:pPr>
        <w:spacing w:after="20"/>
      </w:pPr>
    </w:p>
    <w:p>
      <w:pPr>
        <w:pStyle w:val="Heading2"/>
      </w:pPr>
      <w:r>
        <w:rPr>
          <w:rFonts w:ascii="Times New Roman" w:hAnsi="Times New Roman" w:cs="Times New Roman" w:eastAsia="Times New Roman"/>
          <w:b/>
          <w:color w:val="1F4E79"/>
          <w:sz w:val="24"/>
        </w:rPr>
        <w:t>I.9 Déplacements et performance de l’ouvrage</w:t>
      </w:r>
    </w:p>
    <w:p>
      <w:pPr>
        <w:jc w:val="both"/>
      </w:pPr>
      <w:r>
        <w:rPr>
          <w:rFonts w:ascii="Times New Roman" w:hAnsi="Times New Roman" w:cs="Times New Roman" w:eastAsia="Times New Roman"/>
          <w:b w:val="0"/>
          <w:sz w:val="24"/>
        </w:rPr>
        <w:t>La portance ultime ne suffit pas à juger une fondation de pont. Le tassement total, le tassement différentiel, la rotation, le déplacement horizontal et leur évolution dans le temps peuvent modifier la géométrie du tablier, le fonctionnement des appareils d’appui et la transition avec la chaussée. Les études de MOULTON et al. (1985) constituent une référence bibliographique sur les mouvements tolérables des ponts, mais leurs résultats ne doivent pas être transformés en une limite unique pour tous les systèmes.</w:t>
      </w:r>
    </w:p>
    <w:p>
      <w:pPr>
        <w:jc w:val="both"/>
      </w:pPr>
      <w:r>
        <w:rPr>
          <w:rFonts w:ascii="Times New Roman" w:hAnsi="Times New Roman" w:cs="Times New Roman" w:eastAsia="Times New Roman"/>
          <w:b w:val="0"/>
          <w:sz w:val="24"/>
        </w:rPr>
        <w:t>La démarche correcte part de la structure : quels mouvements peuvent être accommodés sans endommagement ni perte de fonction ? Le géotechnicien évalue ensuite la probabilité et l’amplitude de ces mouvements à partir du modèle de site. Cette confrontation peut conduire à modifier la fondation, le système d’appui, le phasage ou la structure elle-même.</w:t>
      </w:r>
    </w:p>
    <w:p>
      <w:bookmarkStart w:id="24" w:name="BM_TABI_10"/>
      <w:pPr>
        <w:keepNext/>
        <w:jc w:val="center"/>
      </w:pPr>
      <w:r>
        <w:rPr>
          <w:rFonts w:ascii="Times New Roman" w:hAnsi="Times New Roman" w:cs="Times New Roman" w:eastAsia="Times New Roman"/>
          <w:b/>
          <w:sz w:val="20"/>
        </w:rPr>
        <w:t>Tableau I.10 — Déplacements du terrain et conséquences à examiner avec le concepteur de la structure</w:t>
      </w:r>
      <w:bookmarkEnd w:id="2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Mouvement ou évolution</w:t>
            </w:r>
          </w:p>
        </w:tc>
        <w:tc>
          <w:tcPr>
            <w:tcW w:type="dxa" w:w="3628"/>
            <w:vAlign w:val="center"/>
            <w:shd w:fill="1F4E79"/>
          </w:tcPr>
          <w:p>
            <w:pPr>
              <w:spacing w:after="30"/>
            </w:pPr>
            <w:r>
              <w:rPr>
                <w:rFonts w:ascii="Times New Roman" w:hAnsi="Times New Roman" w:cs="Times New Roman" w:eastAsia="Times New Roman"/>
                <w:b/>
                <w:color w:val="FFFFFF"/>
                <w:sz w:val="17"/>
              </w:rPr>
              <w:t>Conséquences possibles</w:t>
            </w:r>
          </w:p>
        </w:tc>
        <w:tc>
          <w:tcPr>
            <w:tcW w:type="dxa" w:w="3628"/>
            <w:vAlign w:val="center"/>
            <w:shd w:fill="1F4E79"/>
          </w:tcPr>
          <w:p>
            <w:pPr>
              <w:spacing w:after="30"/>
            </w:pPr>
            <w:r>
              <w:rPr>
                <w:rFonts w:ascii="Times New Roman" w:hAnsi="Times New Roman" w:cs="Times New Roman" w:eastAsia="Times New Roman"/>
                <w:b/>
                <w:color w:val="FFFFFF"/>
                <w:sz w:val="17"/>
              </w:rPr>
              <w:t>Investigations et analyses utiles</w:t>
            </w:r>
          </w:p>
        </w:tc>
      </w:tr>
      <w:tr>
        <w:trPr>
          <w:cantSplit/>
        </w:trPr>
        <w:tc>
          <w:tcPr>
            <w:tcW w:type="dxa" w:w="1814"/>
            <w:vAlign w:val="center"/>
          </w:tcPr>
          <w:p>
            <w:pPr>
              <w:spacing w:after="30"/>
            </w:pPr>
            <w:r>
              <w:rPr>
                <w:rFonts w:ascii="Times New Roman" w:hAnsi="Times New Roman" w:cs="Times New Roman" w:eastAsia="Times New Roman"/>
                <w:b w:val="0"/>
                <w:sz w:val="17"/>
              </w:rPr>
              <w:t>Tassement total</w:t>
            </w:r>
          </w:p>
        </w:tc>
        <w:tc>
          <w:tcPr>
            <w:tcW w:type="dxa" w:w="3628"/>
            <w:vAlign w:val="center"/>
          </w:tcPr>
          <w:p>
            <w:pPr>
              <w:spacing w:after="30"/>
            </w:pPr>
            <w:r>
              <w:rPr>
                <w:rFonts w:ascii="Times New Roman" w:hAnsi="Times New Roman" w:cs="Times New Roman" w:eastAsia="Times New Roman"/>
                <w:b w:val="0"/>
                <w:sz w:val="17"/>
              </w:rPr>
              <w:t>Modification du profil, accumulation d’eau et effets sur les réseaux</w:t>
            </w:r>
          </w:p>
        </w:tc>
        <w:tc>
          <w:tcPr>
            <w:tcW w:type="dxa" w:w="3628"/>
            <w:vAlign w:val="center"/>
          </w:tcPr>
          <w:p>
            <w:pPr>
              <w:spacing w:after="30"/>
            </w:pPr>
            <w:r>
              <w:rPr>
                <w:rFonts w:ascii="Times New Roman" w:hAnsi="Times New Roman" w:cs="Times New Roman" w:eastAsia="Times New Roman"/>
                <w:b w:val="0"/>
                <w:sz w:val="17"/>
              </w:rPr>
              <w:t>Compressibilité, drainage, chronologie et charges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Tassement différentiel entre appuis</w:t>
            </w:r>
          </w:p>
        </w:tc>
        <w:tc>
          <w:tcPr>
            <w:tcW w:type="dxa" w:w="3628"/>
            <w:vAlign w:val="center"/>
            <w:shd w:fill="F3F6F8"/>
          </w:tcPr>
          <w:p>
            <w:pPr>
              <w:spacing w:after="30"/>
            </w:pPr>
            <w:r>
              <w:rPr>
                <w:rFonts w:ascii="Times New Roman" w:hAnsi="Times New Roman" w:cs="Times New Roman" w:eastAsia="Times New Roman"/>
                <w:b w:val="0"/>
                <w:sz w:val="17"/>
              </w:rPr>
              <w:t>Redistribution des efforts et désordres de tablier</w:t>
            </w:r>
          </w:p>
        </w:tc>
        <w:tc>
          <w:tcPr>
            <w:tcW w:type="dxa" w:w="3628"/>
            <w:vAlign w:val="center"/>
            <w:shd w:fill="F3F6F8"/>
          </w:tcPr>
          <w:p>
            <w:pPr>
              <w:spacing w:after="30"/>
            </w:pPr>
            <w:r>
              <w:rPr>
                <w:rFonts w:ascii="Times New Roman" w:hAnsi="Times New Roman" w:cs="Times New Roman" w:eastAsia="Times New Roman"/>
                <w:b w:val="0"/>
                <w:sz w:val="17"/>
              </w:rPr>
              <w:t>Variabilité spatiale, modèle par appui et interaction structurale</w:t>
            </w:r>
          </w:p>
        </w:tc>
      </w:tr>
      <w:tr>
        <w:trPr>
          <w:cantSplit/>
        </w:trPr>
        <w:tc>
          <w:tcPr>
            <w:tcW w:type="dxa" w:w="1814"/>
            <w:vAlign w:val="center"/>
          </w:tcPr>
          <w:p>
            <w:pPr>
              <w:spacing w:after="30"/>
            </w:pPr>
            <w:r>
              <w:rPr>
                <w:rFonts w:ascii="Times New Roman" w:hAnsi="Times New Roman" w:cs="Times New Roman" w:eastAsia="Times New Roman"/>
                <w:b w:val="0"/>
                <w:sz w:val="17"/>
              </w:rPr>
              <w:t>Rotation d’un appui</w:t>
            </w:r>
          </w:p>
        </w:tc>
        <w:tc>
          <w:tcPr>
            <w:tcW w:type="dxa" w:w="3628"/>
            <w:vAlign w:val="center"/>
          </w:tcPr>
          <w:p>
            <w:pPr>
              <w:spacing w:after="30"/>
            </w:pPr>
            <w:r>
              <w:rPr>
                <w:rFonts w:ascii="Times New Roman" w:hAnsi="Times New Roman" w:cs="Times New Roman" w:eastAsia="Times New Roman"/>
                <w:b w:val="0"/>
                <w:sz w:val="17"/>
              </w:rPr>
              <w:t>Fonctionnement des appareils d’appui et géométrie de l’arc ou du tablier</w:t>
            </w:r>
          </w:p>
        </w:tc>
        <w:tc>
          <w:tcPr>
            <w:tcW w:type="dxa" w:w="3628"/>
            <w:vAlign w:val="center"/>
          </w:tcPr>
          <w:p>
            <w:pPr>
              <w:spacing w:after="30"/>
            </w:pPr>
            <w:r>
              <w:rPr>
                <w:rFonts w:ascii="Times New Roman" w:hAnsi="Times New Roman" w:cs="Times New Roman" w:eastAsia="Times New Roman"/>
                <w:b w:val="0"/>
                <w:sz w:val="17"/>
              </w:rPr>
              <w:t>Excentrement, rigidité, stratification et stabilité</w:t>
            </w:r>
          </w:p>
        </w:tc>
      </w:tr>
      <w:tr>
        <w:trPr>
          <w:cantSplit/>
        </w:trPr>
        <w:tc>
          <w:tcPr>
            <w:tcW w:type="dxa" w:w="1814"/>
            <w:vAlign w:val="center"/>
            <w:shd w:fill="F3F6F8"/>
          </w:tcPr>
          <w:p>
            <w:pPr>
              <w:spacing w:after="30"/>
            </w:pPr>
            <w:r>
              <w:rPr>
                <w:rFonts w:ascii="Times New Roman" w:hAnsi="Times New Roman" w:cs="Times New Roman" w:eastAsia="Times New Roman"/>
                <w:b w:val="0"/>
                <w:sz w:val="17"/>
              </w:rPr>
              <w:t>Déplacement horizontal</w:t>
            </w:r>
          </w:p>
        </w:tc>
        <w:tc>
          <w:tcPr>
            <w:tcW w:type="dxa" w:w="3628"/>
            <w:vAlign w:val="center"/>
            <w:shd w:fill="F3F6F8"/>
          </w:tcPr>
          <w:p>
            <w:pPr>
              <w:spacing w:after="30"/>
            </w:pPr>
            <w:r>
              <w:rPr>
                <w:rFonts w:ascii="Times New Roman" w:hAnsi="Times New Roman" w:cs="Times New Roman" w:eastAsia="Times New Roman"/>
                <w:b w:val="0"/>
                <w:sz w:val="17"/>
              </w:rPr>
              <w:t>Flexion des fondations, poussée et mouvement des culées</w:t>
            </w:r>
          </w:p>
        </w:tc>
        <w:tc>
          <w:tcPr>
            <w:tcW w:type="dxa" w:w="3628"/>
            <w:vAlign w:val="center"/>
            <w:shd w:fill="F3F6F8"/>
          </w:tcPr>
          <w:p>
            <w:pPr>
              <w:spacing w:after="30"/>
            </w:pPr>
            <w:r>
              <w:rPr>
                <w:rFonts w:ascii="Times New Roman" w:hAnsi="Times New Roman" w:cs="Times New Roman" w:eastAsia="Times New Roman"/>
                <w:b w:val="0"/>
                <w:sz w:val="17"/>
              </w:rPr>
              <w:t>Charges horizontales, remblai, pente et déplacements du massif</w:t>
            </w:r>
          </w:p>
        </w:tc>
      </w:tr>
      <w:tr>
        <w:trPr>
          <w:cantSplit/>
        </w:trPr>
        <w:tc>
          <w:tcPr>
            <w:tcW w:type="dxa" w:w="1814"/>
            <w:vAlign w:val="center"/>
          </w:tcPr>
          <w:p>
            <w:pPr>
              <w:spacing w:after="30"/>
            </w:pPr>
            <w:r>
              <w:rPr>
                <w:rFonts w:ascii="Times New Roman" w:hAnsi="Times New Roman" w:cs="Times New Roman" w:eastAsia="Times New Roman"/>
                <w:b w:val="0"/>
                <w:sz w:val="17"/>
              </w:rPr>
              <w:t>Abaissement du lit</w:t>
            </w:r>
          </w:p>
        </w:tc>
        <w:tc>
          <w:tcPr>
            <w:tcW w:type="dxa" w:w="3628"/>
            <w:vAlign w:val="center"/>
          </w:tcPr>
          <w:p>
            <w:pPr>
              <w:spacing w:after="30"/>
            </w:pPr>
            <w:r>
              <w:rPr>
                <w:rFonts w:ascii="Times New Roman" w:hAnsi="Times New Roman" w:cs="Times New Roman" w:eastAsia="Times New Roman"/>
                <w:b w:val="0"/>
                <w:sz w:val="17"/>
              </w:rPr>
              <w:t>Réduction de l’encastrement et exposition de la fondation</w:t>
            </w:r>
          </w:p>
        </w:tc>
        <w:tc>
          <w:tcPr>
            <w:tcW w:type="dxa" w:w="3628"/>
            <w:vAlign w:val="center"/>
          </w:tcPr>
          <w:p>
            <w:pPr>
              <w:spacing w:after="30"/>
            </w:pPr>
            <w:r>
              <w:rPr>
                <w:rFonts w:ascii="Times New Roman" w:hAnsi="Times New Roman" w:cs="Times New Roman" w:eastAsia="Times New Roman"/>
                <w:b w:val="0"/>
                <w:sz w:val="17"/>
              </w:rPr>
              <w:t>Hydrologie, hydraulique, transport solide et historique du chenal</w:t>
            </w:r>
          </w:p>
        </w:tc>
      </w:tr>
      <w:tr>
        <w:trPr>
          <w:cantSplit/>
        </w:trPr>
        <w:tc>
          <w:tcPr>
            <w:tcW w:type="dxa" w:w="1814"/>
            <w:vAlign w:val="center"/>
            <w:shd w:fill="F3F6F8"/>
          </w:tcPr>
          <w:p>
            <w:pPr>
              <w:spacing w:after="30"/>
            </w:pPr>
            <w:r>
              <w:rPr>
                <w:rFonts w:ascii="Times New Roman" w:hAnsi="Times New Roman" w:cs="Times New Roman" w:eastAsia="Times New Roman"/>
                <w:b w:val="0"/>
                <w:sz w:val="17"/>
              </w:rPr>
              <w:t>Variation de nappe</w:t>
            </w:r>
          </w:p>
        </w:tc>
        <w:tc>
          <w:tcPr>
            <w:tcW w:type="dxa" w:w="3628"/>
            <w:vAlign w:val="center"/>
            <w:shd w:fill="F3F6F8"/>
          </w:tcPr>
          <w:p>
            <w:pPr>
              <w:spacing w:after="30"/>
            </w:pPr>
            <w:r>
              <w:rPr>
                <w:rFonts w:ascii="Times New Roman" w:hAnsi="Times New Roman" w:cs="Times New Roman" w:eastAsia="Times New Roman"/>
                <w:b w:val="0"/>
                <w:sz w:val="17"/>
              </w:rPr>
              <w:t>Changement des contraintes effectives et des conditions de durabilité</w:t>
            </w:r>
          </w:p>
        </w:tc>
        <w:tc>
          <w:tcPr>
            <w:tcW w:type="dxa" w:w="3628"/>
            <w:vAlign w:val="center"/>
            <w:shd w:fill="F3F6F8"/>
          </w:tcPr>
          <w:p>
            <w:pPr>
              <w:spacing w:after="30"/>
            </w:pPr>
            <w:r>
              <w:rPr>
                <w:rFonts w:ascii="Times New Roman" w:hAnsi="Times New Roman" w:cs="Times New Roman" w:eastAsia="Times New Roman"/>
                <w:b w:val="0"/>
                <w:sz w:val="17"/>
              </w:rPr>
              <w:t>Piézométrie saisonnière, scénarios de crue et drainage</w:t>
            </w:r>
          </w:p>
        </w:tc>
      </w:tr>
    </w:tbl>
    <w:p>
      <w:pPr>
        <w:spacing w:after="20"/>
      </w:pPr>
    </w:p>
    <w:p>
      <w:pPr>
        <w:pStyle w:val="Heading2"/>
      </w:pPr>
      <w:r>
        <w:rPr>
          <w:rFonts w:ascii="Times New Roman" w:hAnsi="Times New Roman" w:cs="Times New Roman" w:eastAsia="Times New Roman"/>
          <w:b/>
          <w:color w:val="1F4E79"/>
          <w:sz w:val="24"/>
        </w:rPr>
        <w:t>I.10 Construction, inspection et cycle de vie</w:t>
      </w:r>
    </w:p>
    <w:p>
      <w:pPr>
        <w:jc w:val="both"/>
      </w:pPr>
      <w:r>
        <w:rPr>
          <w:rFonts w:ascii="Times New Roman" w:hAnsi="Times New Roman" w:cs="Times New Roman" w:eastAsia="Times New Roman"/>
          <w:b w:val="0"/>
          <w:sz w:val="24"/>
        </w:rPr>
        <w:t>Une solution théoriquement résistante peut être inadaptée si elle ne peut pas être exécutée avec la qualité supposée. L’accès aux appuis, la profondeur de l’eau, la stabilité du lit, la disponibilité des matériels et les contraintes environnementales appartiennent au choix initial. La reconnaissance doit tester la constructibilité et non seulement le calcul final.</w:t>
      </w:r>
    </w:p>
    <w:p>
      <w:pPr>
        <w:jc w:val="both"/>
      </w:pPr>
      <w:r>
        <w:rPr>
          <w:rFonts w:ascii="Times New Roman" w:hAnsi="Times New Roman" w:cs="Times New Roman" w:eastAsia="Times New Roman"/>
          <w:b w:val="0"/>
          <w:sz w:val="24"/>
        </w:rPr>
        <w:t>Le cycle de vie ajoute d’autres questions : la fondation peut-elle être inspectée ? Quels éléments deviennent inaccessibles après travaux ? Quelles mesures initiales permettront de détecter une évolution ? La protection contre l’affouillement, le drainage, la surveillance des déplacements et l’inspection après crue ou séisme doivent être envisagés avec la conception.</w:t>
      </w:r>
    </w:p>
    <w:p>
      <w:pPr>
        <w:jc w:val="both"/>
      </w:pPr>
      <w:r>
        <w:rPr>
          <w:rFonts w:ascii="Times New Roman" w:hAnsi="Times New Roman" w:cs="Times New Roman" w:eastAsia="Times New Roman"/>
          <w:b w:val="0"/>
          <w:sz w:val="24"/>
        </w:rPr>
        <w:t>Cette logique prépare la méthode observationnelle : énoncer les hypothèses, définir les mesures utiles, prévoir les actions en cas d’écart et conserver la trace des révisions. Elle évite de considérer le rapport géotechnique comme un document figé à la remise des plans.</w:t>
      </w:r>
    </w:p>
    <w:p>
      <w:pPr>
        <w:pStyle w:val="Heading2"/>
      </w:pPr>
      <w:r>
        <w:rPr>
          <w:rFonts w:ascii="Times New Roman" w:hAnsi="Times New Roman" w:cs="Times New Roman" w:eastAsia="Times New Roman"/>
          <w:b/>
          <w:color w:val="1F4E79"/>
          <w:sz w:val="24"/>
        </w:rPr>
        <w:t>I.11 Lecture photographique d’ouvrages réels</w:t>
      </w:r>
    </w:p>
    <w:p>
      <w:pPr>
        <w:jc w:val="both"/>
      </w:pPr>
      <w:r>
        <w:rPr>
          <w:rFonts w:ascii="Times New Roman" w:hAnsi="Times New Roman" w:cs="Times New Roman" w:eastAsia="Times New Roman"/>
          <w:b w:val="0"/>
          <w:sz w:val="24"/>
        </w:rPr>
        <w:t>Les photographies suivantes donnent un support visuel aux exemples analysés aux sections I.3 et I.4. Elles documentent les formes et les contextes des ouvrages, mais ne remplacent ni les dossiers de fondation ni les investigations de site.</w:t>
      </w:r>
    </w:p>
    <w:p>
      <w:pPr>
        <w:keepNext/>
        <w:jc w:val="center"/>
      </w:pPr>
      <w:r>
        <w:drawing>
          <wp:inline xmlns:a="http://schemas.openxmlformats.org/drawingml/2006/main" xmlns:pic="http://schemas.openxmlformats.org/drawingml/2006/picture">
            <wp:extent cx="4364181" cy="1496291"/>
            <wp:docPr id="8" name="Picture 8"/>
            <wp:cNvGraphicFramePr>
              <a:graphicFrameLocks noChangeAspect="1"/>
            </wp:cNvGraphicFramePr>
            <a:graphic>
              <a:graphicData uri="http://schemas.openxmlformats.org/drawingml/2006/picture">
                <pic:pic>
                  <pic:nvPicPr>
                    <pic:cNvPr id="0" name="photo_alcantara.png"/>
                    <pic:cNvPicPr/>
                  </pic:nvPicPr>
                  <pic:blipFill>
                    <a:blip r:embed="rId26"/>
                    <a:stretch>
                      <a:fillRect/>
                    </a:stretch>
                  </pic:blipFill>
                  <pic:spPr>
                    <a:xfrm>
                      <a:off x="0" y="0"/>
                      <a:ext cx="4364181" cy="1496291"/>
                    </a:xfrm>
                    <a:prstGeom prst="rect"/>
                  </pic:spPr>
                </pic:pic>
              </a:graphicData>
            </a:graphic>
          </wp:inline>
        </w:drawing>
      </w:r>
    </w:p>
    <w:p>
      <w:bookmarkStart w:id="25" w:name="BM_FIGI_6"/>
      <w:pPr>
        <w:jc w:val="center"/>
      </w:pPr>
      <w:r>
        <w:rPr>
          <w:rFonts w:ascii="Times New Roman" w:hAnsi="Times New Roman" w:cs="Times New Roman" w:eastAsia="Times New Roman"/>
          <w:b/>
          <w:sz w:val="20"/>
        </w:rPr>
        <w:t>Figure I.6 — Pont romain d’Alcántara sur le Tage (Espagne) : arcs de maçonnerie et piles en rivière</w:t>
      </w:r>
      <w:bookmarkEnd w:id="25"/>
    </w:p>
    <w:p>
      <w:pPr>
        <w:jc w:val="right"/>
      </w:pPr>
      <w:r>
        <w:rPr>
          <w:rFonts w:ascii="Times New Roman" w:hAnsi="Times New Roman" w:cs="Times New Roman" w:eastAsia="Times New Roman"/>
          <w:b w:val="0"/>
          <w:color w:val="59636B"/>
          <w:sz w:val="20"/>
        </w:rPr>
        <w:t>Source : photographie de Piutus, « Puente de Alcántara… Pic 03 », Wikimedia Commons, CC BY 2.0.</w:t>
      </w:r>
    </w:p>
    <w:p>
      <w:pPr>
        <w:keepNext/>
        <w:jc w:val="center"/>
      </w:pPr>
      <w:r>
        <w:drawing>
          <wp:inline xmlns:a="http://schemas.openxmlformats.org/drawingml/2006/main" xmlns:pic="http://schemas.openxmlformats.org/drawingml/2006/picture">
            <wp:extent cx="5760000" cy="4320000"/>
            <wp:docPr id="9" name="Picture 9"/>
            <wp:cNvGraphicFramePr>
              <a:graphicFrameLocks noChangeAspect="1"/>
            </wp:cNvGraphicFramePr>
            <a:graphic>
              <a:graphicData uri="http://schemas.openxmlformats.org/drawingml/2006/picture">
                <pic:pic>
                  <pic:nvPicPr>
                    <pic:cNvPr id="0" name="photo_iron_bridge.png"/>
                    <pic:cNvPicPr/>
                  </pic:nvPicPr>
                  <pic:blipFill>
                    <a:blip r:embed="rId27"/>
                    <a:stretch>
                      <a:fillRect/>
                    </a:stretch>
                  </pic:blipFill>
                  <pic:spPr>
                    <a:xfrm>
                      <a:off x="0" y="0"/>
                      <a:ext cx="5760000" cy="4320000"/>
                    </a:xfrm>
                    <a:prstGeom prst="rect"/>
                  </pic:spPr>
                </pic:pic>
              </a:graphicData>
            </a:graphic>
          </wp:inline>
        </w:drawing>
      </w:r>
    </w:p>
    <w:p>
      <w:bookmarkStart w:id="26" w:name="BM_FIGI_7"/>
      <w:pPr>
        <w:jc w:val="center"/>
      </w:pPr>
      <w:r>
        <w:rPr>
          <w:rFonts w:ascii="Times New Roman" w:hAnsi="Times New Roman" w:cs="Times New Roman" w:eastAsia="Times New Roman"/>
          <w:b/>
          <w:sz w:val="20"/>
        </w:rPr>
        <w:t>Figure I.7 — Iron Bridge à Ironbridge (Royaume-Uni) : arc en fonte et appuis de rive</w:t>
      </w:r>
      <w:bookmarkEnd w:id="26"/>
    </w:p>
    <w:p>
      <w:pPr>
        <w:jc w:val="right"/>
      </w:pPr>
      <w:r>
        <w:rPr>
          <w:rFonts w:ascii="Times New Roman" w:hAnsi="Times New Roman" w:cs="Times New Roman" w:eastAsia="Times New Roman"/>
          <w:b w:val="0"/>
          <w:color w:val="59636B"/>
          <w:sz w:val="20"/>
        </w:rPr>
        <w:t>Source : photographie d’Adam Jones, Wikimedia Commons, CC BY-SA 2.0.</w:t>
      </w:r>
    </w:p>
    <w:p>
      <w:pPr>
        <w:keepNext/>
        <w:jc w:val="center"/>
      </w:pPr>
      <w:r>
        <w:drawing>
          <wp:inline xmlns:a="http://schemas.openxmlformats.org/drawingml/2006/main" xmlns:pic="http://schemas.openxmlformats.org/drawingml/2006/picture">
            <wp:extent cx="5760000" cy="3570411"/>
            <wp:docPr id="10" name="Picture 10"/>
            <wp:cNvGraphicFramePr>
              <a:graphicFrameLocks noChangeAspect="1"/>
            </wp:cNvGraphicFramePr>
            <a:graphic>
              <a:graphicData uri="http://schemas.openxmlformats.org/drawingml/2006/picture">
                <pic:pic>
                  <pic:nvPicPr>
                    <pic:cNvPr id="0" name="photo_brooklyn_construction.png"/>
                    <pic:cNvPicPr/>
                  </pic:nvPicPr>
                  <pic:blipFill>
                    <a:blip r:embed="rId28"/>
                    <a:stretch>
                      <a:fillRect/>
                    </a:stretch>
                  </pic:blipFill>
                  <pic:spPr>
                    <a:xfrm>
                      <a:off x="0" y="0"/>
                      <a:ext cx="5760000" cy="3570411"/>
                    </a:xfrm>
                    <a:prstGeom prst="rect"/>
                  </pic:spPr>
                </pic:pic>
              </a:graphicData>
            </a:graphic>
          </wp:inline>
        </w:drawing>
      </w:r>
    </w:p>
    <w:p>
      <w:bookmarkStart w:id="27" w:name="BM_FIGI_8"/>
      <w:pPr>
        <w:jc w:val="center"/>
      </w:pPr>
      <w:r>
        <w:rPr>
          <w:rFonts w:ascii="Times New Roman" w:hAnsi="Times New Roman" w:cs="Times New Roman" w:eastAsia="Times New Roman"/>
          <w:b/>
          <w:sz w:val="20"/>
        </w:rPr>
        <w:t>Figure I.8 — Brooklyn Bridge (New York) pendant la construction des câbles en 1878</w:t>
      </w:r>
      <w:bookmarkEnd w:id="27"/>
    </w:p>
    <w:p>
      <w:pPr>
        <w:jc w:val="right"/>
      </w:pPr>
      <w:r>
        <w:rPr>
          <w:rFonts w:ascii="Times New Roman" w:hAnsi="Times New Roman" w:cs="Times New Roman" w:eastAsia="Times New Roman"/>
          <w:b w:val="0"/>
          <w:color w:val="59636B"/>
          <w:sz w:val="20"/>
        </w:rPr>
        <w:t>Source : photographie de journal, auteur inconnu, « Brooklyn Bridge Under Construction 1878 », Wikimedia Commons, domaine public.</w:t>
      </w:r>
    </w:p>
    <w:p>
      <w:pPr>
        <w:keepNext/>
        <w:jc w:val="center"/>
      </w:pPr>
      <w:r>
        <w:drawing>
          <wp:inline xmlns:a="http://schemas.openxmlformats.org/drawingml/2006/main" xmlns:pic="http://schemas.openxmlformats.org/drawingml/2006/picture">
            <wp:extent cx="4156363" cy="2867890"/>
            <wp:docPr id="11" name="Picture 11"/>
            <wp:cNvGraphicFramePr>
              <a:graphicFrameLocks noChangeAspect="1"/>
            </wp:cNvGraphicFramePr>
            <a:graphic>
              <a:graphicData uri="http://schemas.openxmlformats.org/drawingml/2006/picture">
                <pic:pic>
                  <pic:nvPicPr>
                    <pic:cNvPr id="0" name="photo_stromsund.png"/>
                    <pic:cNvPicPr/>
                  </pic:nvPicPr>
                  <pic:blipFill>
                    <a:blip r:embed="rId29"/>
                    <a:stretch>
                      <a:fillRect/>
                    </a:stretch>
                  </pic:blipFill>
                  <pic:spPr>
                    <a:xfrm>
                      <a:off x="0" y="0"/>
                      <a:ext cx="4156363" cy="2867890"/>
                    </a:xfrm>
                    <a:prstGeom prst="rect"/>
                  </pic:spPr>
                </pic:pic>
              </a:graphicData>
            </a:graphic>
          </wp:inline>
        </w:drawing>
      </w:r>
    </w:p>
    <w:p>
      <w:bookmarkStart w:id="28" w:name="BM_FIGI_9"/>
      <w:pPr>
        <w:jc w:val="center"/>
      </w:pPr>
      <w:r>
        <w:rPr>
          <w:rFonts w:ascii="Times New Roman" w:hAnsi="Times New Roman" w:cs="Times New Roman" w:eastAsia="Times New Roman"/>
          <w:b/>
          <w:sz w:val="20"/>
        </w:rPr>
        <w:t>Figure I.9 — Pont de Strömsund (Suède) : exemple historique de pont haubané moderne</w:t>
      </w:r>
      <w:bookmarkEnd w:id="28"/>
    </w:p>
    <w:p>
      <w:pPr>
        <w:jc w:val="right"/>
      </w:pPr>
      <w:r>
        <w:rPr>
          <w:rFonts w:ascii="Times New Roman" w:hAnsi="Times New Roman" w:cs="Times New Roman" w:eastAsia="Times New Roman"/>
          <w:b w:val="0"/>
          <w:color w:val="59636B"/>
          <w:sz w:val="20"/>
        </w:rPr>
        <w:t>Source : photographie de Lars Falkdalen Lindahl, Wikimedia Commons, CC BY-SA 3.0.</w:t>
      </w:r>
    </w:p>
    <w:p>
      <w:pPr>
        <w:keepNext/>
        <w:jc w:val="center"/>
      </w:pPr>
      <w:r>
        <w:drawing>
          <wp:inline xmlns:a="http://schemas.openxmlformats.org/drawingml/2006/main" xmlns:pic="http://schemas.openxmlformats.org/drawingml/2006/picture">
            <wp:extent cx="5760000" cy="3834000"/>
            <wp:docPr id="12" name="Picture 12"/>
            <wp:cNvGraphicFramePr>
              <a:graphicFrameLocks noChangeAspect="1"/>
            </wp:cNvGraphicFramePr>
            <a:graphic>
              <a:graphicData uri="http://schemas.openxmlformats.org/drawingml/2006/picture">
                <pic:pic>
                  <pic:nvPicPr>
                    <pic:cNvPr id="0" name="photo_millau.png"/>
                    <pic:cNvPicPr/>
                  </pic:nvPicPr>
                  <pic:blipFill>
                    <a:blip r:embed="rId30"/>
                    <a:stretch>
                      <a:fillRect/>
                    </a:stretch>
                  </pic:blipFill>
                  <pic:spPr>
                    <a:xfrm>
                      <a:off x="0" y="0"/>
                      <a:ext cx="5760000" cy="3834000"/>
                    </a:xfrm>
                    <a:prstGeom prst="rect"/>
                  </pic:spPr>
                </pic:pic>
              </a:graphicData>
            </a:graphic>
          </wp:inline>
        </w:drawing>
      </w:r>
    </w:p>
    <w:p>
      <w:bookmarkStart w:id="29" w:name="BM_FIGI_10"/>
      <w:pPr>
        <w:jc w:val="center"/>
      </w:pPr>
      <w:r>
        <w:rPr>
          <w:rFonts w:ascii="Times New Roman" w:hAnsi="Times New Roman" w:cs="Times New Roman" w:eastAsia="Times New Roman"/>
          <w:b/>
          <w:sz w:val="20"/>
        </w:rPr>
        <w:t>Figure I.10 — Viaduc de Millau (France) : travées haubanées et pylônes</w:t>
      </w:r>
      <w:bookmarkEnd w:id="29"/>
    </w:p>
    <w:p>
      <w:pPr>
        <w:jc w:val="right"/>
      </w:pPr>
      <w:r>
        <w:rPr>
          <w:rFonts w:ascii="Times New Roman" w:hAnsi="Times New Roman" w:cs="Times New Roman" w:eastAsia="Times New Roman"/>
          <w:b w:val="0"/>
          <w:color w:val="59636B"/>
          <w:sz w:val="20"/>
        </w:rPr>
        <w:t>Source : photographie de Stefan Krause, Wikimedia Commons, CC BY-SA 3.0.</w:t>
      </w:r>
    </w:p>
    <w:p>
      <w:pPr>
        <w:jc w:val="both"/>
      </w:pPr>
      <w:r>
        <w:rPr>
          <w:rFonts w:ascii="Times New Roman" w:hAnsi="Times New Roman" w:cs="Times New Roman" w:eastAsia="Times New Roman"/>
          <w:b w:val="0"/>
          <w:sz w:val="24"/>
        </w:rPr>
        <w:t>Les deux vues ci-dessous sont extraites du mémoire original. Elles rapprochent les principes structuraux schématisés précédemment de réalisations concrètes, sans attribuer aux ouvrages photographiés une localisation ou un dossier géotechnique non fourni.</w:t>
      </w:r>
    </w:p>
    <w:p>
      <w:pPr>
        <w:keepNext/>
        <w:jc w:val="center"/>
      </w:pPr>
      <w:r>
        <w:drawing>
          <wp:inline xmlns:a="http://schemas.openxmlformats.org/drawingml/2006/main" xmlns:pic="http://schemas.openxmlformats.org/drawingml/2006/picture">
            <wp:extent cx="5760000" cy="4015543"/>
            <wp:docPr id="13" name="Picture 13"/>
            <wp:cNvGraphicFramePr>
              <a:graphicFrameLocks noChangeAspect="1"/>
            </wp:cNvGraphicFramePr>
            <a:graphic>
              <a:graphicData uri="http://schemas.openxmlformats.org/drawingml/2006/picture">
                <pic:pic>
                  <pic:nvPicPr>
                    <pic:cNvPr id="0" name="photo_beam_bridge_original.png"/>
                    <pic:cNvPicPr/>
                  </pic:nvPicPr>
                  <pic:blipFill>
                    <a:blip r:embed="rId31"/>
                    <a:stretch>
                      <a:fillRect/>
                    </a:stretch>
                  </pic:blipFill>
                  <pic:spPr>
                    <a:xfrm>
                      <a:off x="0" y="0"/>
                      <a:ext cx="5760000" cy="4015543"/>
                    </a:xfrm>
                    <a:prstGeom prst="rect"/>
                  </pic:spPr>
                </pic:pic>
              </a:graphicData>
            </a:graphic>
          </wp:inline>
        </w:drawing>
      </w:r>
    </w:p>
    <w:p>
      <w:bookmarkStart w:id="30" w:name="BM_FIGI_11"/>
      <w:pPr>
        <w:jc w:val="center"/>
      </w:pPr>
      <w:r>
        <w:rPr>
          <w:rFonts w:ascii="Times New Roman" w:hAnsi="Times New Roman" w:cs="Times New Roman" w:eastAsia="Times New Roman"/>
          <w:b/>
          <w:sz w:val="20"/>
        </w:rPr>
        <w:t>Figure I.11 — Exemple réel de pont à poutres sur piles en cours d’eau</w:t>
      </w:r>
      <w:bookmarkEnd w:id="30"/>
    </w:p>
    <w:p>
      <w:pPr>
        <w:jc w:val="right"/>
      </w:pPr>
      <w:r>
        <w:rPr>
          <w:rFonts w:ascii="Times New Roman" w:hAnsi="Times New Roman" w:cs="Times New Roman" w:eastAsia="Times New Roman"/>
          <w:b w:val="0"/>
          <w:color w:val="59636B"/>
          <w:sz w:val="20"/>
        </w:rPr>
        <w:t>Source : mémoire original, page 25, panneau (b) ; photographie extraite et recadrée.</w:t>
      </w:r>
    </w:p>
    <w:p>
      <w:pPr>
        <w:keepNext/>
        <w:jc w:val="center"/>
      </w:pPr>
      <w:r>
        <w:drawing>
          <wp:inline xmlns:a="http://schemas.openxmlformats.org/drawingml/2006/main" xmlns:pic="http://schemas.openxmlformats.org/drawingml/2006/picture">
            <wp:extent cx="5760000" cy="2945829"/>
            <wp:docPr id="14" name="Picture 14"/>
            <wp:cNvGraphicFramePr>
              <a:graphicFrameLocks noChangeAspect="1"/>
            </wp:cNvGraphicFramePr>
            <a:graphic>
              <a:graphicData uri="http://schemas.openxmlformats.org/drawingml/2006/picture">
                <pic:pic>
                  <pic:nvPicPr>
                    <pic:cNvPr id="0" name="photo_cable_stayed_original.png"/>
                    <pic:cNvPicPr/>
                  </pic:nvPicPr>
                  <pic:blipFill>
                    <a:blip r:embed="rId32"/>
                    <a:stretch>
                      <a:fillRect/>
                    </a:stretch>
                  </pic:blipFill>
                  <pic:spPr>
                    <a:xfrm>
                      <a:off x="0" y="0"/>
                      <a:ext cx="5760000" cy="2945829"/>
                    </a:xfrm>
                    <a:prstGeom prst="rect"/>
                  </pic:spPr>
                </pic:pic>
              </a:graphicData>
            </a:graphic>
          </wp:inline>
        </w:drawing>
      </w:r>
    </w:p>
    <w:p>
      <w:bookmarkStart w:id="31" w:name="BM_FIGI_12"/>
      <w:pPr>
        <w:jc w:val="center"/>
      </w:pPr>
      <w:r>
        <w:rPr>
          <w:rFonts w:ascii="Times New Roman" w:hAnsi="Times New Roman" w:cs="Times New Roman" w:eastAsia="Times New Roman"/>
          <w:b/>
          <w:sz w:val="20"/>
        </w:rPr>
        <w:t>Figure I.12 — Exemple réel de pont à haubans : pylône central, câbles et appuis</w:t>
      </w:r>
      <w:bookmarkEnd w:id="31"/>
    </w:p>
    <w:p>
      <w:pPr>
        <w:jc w:val="right"/>
      </w:pPr>
      <w:r>
        <w:rPr>
          <w:rFonts w:ascii="Times New Roman" w:hAnsi="Times New Roman" w:cs="Times New Roman" w:eastAsia="Times New Roman"/>
          <w:b w:val="0"/>
          <w:color w:val="59636B"/>
          <w:sz w:val="20"/>
        </w:rPr>
        <w:t>Source : mémoire original, page 34, panneau (b) ; photographie extraite et recadrée.</w:t>
      </w:r>
    </w:p>
    <w:p>
      <w:pPr>
        <w:pStyle w:val="Heading2"/>
      </w:pPr>
      <w:r>
        <w:rPr>
          <w:rFonts w:ascii="Times New Roman" w:hAnsi="Times New Roman" w:cs="Times New Roman" w:eastAsia="Times New Roman"/>
          <w:b/>
          <w:color w:val="1F4E79"/>
          <w:sz w:val="24"/>
        </w:rPr>
        <w:t>I.12 Synthèse du chapitre</w:t>
      </w:r>
    </w:p>
    <w:p>
      <w:pPr>
        <w:jc w:val="both"/>
      </w:pPr>
      <w:r>
        <w:rPr>
          <w:rFonts w:ascii="Times New Roman" w:hAnsi="Times New Roman" w:cs="Times New Roman" w:eastAsia="Times New Roman"/>
          <w:b w:val="0"/>
          <w:sz w:val="24"/>
        </w:rPr>
        <w:t>L’évolution des ponts montre une diversification des chemins de charge et des exigences de performance. Les quatre familles retenues ne conduisent pas à quatre recettes de reconnaissance, mais à quatre ensembles de questions. Les poutres et dalles attirent l’attention sur les déplacements entre appuis et les transitions de rive ; les arcs sur les poussées et la stabilité des culées ; les suspendus sur les pylônes et les ancrages ; les haubanés sur les phases, les déplacements et les réactions variables.</w:t>
      </w:r>
    </w:p>
    <w:p>
      <w:pPr>
        <w:jc w:val="both"/>
      </w:pPr>
      <w:r>
        <w:rPr>
          <w:rFonts w:ascii="Times New Roman" w:hAnsi="Times New Roman" w:cs="Times New Roman" w:eastAsia="Times New Roman"/>
          <w:b w:val="0"/>
          <w:sz w:val="24"/>
        </w:rPr>
        <w:t>Le choix des fondations résulte de la rencontre entre ces exigences et un modèle de site évolutif. La reconnaissance doit donc être conçue avec la structure, l’hydraulique et la construction. Le chapitre suivant précise les composantes naturelles de ce modèle : géologie, géomorphologie, hydrogéologie et dynamique fluviale.</w:t>
      </w:r>
    </w:p>
    <w:p>
      <w:pPr>
        <w:sectPr>
          <w:headerReference w:type="default" r:id="rId17"/>
          <w:footerReference w:type="default" r:id="rId18"/>
          <w:headerReference w:type="first" r:id="rId19"/>
          <w:footerReference w:type="first" r:id="rId20"/>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II — MODÈLE GÉOLOGIQUE, HYDROGÉOLOGIQUE ET FLUVIAL DU SITE</w:t>
      </w:r>
    </w:p>
    <w:p>
      <w:pPr>
        <w:pStyle w:val="Heading2"/>
      </w:pPr>
      <w:r>
        <w:rPr>
          <w:rFonts w:ascii="Times New Roman" w:hAnsi="Times New Roman" w:cs="Times New Roman" w:eastAsia="Times New Roman"/>
          <w:b/>
          <w:color w:val="1F4E79"/>
          <w:sz w:val="24"/>
        </w:rPr>
        <w:t>II.1 Introduction</w:t>
      </w:r>
    </w:p>
    <w:p>
      <w:pPr>
        <w:jc w:val="both"/>
      </w:pPr>
      <w:r>
        <w:rPr>
          <w:rFonts w:ascii="Times New Roman" w:hAnsi="Times New Roman" w:cs="Times New Roman" w:eastAsia="Times New Roman"/>
          <w:b w:val="0"/>
          <w:sz w:val="24"/>
        </w:rPr>
        <w:t>Le modèle de site est la représentation argumentée des formations, de l’eau et des processus qui peuvent influencer l’ouvrage. Il ne se confond ni avec une carte géologique, ni avec une succession de logs de sondage. Il relie des observations à une géométrie et à des mécanismes, tout en indiquant les zones d’incertitude.</w:t>
      </w:r>
    </w:p>
    <w:p>
      <w:pPr>
        <w:jc w:val="both"/>
      </w:pPr>
      <w:r>
        <w:rPr>
          <w:rFonts w:ascii="Times New Roman" w:hAnsi="Times New Roman" w:cs="Times New Roman" w:eastAsia="Times New Roman"/>
          <w:b w:val="0"/>
          <w:sz w:val="24"/>
        </w:rPr>
        <w:t>Pour un pont, ce modèle possède plusieurs échelles. Le bassin versant renseigne les apports en eau et en sédiments. La vallée décrit la disposition des terrasses, du chenal et des berges. Chaque appui nécessite un modèle local des formations et de la nappe. Enfin, certaines décisions exigent une description à l’échelle d’une interface : contact remblai–culée, couche sous une semelle ou discontinuité dans le rocher.</w:t>
      </w:r>
    </w:p>
    <w:p>
      <w:pPr>
        <w:jc w:val="both"/>
      </w:pPr>
      <w:r>
        <w:rPr>
          <w:rFonts w:ascii="Times New Roman" w:hAnsi="Times New Roman" w:cs="Times New Roman" w:eastAsia="Times New Roman"/>
          <w:b w:val="0"/>
          <w:sz w:val="24"/>
        </w:rPr>
        <w:t>Le présent chapitre organise ces composantes sans multiplier les valeurs générales. Les propriétés typiques d’un matériau peuvent orienter une première hypothèse ; elles ne remplacent jamais les observations et les essais du projet.</w:t>
      </w:r>
    </w:p>
    <w:p>
      <w:pPr>
        <w:pStyle w:val="Heading2"/>
      </w:pPr>
      <w:r>
        <w:rPr>
          <w:rFonts w:ascii="Times New Roman" w:hAnsi="Times New Roman" w:cs="Times New Roman" w:eastAsia="Times New Roman"/>
          <w:b/>
          <w:color w:val="1F4E79"/>
          <w:sz w:val="24"/>
        </w:rPr>
        <w:t>II.2 Démarche de construction du modèle géotechnique</w:t>
      </w:r>
    </w:p>
    <w:p>
      <w:pPr>
        <w:pStyle w:val="Heading3"/>
      </w:pPr>
      <w:r>
        <w:rPr>
          <w:rFonts w:ascii="Times New Roman" w:hAnsi="Times New Roman" w:cs="Times New Roman" w:eastAsia="Times New Roman"/>
          <w:b/>
          <w:color w:val="233741"/>
          <w:sz w:val="24"/>
        </w:rPr>
        <w:t>II.2.1 Données existantes et visite de site</w:t>
      </w:r>
    </w:p>
    <w:p>
      <w:pPr>
        <w:jc w:val="both"/>
      </w:pPr>
      <w:r>
        <w:rPr>
          <w:rFonts w:ascii="Times New Roman" w:hAnsi="Times New Roman" w:cs="Times New Roman" w:eastAsia="Times New Roman"/>
          <w:b w:val="0"/>
          <w:sz w:val="24"/>
        </w:rPr>
        <w:t>La revue documentaire rassemble les cartes géologiques et topographiques, les anciennes études, les photographies, les données hydrologiques, l’historique du tracé et les informations sur les ouvrages voisins. Elle examine aussi les changements d’usage du sol, les extractions, les remblais et les aménagements du cours d’eau. Les différences entre documents servent à repérer les évolutions et les lacunes.</w:t>
      </w:r>
    </w:p>
    <w:p>
      <w:pPr>
        <w:jc w:val="both"/>
      </w:pPr>
      <w:r>
        <w:rPr>
          <w:rFonts w:ascii="Times New Roman" w:hAnsi="Times New Roman" w:cs="Times New Roman" w:eastAsia="Times New Roman"/>
          <w:b w:val="0"/>
          <w:sz w:val="24"/>
        </w:rPr>
        <w:t>La visite confronte ces informations au terrain. Elle porte sur les affleurements, les faciès, les formes de rive, les indices d’érosion, les suintements, les cavités, les désordres des ouvrages existants et les conditions d’accès. Elle permet également d’identifier les contraintes pratiques des investigations : courant, profondeur d’eau, stabilité des berges, réseaux et circulation.</w:t>
      </w:r>
    </w:p>
    <w:p>
      <w:pPr>
        <w:jc w:val="both"/>
      </w:pPr>
      <w:r>
        <w:rPr>
          <w:rFonts w:ascii="Times New Roman" w:hAnsi="Times New Roman" w:cs="Times New Roman" w:eastAsia="Times New Roman"/>
          <w:b w:val="0"/>
          <w:sz w:val="24"/>
        </w:rPr>
        <w:t>Le FHWA (2016a) présente la caractérisation du site comme une démarche intégrée, depuis les données existantes jusqu’au modèle utilisé pour le projet. Cette approche est particulièrement adaptée aux ponts, où les observations doivent être partagées entre plusieurs disciplines.</w:t>
      </w:r>
    </w:p>
    <w:p>
      <w:pPr>
        <w:jc w:val="both"/>
      </w:pPr>
      <w:r>
        <w:rPr>
          <w:rFonts w:ascii="Times New Roman" w:hAnsi="Times New Roman" w:cs="Times New Roman" w:eastAsia="Times New Roman"/>
          <w:b w:val="0"/>
          <w:sz w:val="24"/>
        </w:rPr>
        <w:t>La description directe d’un profil aide à distinguer les horizons, leurs limites et les indices d’altération avant toute interpolation. L’exemple ci-dessous provient du Kerala, en Inde ; il illustre une méthode d’observation et ne représente ni un site algérien ni une coupe au droit d’un appui de pont.</w:t>
      </w:r>
    </w:p>
    <w:p>
      <w:pPr>
        <w:keepNext/>
        <w:jc w:val="center"/>
      </w:pPr>
      <w:r>
        <w:drawing>
          <wp:inline xmlns:a="http://schemas.openxmlformats.org/drawingml/2006/main" xmlns:pic="http://schemas.openxmlformats.org/drawingml/2006/picture">
            <wp:extent cx="5760000" cy="3801600"/>
            <wp:docPr id="15" name="Picture 15"/>
            <wp:cNvGraphicFramePr>
              <a:graphicFrameLocks noChangeAspect="1"/>
            </wp:cNvGraphicFramePr>
            <a:graphic>
              <a:graphicData uri="http://schemas.openxmlformats.org/drawingml/2006/picture">
                <pic:pic>
                  <pic:nvPicPr>
                    <pic:cNvPr id="0" name="photo_soil_profile_csiro.png"/>
                    <pic:cNvPicPr/>
                  </pic:nvPicPr>
                  <pic:blipFill>
                    <a:blip r:embed="rId37"/>
                    <a:stretch>
                      <a:fillRect/>
                    </a:stretch>
                  </pic:blipFill>
                  <pic:spPr>
                    <a:xfrm>
                      <a:off x="0" y="0"/>
                      <a:ext cx="5760000" cy="3801600"/>
                    </a:xfrm>
                    <a:prstGeom prst="rect"/>
                  </pic:spPr>
                </pic:pic>
              </a:graphicData>
            </a:graphic>
          </wp:inline>
        </w:drawing>
      </w:r>
    </w:p>
    <w:p>
      <w:bookmarkStart w:id="32" w:name="BM_FIGII_1"/>
      <w:pPr>
        <w:jc w:val="center"/>
      </w:pPr>
      <w:r>
        <w:rPr>
          <w:rFonts w:ascii="Times New Roman" w:hAnsi="Times New Roman" w:cs="Times New Roman" w:eastAsia="Times New Roman"/>
          <w:b/>
          <w:sz w:val="20"/>
        </w:rPr>
        <w:t>Figure II.1 — Description d’un profil de sol au Kerala (Inde) : horizons, limites et observations de terrain</w:t>
      </w:r>
      <w:bookmarkEnd w:id="32"/>
    </w:p>
    <w:p>
      <w:pPr>
        <w:jc w:val="right"/>
      </w:pPr>
      <w:r>
        <w:rPr>
          <w:rFonts w:ascii="Times New Roman" w:hAnsi="Times New Roman" w:cs="Times New Roman" w:eastAsia="Times New Roman"/>
          <w:b w:val="0"/>
          <w:color w:val="59636B"/>
          <w:sz w:val="20"/>
        </w:rPr>
        <w:t>Source : T. Grove, CSIRO, « Soil Profiling India », Wikimedia Commons, CC BY 3.0.</w:t>
      </w:r>
    </w:p>
    <w:p>
      <w:pPr>
        <w:jc w:val="both"/>
      </w:pPr>
      <w:r>
        <w:rPr>
          <w:rFonts w:ascii="Times New Roman" w:hAnsi="Times New Roman" w:cs="Times New Roman" w:eastAsia="Times New Roman"/>
          <w:b w:val="0"/>
          <w:sz w:val="24"/>
        </w:rPr>
        <w:t>La visite doit également repérer les mouvements de versant qui peuvent modifier les accès ou les appuis. Le glissement de Mameyes constitue un exemple documenté d’instabilité ; sa photographie ne fournit ni un mécanisme unique ni des paramètres applicables à un autre site.</w:t>
      </w:r>
    </w:p>
    <w:p>
      <w:pPr>
        <w:keepNext/>
        <w:jc w:val="center"/>
      </w:pPr>
      <w:r>
        <w:drawing>
          <wp:inline xmlns:a="http://schemas.openxmlformats.org/drawingml/2006/main" xmlns:pic="http://schemas.openxmlformats.org/drawingml/2006/picture">
            <wp:extent cx="4156363" cy="2793076"/>
            <wp:docPr id="16" name="Picture 16"/>
            <wp:cNvGraphicFramePr>
              <a:graphicFrameLocks noChangeAspect="1"/>
            </wp:cNvGraphicFramePr>
            <a:graphic>
              <a:graphicData uri="http://schemas.openxmlformats.org/drawingml/2006/picture">
                <pic:pic>
                  <pic:nvPicPr>
                    <pic:cNvPr id="0" name="photo_mameyes_landslide.png"/>
                    <pic:cNvPicPr/>
                  </pic:nvPicPr>
                  <pic:blipFill>
                    <a:blip r:embed="rId38"/>
                    <a:stretch>
                      <a:fillRect/>
                    </a:stretch>
                  </pic:blipFill>
                  <pic:spPr>
                    <a:xfrm>
                      <a:off x="0" y="0"/>
                      <a:ext cx="4156363" cy="2793076"/>
                    </a:xfrm>
                    <a:prstGeom prst="rect"/>
                  </pic:spPr>
                </pic:pic>
              </a:graphicData>
            </a:graphic>
          </wp:inline>
        </w:drawing>
      </w:r>
    </w:p>
    <w:p>
      <w:bookmarkStart w:id="33" w:name="BM_FIGII_2"/>
      <w:pPr>
        <w:jc w:val="center"/>
      </w:pPr>
      <w:r>
        <w:rPr>
          <w:rFonts w:ascii="Times New Roman" w:hAnsi="Times New Roman" w:cs="Times New Roman" w:eastAsia="Times New Roman"/>
          <w:b/>
          <w:sz w:val="20"/>
        </w:rPr>
        <w:t>Figure II.2 — Glissement de Mameyes à Ponce (Porto Rico, 1985) : exemple d’instabilité de versant documentée par l’USGS</w:t>
      </w:r>
      <w:bookmarkEnd w:id="33"/>
    </w:p>
    <w:p>
      <w:pPr>
        <w:jc w:val="right"/>
      </w:pPr>
      <w:r>
        <w:rPr>
          <w:rFonts w:ascii="Times New Roman" w:hAnsi="Times New Roman" w:cs="Times New Roman" w:eastAsia="Times New Roman"/>
          <w:b w:val="0"/>
          <w:color w:val="59636B"/>
          <w:sz w:val="20"/>
        </w:rPr>
        <w:t>Source : Randall Jibson, USGS, Wikimedia Commons, domaine public.</w:t>
      </w:r>
    </w:p>
    <w:p>
      <w:pPr>
        <w:pStyle w:val="Heading3"/>
      </w:pPr>
      <w:r>
        <w:rPr>
          <w:rFonts w:ascii="Times New Roman" w:hAnsi="Times New Roman" w:cs="Times New Roman" w:eastAsia="Times New Roman"/>
          <w:b/>
          <w:color w:val="233741"/>
          <w:sz w:val="24"/>
        </w:rPr>
        <w:t>II.2.2 Observations, interpolations et hypothèses</w:t>
      </w:r>
    </w:p>
    <w:p>
      <w:pPr>
        <w:jc w:val="both"/>
      </w:pPr>
      <w:r>
        <w:rPr>
          <w:rFonts w:ascii="Times New Roman" w:hAnsi="Times New Roman" w:cs="Times New Roman" w:eastAsia="Times New Roman"/>
          <w:b w:val="0"/>
          <w:sz w:val="24"/>
        </w:rPr>
        <w:t>Un log décrit ce qui a été observé à une position et à une date. Une coupe géologique propose une interprétation entre ces points. Un modèle de calcul ajoute des paramètres et des conditions aux limites. Ces trois niveaux doivent rester distinguables.</w:t>
      </w:r>
    </w:p>
    <w:p>
      <w:pPr>
        <w:jc w:val="both"/>
      </w:pPr>
      <w:r>
        <w:rPr>
          <w:rFonts w:ascii="Times New Roman" w:hAnsi="Times New Roman" w:cs="Times New Roman" w:eastAsia="Times New Roman"/>
          <w:b w:val="0"/>
          <w:sz w:val="24"/>
        </w:rPr>
        <w:t>La continuité d’une couche entre deux sondages peut être probable sans être démontrée. Elle dépend du contexte de dépôt, de la géomorphologie et de la cohérence des autres investigations. Dans une vallée alluviale, des chenaux remblayés peuvent produire des variations latérales rapides ; dans un massif carbonaté, une discontinuité peut contrôler la position d’une cavité sans signature systématique en surface.</w:t>
      </w:r>
    </w:p>
    <w:p>
      <w:pPr>
        <w:jc w:val="both"/>
      </w:pPr>
      <w:r>
        <w:rPr>
          <w:rFonts w:ascii="Times New Roman" w:hAnsi="Times New Roman" w:cs="Times New Roman" w:eastAsia="Times New Roman"/>
          <w:b w:val="0"/>
          <w:sz w:val="24"/>
        </w:rPr>
        <w:t>Le modèle doit donc comporter une cartographie des incertitudes : formations mal contraintes, niveaux d’eau inconnus, zones non accessibles, anomalies non vérifiées et paramètres issus de corrélations. Ces incertitudes orientent les investigations complémentaires et les scénarios de calcul.</w:t>
      </w:r>
    </w:p>
    <w:p>
      <w:bookmarkStart w:id="34" w:name="BM_TABII_1"/>
      <w:pPr>
        <w:keepNext/>
        <w:jc w:val="center"/>
      </w:pPr>
      <w:r>
        <w:rPr>
          <w:rFonts w:ascii="Times New Roman" w:hAnsi="Times New Roman" w:cs="Times New Roman" w:eastAsia="Times New Roman"/>
          <w:b/>
          <w:sz w:val="20"/>
        </w:rPr>
        <w:t>Tableau II.1 — Contenu minimal d’un modèle géotechnique de site de pont</w:t>
      </w:r>
      <w:bookmarkEnd w:id="3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Composante</w:t>
            </w:r>
          </w:p>
        </w:tc>
        <w:tc>
          <w:tcPr>
            <w:tcW w:type="dxa" w:w="3628"/>
            <w:vAlign w:val="center"/>
            <w:shd w:fill="1F4E79"/>
          </w:tcPr>
          <w:p>
            <w:pPr>
              <w:spacing w:after="30"/>
            </w:pPr>
            <w:r>
              <w:rPr>
                <w:rFonts w:ascii="Times New Roman" w:hAnsi="Times New Roman" w:cs="Times New Roman" w:eastAsia="Times New Roman"/>
                <w:b/>
                <w:color w:val="FFFFFF"/>
                <w:sz w:val="17"/>
              </w:rPr>
              <w:t>Contenu attendu</w:t>
            </w:r>
          </w:p>
        </w:tc>
        <w:tc>
          <w:tcPr>
            <w:tcW w:type="dxa" w:w="3628"/>
            <w:vAlign w:val="center"/>
            <w:shd w:fill="1F4E79"/>
          </w:tcPr>
          <w:p>
            <w:pPr>
              <w:spacing w:after="30"/>
            </w:pPr>
            <w:r>
              <w:rPr>
                <w:rFonts w:ascii="Times New Roman" w:hAnsi="Times New Roman" w:cs="Times New Roman" w:eastAsia="Times New Roman"/>
                <w:b/>
                <w:color w:val="FFFFFF"/>
                <w:sz w:val="17"/>
              </w:rPr>
              <w:t>Conséquence si elle reste incertaine</w:t>
            </w:r>
          </w:p>
        </w:tc>
      </w:tr>
      <w:tr>
        <w:trPr>
          <w:cantSplit/>
        </w:trPr>
        <w:tc>
          <w:tcPr>
            <w:tcW w:type="dxa" w:w="1814"/>
            <w:vAlign w:val="center"/>
          </w:tcPr>
          <w:p>
            <w:pPr>
              <w:spacing w:after="30"/>
            </w:pPr>
            <w:r>
              <w:rPr>
                <w:rFonts w:ascii="Times New Roman" w:hAnsi="Times New Roman" w:cs="Times New Roman" w:eastAsia="Times New Roman"/>
                <w:b w:val="0"/>
                <w:sz w:val="17"/>
              </w:rPr>
              <w:t>Géométrie</w:t>
            </w:r>
          </w:p>
        </w:tc>
        <w:tc>
          <w:tcPr>
            <w:tcW w:type="dxa" w:w="3628"/>
            <w:vAlign w:val="center"/>
          </w:tcPr>
          <w:p>
            <w:pPr>
              <w:spacing w:after="30"/>
            </w:pPr>
            <w:r>
              <w:rPr>
                <w:rFonts w:ascii="Times New Roman" w:hAnsi="Times New Roman" w:cs="Times New Roman" w:eastAsia="Times New Roman"/>
                <w:b w:val="0"/>
                <w:sz w:val="17"/>
              </w:rPr>
              <w:t>Surface, couches, substratum, chenaux, berges et remblais</w:t>
            </w:r>
          </w:p>
        </w:tc>
        <w:tc>
          <w:tcPr>
            <w:tcW w:type="dxa" w:w="3628"/>
            <w:vAlign w:val="center"/>
          </w:tcPr>
          <w:p>
            <w:pPr>
              <w:spacing w:after="30"/>
            </w:pPr>
            <w:r>
              <w:rPr>
                <w:rFonts w:ascii="Times New Roman" w:hAnsi="Times New Roman" w:cs="Times New Roman" w:eastAsia="Times New Roman"/>
                <w:b w:val="0"/>
                <w:sz w:val="17"/>
              </w:rPr>
              <w:t>Volume de terrain influencé et profondeur des investigations incertains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Matériaux</w:t>
            </w:r>
          </w:p>
        </w:tc>
        <w:tc>
          <w:tcPr>
            <w:tcW w:type="dxa" w:w="3628"/>
            <w:vAlign w:val="center"/>
            <w:shd w:fill="F3F6F8"/>
          </w:tcPr>
          <w:p>
            <w:pPr>
              <w:spacing w:after="30"/>
            </w:pPr>
            <w:r>
              <w:rPr>
                <w:rFonts w:ascii="Times New Roman" w:hAnsi="Times New Roman" w:cs="Times New Roman" w:eastAsia="Times New Roman"/>
                <w:b w:val="0"/>
                <w:sz w:val="17"/>
              </w:rPr>
              <w:t>Lithologie, granulométrie, plasticité, résistance et déformabilité</w:t>
            </w:r>
          </w:p>
        </w:tc>
        <w:tc>
          <w:tcPr>
            <w:tcW w:type="dxa" w:w="3628"/>
            <w:vAlign w:val="center"/>
            <w:shd w:fill="F3F6F8"/>
          </w:tcPr>
          <w:p>
            <w:pPr>
              <w:spacing w:after="30"/>
            </w:pPr>
            <w:r>
              <w:rPr>
                <w:rFonts w:ascii="Times New Roman" w:hAnsi="Times New Roman" w:cs="Times New Roman" w:eastAsia="Times New Roman"/>
                <w:b w:val="0"/>
                <w:sz w:val="17"/>
              </w:rPr>
              <w:t>Paramètres de calcul et choix d’essais mal fondés</w:t>
            </w:r>
          </w:p>
        </w:tc>
      </w:tr>
      <w:tr>
        <w:trPr>
          <w:cantSplit/>
        </w:trPr>
        <w:tc>
          <w:tcPr>
            <w:tcW w:type="dxa" w:w="1814"/>
            <w:vAlign w:val="center"/>
          </w:tcPr>
          <w:p>
            <w:pPr>
              <w:spacing w:after="30"/>
            </w:pPr>
            <w:r>
              <w:rPr>
                <w:rFonts w:ascii="Times New Roman" w:hAnsi="Times New Roman" w:cs="Times New Roman" w:eastAsia="Times New Roman"/>
                <w:b w:val="0"/>
                <w:sz w:val="17"/>
              </w:rPr>
              <w:t>Discontinuités</w:t>
            </w:r>
          </w:p>
        </w:tc>
        <w:tc>
          <w:tcPr>
            <w:tcW w:type="dxa" w:w="3628"/>
            <w:vAlign w:val="center"/>
          </w:tcPr>
          <w:p>
            <w:pPr>
              <w:spacing w:after="30"/>
            </w:pPr>
            <w:r>
              <w:rPr>
                <w:rFonts w:ascii="Times New Roman" w:hAnsi="Times New Roman" w:cs="Times New Roman" w:eastAsia="Times New Roman"/>
                <w:b w:val="0"/>
                <w:sz w:val="17"/>
              </w:rPr>
              <w:t>Fractures, stratification, failles, contacts et cavités</w:t>
            </w:r>
          </w:p>
        </w:tc>
        <w:tc>
          <w:tcPr>
            <w:tcW w:type="dxa" w:w="3628"/>
            <w:vAlign w:val="center"/>
          </w:tcPr>
          <w:p>
            <w:pPr>
              <w:spacing w:after="30"/>
            </w:pPr>
            <w:r>
              <w:rPr>
                <w:rFonts w:ascii="Times New Roman" w:hAnsi="Times New Roman" w:cs="Times New Roman" w:eastAsia="Times New Roman"/>
                <w:b w:val="0"/>
                <w:sz w:val="17"/>
              </w:rPr>
              <w:t>Stabilité du massif et continuité du modèle incertaines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Eau souterraine</w:t>
            </w:r>
          </w:p>
        </w:tc>
        <w:tc>
          <w:tcPr>
            <w:tcW w:type="dxa" w:w="3628"/>
            <w:vAlign w:val="center"/>
            <w:shd w:fill="F3F6F8"/>
          </w:tcPr>
          <w:p>
            <w:pPr>
              <w:spacing w:after="30"/>
            </w:pPr>
            <w:r>
              <w:rPr>
                <w:rFonts w:ascii="Times New Roman" w:hAnsi="Times New Roman" w:cs="Times New Roman" w:eastAsia="Times New Roman"/>
                <w:b w:val="0"/>
                <w:sz w:val="17"/>
              </w:rPr>
              <w:t>Niveaux, gradients, variations et conditions de drainage</w:t>
            </w:r>
          </w:p>
        </w:tc>
        <w:tc>
          <w:tcPr>
            <w:tcW w:type="dxa" w:w="3628"/>
            <w:vAlign w:val="center"/>
            <w:shd w:fill="F3F6F8"/>
          </w:tcPr>
          <w:p>
            <w:pPr>
              <w:spacing w:after="30"/>
            </w:pPr>
            <w:r>
              <w:rPr>
                <w:rFonts w:ascii="Times New Roman" w:hAnsi="Times New Roman" w:cs="Times New Roman" w:eastAsia="Times New Roman"/>
                <w:b w:val="0"/>
                <w:sz w:val="17"/>
              </w:rPr>
              <w:t>Contraintes effectives, exécution et durabilité mal évaluées</w:t>
            </w:r>
          </w:p>
        </w:tc>
      </w:tr>
      <w:tr>
        <w:trPr>
          <w:cantSplit/>
        </w:trPr>
        <w:tc>
          <w:tcPr>
            <w:tcW w:type="dxa" w:w="1814"/>
            <w:vAlign w:val="center"/>
          </w:tcPr>
          <w:p>
            <w:pPr>
              <w:spacing w:after="30"/>
            </w:pPr>
            <w:r>
              <w:rPr>
                <w:rFonts w:ascii="Times New Roman" w:hAnsi="Times New Roman" w:cs="Times New Roman" w:eastAsia="Times New Roman"/>
                <w:b w:val="0"/>
                <w:sz w:val="17"/>
              </w:rPr>
              <w:t>Hydrologie et hydraulique</w:t>
            </w:r>
          </w:p>
        </w:tc>
        <w:tc>
          <w:tcPr>
            <w:tcW w:type="dxa" w:w="3628"/>
            <w:vAlign w:val="center"/>
          </w:tcPr>
          <w:p>
            <w:pPr>
              <w:spacing w:after="30"/>
            </w:pPr>
            <w:r>
              <w:rPr>
                <w:rFonts w:ascii="Times New Roman" w:hAnsi="Times New Roman" w:cs="Times New Roman" w:eastAsia="Times New Roman"/>
                <w:b w:val="0"/>
                <w:sz w:val="17"/>
              </w:rPr>
              <w:t>Débits, niveaux, vitesses et scénarios</w:t>
            </w:r>
          </w:p>
        </w:tc>
        <w:tc>
          <w:tcPr>
            <w:tcW w:type="dxa" w:w="3628"/>
            <w:vAlign w:val="center"/>
          </w:tcPr>
          <w:p>
            <w:pPr>
              <w:spacing w:after="30"/>
            </w:pPr>
            <w:r>
              <w:rPr>
                <w:rFonts w:ascii="Times New Roman" w:hAnsi="Times New Roman" w:cs="Times New Roman" w:eastAsia="Times New Roman"/>
                <w:b w:val="0"/>
                <w:sz w:val="17"/>
              </w:rPr>
              <w:t>Affouillement et actions de crue non traçables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Processus évolutifs</w:t>
            </w:r>
          </w:p>
        </w:tc>
        <w:tc>
          <w:tcPr>
            <w:tcW w:type="dxa" w:w="3628"/>
            <w:vAlign w:val="center"/>
            <w:shd w:fill="F3F6F8"/>
          </w:tcPr>
          <w:p>
            <w:pPr>
              <w:spacing w:after="30"/>
            </w:pPr>
            <w:r>
              <w:rPr>
                <w:rFonts w:ascii="Times New Roman" w:hAnsi="Times New Roman" w:cs="Times New Roman" w:eastAsia="Times New Roman"/>
                <w:b w:val="0"/>
                <w:sz w:val="17"/>
              </w:rPr>
              <w:t>Transport solide, érosion, dissolution, gonflement ou tassement régional</w:t>
            </w:r>
          </w:p>
        </w:tc>
        <w:tc>
          <w:tcPr>
            <w:tcW w:type="dxa" w:w="3628"/>
            <w:vAlign w:val="center"/>
            <w:shd w:fill="F3F6F8"/>
          </w:tcPr>
          <w:p>
            <w:pPr>
              <w:spacing w:after="30"/>
            </w:pPr>
            <w:r>
              <w:rPr>
                <w:rFonts w:ascii="Times New Roman" w:hAnsi="Times New Roman" w:cs="Times New Roman" w:eastAsia="Times New Roman"/>
                <w:b w:val="0"/>
                <w:sz w:val="17"/>
              </w:rPr>
              <w:t>État futur du site et besoins de suivi non définis</w:t>
            </w:r>
          </w:p>
        </w:tc>
      </w:tr>
      <w:tr>
        <w:trPr>
          <w:cantSplit/>
        </w:trPr>
        <w:tc>
          <w:tcPr>
            <w:tcW w:type="dxa" w:w="1814"/>
            <w:vAlign w:val="center"/>
          </w:tcPr>
          <w:p>
            <w:pPr>
              <w:spacing w:after="30"/>
            </w:pPr>
            <w:r>
              <w:rPr>
                <w:rFonts w:ascii="Times New Roman" w:hAnsi="Times New Roman" w:cs="Times New Roman" w:eastAsia="Times New Roman"/>
                <w:b w:val="0"/>
                <w:sz w:val="17"/>
              </w:rPr>
              <w:t>Qualité des données</w:t>
            </w:r>
          </w:p>
        </w:tc>
        <w:tc>
          <w:tcPr>
            <w:tcW w:type="dxa" w:w="3628"/>
            <w:vAlign w:val="center"/>
          </w:tcPr>
          <w:p>
            <w:pPr>
              <w:spacing w:after="30"/>
            </w:pPr>
            <w:r>
              <w:rPr>
                <w:rFonts w:ascii="Times New Roman" w:hAnsi="Times New Roman" w:cs="Times New Roman" w:eastAsia="Times New Roman"/>
                <w:b w:val="0"/>
                <w:sz w:val="17"/>
              </w:rPr>
              <w:t>Origine, date, méthode, contrôle et incertitude</w:t>
            </w:r>
          </w:p>
        </w:tc>
        <w:tc>
          <w:tcPr>
            <w:tcW w:type="dxa" w:w="3628"/>
            <w:vAlign w:val="center"/>
          </w:tcPr>
          <w:p>
            <w:pPr>
              <w:spacing w:after="30"/>
            </w:pPr>
            <w:r>
              <w:rPr>
                <w:rFonts w:ascii="Times New Roman" w:hAnsi="Times New Roman" w:cs="Times New Roman" w:eastAsia="Times New Roman"/>
                <w:b w:val="0"/>
                <w:sz w:val="17"/>
              </w:rPr>
              <w:t>Confiance excessive dans des valeurs non comparables</w:t>
            </w:r>
          </w:p>
        </w:tc>
      </w:tr>
    </w:tbl>
    <w:p>
      <w:pPr>
        <w:spacing w:after="20"/>
      </w:pPr>
    </w:p>
    <w:p>
      <w:pPr>
        <w:pStyle w:val="Heading2"/>
      </w:pPr>
      <w:r>
        <w:rPr>
          <w:rFonts w:ascii="Times New Roman" w:hAnsi="Times New Roman" w:cs="Times New Roman" w:eastAsia="Times New Roman"/>
          <w:b/>
          <w:color w:val="1F4E79"/>
          <w:sz w:val="24"/>
        </w:rPr>
        <w:t>II.3 Géomorphologie et formations de vallée</w:t>
      </w:r>
    </w:p>
    <w:p>
      <w:pPr>
        <w:pStyle w:val="Heading3"/>
      </w:pPr>
      <w:r>
        <w:rPr>
          <w:rFonts w:ascii="Times New Roman" w:hAnsi="Times New Roman" w:cs="Times New Roman" w:eastAsia="Times New Roman"/>
          <w:b/>
          <w:color w:val="233741"/>
          <w:sz w:val="24"/>
        </w:rPr>
        <w:t>II.3.1 Terrasses, plaine alluviale et chenal</w:t>
      </w:r>
    </w:p>
    <w:p>
      <w:pPr>
        <w:jc w:val="both"/>
      </w:pPr>
      <w:r>
        <w:rPr>
          <w:rFonts w:ascii="Times New Roman" w:hAnsi="Times New Roman" w:cs="Times New Roman" w:eastAsia="Times New Roman"/>
          <w:b w:val="0"/>
          <w:sz w:val="24"/>
        </w:rPr>
        <w:t>Une vallée résulte de processus d’incision, de dépôt et de déplacement du chenal. Les terrasses peuvent préserver des formations anciennes, tandis que la plaine alluviale contient des matériaux plus récents et variables. Le chenal actuel n’occupe pas nécessairement la position des chenaux anciens ; des remblaiements peuvent recouvrir des zones de faible résistance ou des dépôts organiques.</w:t>
      </w:r>
    </w:p>
    <w:p>
      <w:pPr>
        <w:jc w:val="both"/>
      </w:pPr>
      <w:r>
        <w:rPr>
          <w:rFonts w:ascii="Times New Roman" w:hAnsi="Times New Roman" w:cs="Times New Roman" w:eastAsia="Times New Roman"/>
          <w:b w:val="0"/>
          <w:sz w:val="24"/>
        </w:rPr>
        <w:t>La figure II.3 illustre cette organisation conceptuelle. Elle ne représente pas une coupe type applicable à tous les oueds. Elle montre pourquoi deux appuis proches peuvent rencontrer des conditions différentes et pourquoi la surface topographique ne suffit pas à définir le substratum.</w:t>
      </w:r>
    </w:p>
    <w:p>
      <w:pPr>
        <w:keepNext/>
        <w:jc w:val="center"/>
      </w:pPr>
      <w:r>
        <w:drawing>
          <wp:inline xmlns:a="http://schemas.openxmlformats.org/drawingml/2006/main" xmlns:pic="http://schemas.openxmlformats.org/drawingml/2006/picture">
            <wp:extent cx="5760000" cy="3510139"/>
            <wp:docPr id="17" name="Picture 17"/>
            <wp:cNvGraphicFramePr>
              <a:graphicFrameLocks noChangeAspect="1"/>
            </wp:cNvGraphicFramePr>
            <a:graphic>
              <a:graphicData uri="http://schemas.openxmlformats.org/drawingml/2006/picture">
                <pic:pic>
                  <pic:nvPicPr>
                    <pic:cNvPr id="0" name="valley_ground_model.png"/>
                    <pic:cNvPicPr/>
                  </pic:nvPicPr>
                  <pic:blipFill>
                    <a:blip r:embed="rId39"/>
                    <a:stretch>
                      <a:fillRect/>
                    </a:stretch>
                  </pic:blipFill>
                  <pic:spPr>
                    <a:xfrm>
                      <a:off x="0" y="0"/>
                      <a:ext cx="5760000" cy="3510139"/>
                    </a:xfrm>
                    <a:prstGeom prst="rect"/>
                  </pic:spPr>
                </pic:pic>
              </a:graphicData>
            </a:graphic>
          </wp:inline>
        </w:drawing>
      </w:r>
    </w:p>
    <w:p>
      <w:bookmarkStart w:id="35" w:name="BM_FIGII_3"/>
      <w:pPr>
        <w:jc w:val="center"/>
      </w:pPr>
      <w:r>
        <w:rPr>
          <w:rFonts w:ascii="Times New Roman" w:hAnsi="Times New Roman" w:cs="Times New Roman" w:eastAsia="Times New Roman"/>
          <w:b/>
          <w:sz w:val="20"/>
        </w:rPr>
        <w:t>Figure II.3 — Modèle conceptuel d’une vallée alluviale et incertitudes d’interpolation</w:t>
      </w:r>
      <w:bookmarkEnd w:id="35"/>
    </w:p>
    <w:p>
      <w:pPr>
        <w:jc w:val="right"/>
      </w:pPr>
      <w:r>
        <w:rPr>
          <w:rFonts w:ascii="Times New Roman" w:hAnsi="Times New Roman" w:cs="Times New Roman" w:eastAsia="Times New Roman"/>
          <w:b w:val="0"/>
          <w:color w:val="59636B"/>
          <w:sz w:val="20"/>
        </w:rPr>
        <w:t>Source : schéma original ; géométrie non normative.</w:t>
      </w:r>
    </w:p>
    <w:p>
      <w:pPr>
        <w:jc w:val="both"/>
      </w:pPr>
      <w:r>
        <w:rPr>
          <w:rFonts w:ascii="Times New Roman" w:hAnsi="Times New Roman" w:cs="Times New Roman" w:eastAsia="Times New Roman"/>
          <w:b w:val="0"/>
          <w:sz w:val="24"/>
        </w:rPr>
        <w:t>La reconnaissance doit rechercher les limites de faciès et les formes enfouies. Les méthodes continues ou semi-continues, comme le CPT ou certains profils géophysiques, peuvent aider à repérer leur variabilité. Des sondages de contrôle restent nécessaires pour identifier les matériaux et obtenir des échantillons.</w:t>
      </w:r>
    </w:p>
    <w:p>
      <w:pPr>
        <w:pStyle w:val="Heading3"/>
      </w:pPr>
      <w:r>
        <w:rPr>
          <w:rFonts w:ascii="Times New Roman" w:hAnsi="Times New Roman" w:cs="Times New Roman" w:eastAsia="Times New Roman"/>
          <w:b/>
          <w:color w:val="233741"/>
          <w:sz w:val="24"/>
        </w:rPr>
        <w:t>II.3.2 Formations meubles</w:t>
      </w:r>
    </w:p>
    <w:p>
      <w:pPr>
        <w:jc w:val="both"/>
      </w:pPr>
      <w:r>
        <w:rPr>
          <w:rFonts w:ascii="Times New Roman" w:hAnsi="Times New Roman" w:cs="Times New Roman" w:eastAsia="Times New Roman"/>
          <w:b w:val="0"/>
          <w:sz w:val="24"/>
        </w:rPr>
        <w:t>Les graviers et sables alluviaux peuvent offrir une résistance élevée tout en étant très variables et érodables. Leur comportement dépend de la densité, de la granulométrie, de la structure du dépôt et de la nappe. Les graviers peuvent provoquer des refus ou des valeurs de pénétration difficiles à interpréter ; ils nécessitent une description granulométrique et une méthode d’investigation adaptée.</w:t>
      </w:r>
    </w:p>
    <w:p>
      <w:pPr>
        <w:jc w:val="both"/>
      </w:pPr>
      <w:r>
        <w:rPr>
          <w:rFonts w:ascii="Times New Roman" w:hAnsi="Times New Roman" w:cs="Times New Roman" w:eastAsia="Times New Roman"/>
          <w:b w:val="0"/>
          <w:sz w:val="24"/>
        </w:rPr>
        <w:t>Les limons et argiles molles posent surtout des questions de compressibilité, de résistance non drainée et de pression interstitielle. Les dépôts organiques ou très compressibles doivent être localisés avec soin, car une faible épaisseur peut influencer les déplacements et les phases de construction.</w:t>
      </w:r>
    </w:p>
    <w:p>
      <w:pPr>
        <w:jc w:val="both"/>
      </w:pPr>
      <w:r>
        <w:rPr>
          <w:rFonts w:ascii="Times New Roman" w:hAnsi="Times New Roman" w:cs="Times New Roman" w:eastAsia="Times New Roman"/>
          <w:b w:val="0"/>
          <w:sz w:val="24"/>
        </w:rPr>
        <w:t>Les remblais ne constituent pas une couche homogène par défaut. Leur origine, leur mise en œuvre, leur compactage et leur hydrologie interne déterminent leur comportement. Dans les approches de pont, la distinction entre remblai compacté, remblai non contrôlé et terrain naturel est indispensable.</w:t>
      </w:r>
    </w:p>
    <w:p>
      <w:pPr>
        <w:pStyle w:val="Heading3"/>
      </w:pPr>
      <w:r>
        <w:rPr>
          <w:rFonts w:ascii="Times New Roman" w:hAnsi="Times New Roman" w:cs="Times New Roman" w:eastAsia="Times New Roman"/>
          <w:b/>
          <w:color w:val="233741"/>
          <w:sz w:val="24"/>
        </w:rPr>
        <w:t>II.3.3 Formations rocheuses</w:t>
      </w:r>
    </w:p>
    <w:p>
      <w:pPr>
        <w:jc w:val="both"/>
      </w:pPr>
      <w:r>
        <w:rPr>
          <w:rFonts w:ascii="Times New Roman" w:hAnsi="Times New Roman" w:cs="Times New Roman" w:eastAsia="Times New Roman"/>
          <w:b w:val="0"/>
          <w:sz w:val="24"/>
        </w:rPr>
        <w:t>La description d’un massif rocheux combine la roche intacte et les discontinuités. La résistance d’une carotte ne représente pas nécessairement la résistance du massif. L’altération, la fracturation, l’ouverture et le remplissage des joints, l’orientation des structures et les conditions d’eau peuvent gouverner la stabilité d’une fouille ou d’un scellement.</w:t>
      </w:r>
    </w:p>
    <w:p>
      <w:pPr>
        <w:jc w:val="both"/>
      </w:pPr>
      <w:r>
        <w:rPr>
          <w:rFonts w:ascii="Times New Roman" w:hAnsi="Times New Roman" w:cs="Times New Roman" w:eastAsia="Times New Roman"/>
          <w:b w:val="0"/>
          <w:sz w:val="24"/>
        </w:rPr>
        <w:t>Les classifications géomécaniques peuvent aider à organiser ces observations. Le RMR présenté par BIENIAWSKI (1989) constitue un exemple de système de classification, avec un domaine et des paramètres définis. Il ne remplace pas un modèle structural du massif ni une analyse de stabilité. De même, les valeurs d’un indice ne doivent pas être utilisées pour déduire automatiquement une solution de fondation.</w:t>
      </w:r>
    </w:p>
    <w:p>
      <w:bookmarkStart w:id="36" w:name="BM_TABII_2"/>
      <w:pPr>
        <w:keepNext/>
        <w:jc w:val="center"/>
      </w:pPr>
      <w:r>
        <w:rPr>
          <w:rFonts w:ascii="Times New Roman" w:hAnsi="Times New Roman" w:cs="Times New Roman" w:eastAsia="Times New Roman"/>
          <w:b/>
          <w:sz w:val="20"/>
        </w:rPr>
        <w:t>Tableau II.2 — Distinction entre récupération de carotte et qualité du massif</w:t>
      </w:r>
      <w:bookmarkEnd w:id="36"/>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Indicateur</w:t>
            </w:r>
          </w:p>
        </w:tc>
        <w:tc>
          <w:tcPr>
            <w:tcW w:type="dxa" w:w="3628"/>
            <w:vAlign w:val="center"/>
            <w:shd w:fill="1F4E79"/>
          </w:tcPr>
          <w:p>
            <w:pPr>
              <w:spacing w:after="30"/>
            </w:pPr>
            <w:r>
              <w:rPr>
                <w:rFonts w:ascii="Times New Roman" w:hAnsi="Times New Roman" w:cs="Times New Roman" w:eastAsia="Times New Roman"/>
                <w:b/>
                <w:color w:val="FFFFFF"/>
                <w:sz w:val="17"/>
              </w:rPr>
              <w:t>Définition correcte</w:t>
            </w:r>
          </w:p>
        </w:tc>
        <w:tc>
          <w:tcPr>
            <w:tcW w:type="dxa" w:w="3628"/>
            <w:vAlign w:val="center"/>
            <w:shd w:fill="1F4E79"/>
          </w:tcPr>
          <w:p>
            <w:pPr>
              <w:spacing w:after="30"/>
            </w:pPr>
            <w:r>
              <w:rPr>
                <w:rFonts w:ascii="Times New Roman" w:hAnsi="Times New Roman" w:cs="Times New Roman" w:eastAsia="Times New Roman"/>
                <w:b/>
                <w:color w:val="FFFFFF"/>
                <w:sz w:val="17"/>
              </w:rPr>
              <w:t>Utilisation et précautions</w:t>
            </w:r>
          </w:p>
        </w:tc>
      </w:tr>
      <w:tr>
        <w:trPr>
          <w:cantSplit/>
        </w:trPr>
        <w:tc>
          <w:tcPr>
            <w:tcW w:type="dxa" w:w="1814"/>
            <w:vAlign w:val="center"/>
          </w:tcPr>
          <w:p>
            <w:pPr>
              <w:spacing w:after="30"/>
            </w:pPr>
            <w:r>
              <w:rPr>
                <w:rFonts w:ascii="Times New Roman" w:hAnsi="Times New Roman" w:cs="Times New Roman" w:eastAsia="Times New Roman"/>
                <w:b w:val="0"/>
                <w:sz w:val="17"/>
              </w:rPr>
              <w:t>Récupération totale de carotte (TCR)</w:t>
            </w:r>
          </w:p>
        </w:tc>
        <w:tc>
          <w:tcPr>
            <w:tcW w:type="dxa" w:w="3628"/>
            <w:vAlign w:val="center"/>
          </w:tcPr>
          <w:p>
            <w:pPr>
              <w:spacing w:after="30"/>
            </w:pPr>
            <w:r>
              <w:rPr>
                <w:rFonts w:ascii="Times New Roman" w:hAnsi="Times New Roman" w:cs="Times New Roman" w:eastAsia="Times New Roman"/>
                <w:b w:val="0"/>
                <w:sz w:val="17"/>
              </w:rPr>
              <w:t>Longueur totale de carotte récupérée rapportée à la longueur forée</w:t>
            </w:r>
          </w:p>
        </w:tc>
        <w:tc>
          <w:tcPr>
            <w:tcW w:type="dxa" w:w="3628"/>
            <w:vAlign w:val="center"/>
          </w:tcPr>
          <w:p>
            <w:pPr>
              <w:spacing w:after="30"/>
            </w:pPr>
            <w:r>
              <w:rPr>
                <w:rFonts w:ascii="Times New Roman" w:hAnsi="Times New Roman" w:cs="Times New Roman" w:eastAsia="Times New Roman"/>
                <w:b w:val="0"/>
                <w:sz w:val="17"/>
              </w:rPr>
              <w:t>Mesure la récupération ; elle peut être affectée par la méthode de forage et ne distingue pas les tronçons sains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Rock Quality Designation (RQD)</w:t>
            </w:r>
          </w:p>
        </w:tc>
        <w:tc>
          <w:tcPr>
            <w:tcW w:type="dxa" w:w="3628"/>
            <w:vAlign w:val="center"/>
            <w:shd w:fill="F3F6F8"/>
          </w:tcPr>
          <w:p>
            <w:pPr>
              <w:spacing w:after="30"/>
            </w:pPr>
            <w:r>
              <w:rPr>
                <w:rFonts w:ascii="Times New Roman" w:hAnsi="Times New Roman" w:cs="Times New Roman" w:eastAsia="Times New Roman"/>
                <w:b w:val="0"/>
                <w:sz w:val="17"/>
              </w:rPr>
              <w:t>Somme des longueurs des tronçons sains de carotte supérieurs à 100 mm rapportée à la longueur de carottage considérée</w:t>
            </w:r>
          </w:p>
        </w:tc>
        <w:tc>
          <w:tcPr>
            <w:tcW w:type="dxa" w:w="3628"/>
            <w:vAlign w:val="center"/>
            <w:shd w:fill="F3F6F8"/>
          </w:tcPr>
          <w:p>
            <w:pPr>
              <w:spacing w:after="30"/>
            </w:pPr>
            <w:r>
              <w:rPr>
                <w:rFonts w:ascii="Times New Roman" w:hAnsi="Times New Roman" w:cs="Times New Roman" w:eastAsia="Times New Roman"/>
                <w:b w:val="0"/>
                <w:sz w:val="17"/>
              </w:rPr>
              <w:t>Indice de fracturation à consigner avec la méthode, le diamètre, l’orientation et les critères de sélection</w:t>
            </w:r>
          </w:p>
        </w:tc>
      </w:tr>
      <w:tr>
        <w:trPr>
          <w:cantSplit/>
        </w:trPr>
        <w:tc>
          <w:tcPr>
            <w:tcW w:type="dxa" w:w="1814"/>
            <w:vAlign w:val="center"/>
          </w:tcPr>
          <w:p>
            <w:pPr>
              <w:spacing w:after="30"/>
            </w:pPr>
            <w:r>
              <w:rPr>
                <w:rFonts w:ascii="Times New Roman" w:hAnsi="Times New Roman" w:cs="Times New Roman" w:eastAsia="Times New Roman"/>
                <w:b w:val="0"/>
                <w:sz w:val="17"/>
              </w:rPr>
              <w:t>Description des discontinuités</w:t>
            </w:r>
          </w:p>
        </w:tc>
        <w:tc>
          <w:tcPr>
            <w:tcW w:type="dxa" w:w="3628"/>
            <w:vAlign w:val="center"/>
          </w:tcPr>
          <w:p>
            <w:pPr>
              <w:spacing w:after="30"/>
            </w:pPr>
            <w:r>
              <w:rPr>
                <w:rFonts w:ascii="Times New Roman" w:hAnsi="Times New Roman" w:cs="Times New Roman" w:eastAsia="Times New Roman"/>
                <w:b w:val="0"/>
                <w:sz w:val="17"/>
              </w:rPr>
              <w:t>Orientation, espacement, persistance, ouverture, remplissage, rugosité et eau</w:t>
            </w:r>
          </w:p>
        </w:tc>
        <w:tc>
          <w:tcPr>
            <w:tcW w:type="dxa" w:w="3628"/>
            <w:vAlign w:val="center"/>
          </w:tcPr>
          <w:p>
            <w:pPr>
              <w:spacing w:after="30"/>
            </w:pPr>
            <w:r>
              <w:rPr>
                <w:rFonts w:ascii="Times New Roman" w:hAnsi="Times New Roman" w:cs="Times New Roman" w:eastAsia="Times New Roman"/>
                <w:b w:val="0"/>
                <w:sz w:val="17"/>
              </w:rPr>
              <w:t>Nécessaire pour comprendre les mécanismes ; ne peut être remplacée par un seul indice</w:t>
            </w:r>
          </w:p>
        </w:tc>
      </w:tr>
    </w:tbl>
    <w:p>
      <w:pPr>
        <w:spacing w:after="20"/>
      </w:pPr>
    </w:p>
    <w:p>
      <w:pPr>
        <w:jc w:val="both"/>
      </w:pPr>
      <w:r>
        <w:rPr>
          <w:rFonts w:ascii="Times New Roman" w:hAnsi="Times New Roman" w:cs="Times New Roman" w:eastAsia="Times New Roman"/>
          <w:b w:val="0"/>
          <w:sz w:val="24"/>
        </w:rPr>
        <w:t>La confusion entre TCR et RQD modifie l’interprétation du massif. Les deux grandeurs doivent donc être consignées séparément dans les logs et les rapports.</w:t>
      </w:r>
    </w:p>
    <w:p>
      <w:pPr>
        <w:pStyle w:val="Heading2"/>
      </w:pPr>
      <w:r>
        <w:rPr>
          <w:rFonts w:ascii="Times New Roman" w:hAnsi="Times New Roman" w:cs="Times New Roman" w:eastAsia="Times New Roman"/>
          <w:b/>
          <w:color w:val="1F4E79"/>
          <w:sz w:val="24"/>
        </w:rPr>
        <w:t>II.4 Karst et cavités : une lecture proportionnée</w:t>
      </w:r>
    </w:p>
    <w:p>
      <w:pPr>
        <w:pStyle w:val="Heading3"/>
      </w:pPr>
      <w:r>
        <w:rPr>
          <w:rFonts w:ascii="Times New Roman" w:hAnsi="Times New Roman" w:cs="Times New Roman" w:eastAsia="Times New Roman"/>
          <w:b/>
          <w:color w:val="233741"/>
          <w:sz w:val="24"/>
        </w:rPr>
        <w:t>II.4.1 Processus et formes</w:t>
      </w:r>
    </w:p>
    <w:p>
      <w:pPr>
        <w:jc w:val="both"/>
      </w:pPr>
      <w:r>
        <w:rPr>
          <w:rFonts w:ascii="Times New Roman" w:hAnsi="Times New Roman" w:cs="Times New Roman" w:eastAsia="Times New Roman"/>
          <w:b w:val="0"/>
          <w:sz w:val="24"/>
        </w:rPr>
        <w:t>Le karst résulte de la dissolution de roches solubles et de l’organisation des circulations d’eau. Les cavités peuvent être ouvertes, remplies ou partiellement remplies ; elles peuvent se situer dans le rocher ou affecter la couverture par affaissement. Leur géométrie et leur évolution dépendent de la lithologie, des discontinuités, de l’hydrogéologie et de l’histoire du massif. WALTHAM et al. (2005) décrivent une grande diversité de mécanismes d’effondrement et de subsidence.</w:t>
      </w:r>
    </w:p>
    <w:p>
      <w:pPr>
        <w:jc w:val="both"/>
      </w:pPr>
      <w:r>
        <w:rPr>
          <w:rFonts w:ascii="Times New Roman" w:hAnsi="Times New Roman" w:cs="Times New Roman" w:eastAsia="Times New Roman"/>
          <w:b w:val="0"/>
          <w:sz w:val="24"/>
        </w:rPr>
        <w:t>Pour un pont, le danger n’est pas seulement la présence d’un vide. Il comprend la possibilité d’une rupture du toit, d’un affaissement de la couverture, d’un transport de fines, d’une variation de nappe ou d’une perte de boue et de béton pendant les travaux. Les conséquences dépendent de la position de l’appui et des charges.</w:t>
      </w:r>
    </w:p>
    <w:p>
      <w:pPr>
        <w:pStyle w:val="Heading3"/>
      </w:pPr>
      <w:r>
        <w:rPr>
          <w:rFonts w:ascii="Times New Roman" w:hAnsi="Times New Roman" w:cs="Times New Roman" w:eastAsia="Times New Roman"/>
          <w:b/>
          <w:color w:val="233741"/>
          <w:sz w:val="24"/>
        </w:rPr>
        <w:t>II.4.2 Preuves et limites des méthodes</w:t>
      </w:r>
    </w:p>
    <w:p>
      <w:pPr>
        <w:jc w:val="both"/>
      </w:pPr>
      <w:r>
        <w:rPr>
          <w:rFonts w:ascii="Times New Roman" w:hAnsi="Times New Roman" w:cs="Times New Roman" w:eastAsia="Times New Roman"/>
          <w:b w:val="0"/>
          <w:sz w:val="24"/>
        </w:rPr>
        <w:t>La cartographie des dolines, l’analyse des affleurements, les données de forage et les variations de nappe apportent des indices complémentaires. La géophysique peut repérer des contrastes, mais une anomalie n’est pas une détermination unique du matériau. Une faible résistivité peut correspondre à des argiles, à de l’eau ou à une zone altérée ; une réflexion géoradar dépend du contraste diélectrique et de l’atténuation.</w:t>
      </w:r>
    </w:p>
    <w:p>
      <w:pPr>
        <w:jc w:val="both"/>
      </w:pPr>
      <w:r>
        <w:rPr>
          <w:rFonts w:ascii="Times New Roman" w:hAnsi="Times New Roman" w:cs="Times New Roman" w:eastAsia="Times New Roman"/>
          <w:b w:val="0"/>
          <w:sz w:val="24"/>
        </w:rPr>
        <w:t>Les sondages permettent de vérifier une interprétation et de décrire le remplissage. Ils restent ponctuels et peuvent manquer une cavité latérale. La stratégie efficace combine donc modèle géologique, investigations de surface, vérifications ciblées et suivi des résultats de chantier.</w:t>
      </w:r>
    </w:p>
    <w:p>
      <w:pPr>
        <w:keepNext/>
        <w:jc w:val="center"/>
      </w:pPr>
      <w:r>
        <w:drawing>
          <wp:inline xmlns:a="http://schemas.openxmlformats.org/drawingml/2006/main" xmlns:pic="http://schemas.openxmlformats.org/drawingml/2006/picture">
            <wp:extent cx="5760000" cy="2838412"/>
            <wp:docPr id="18" name="Picture 18"/>
            <wp:cNvGraphicFramePr>
              <a:graphicFrameLocks noChangeAspect="1"/>
            </wp:cNvGraphicFramePr>
            <a:graphic>
              <a:graphicData uri="http://schemas.openxmlformats.org/drawingml/2006/picture">
                <pic:pic>
                  <pic:nvPicPr>
                    <pic:cNvPr id="0" name="karst_ground_model.png"/>
                    <pic:cNvPicPr/>
                  </pic:nvPicPr>
                  <pic:blipFill>
                    <a:blip r:embed="rId40"/>
                    <a:stretch>
                      <a:fillRect/>
                    </a:stretch>
                  </pic:blipFill>
                  <pic:spPr>
                    <a:xfrm>
                      <a:off x="0" y="0"/>
                      <a:ext cx="5760000" cy="2838412"/>
                    </a:xfrm>
                    <a:prstGeom prst="rect"/>
                  </pic:spPr>
                </pic:pic>
              </a:graphicData>
            </a:graphic>
          </wp:inline>
        </w:drawing>
      </w:r>
    </w:p>
    <w:p>
      <w:bookmarkStart w:id="37" w:name="BM_FIGII_4"/>
      <w:pPr>
        <w:jc w:val="center"/>
      </w:pPr>
      <w:r>
        <w:rPr>
          <w:rFonts w:ascii="Times New Roman" w:hAnsi="Times New Roman" w:cs="Times New Roman" w:eastAsia="Times New Roman"/>
          <w:b/>
          <w:sz w:val="20"/>
        </w:rPr>
        <w:t>Figure II.4 — Processus karstiques, investigations et relation avec un appui</w:t>
      </w:r>
      <w:bookmarkEnd w:id="37"/>
    </w:p>
    <w:p>
      <w:pPr>
        <w:jc w:val="right"/>
      </w:pPr>
      <w:r>
        <w:rPr>
          <w:rFonts w:ascii="Times New Roman" w:hAnsi="Times New Roman" w:cs="Times New Roman" w:eastAsia="Times New Roman"/>
          <w:b w:val="0"/>
          <w:color w:val="59636B"/>
          <w:sz w:val="20"/>
        </w:rPr>
        <w:t>Source : schéma original inspiré de la diversité de mécanismes décrite par WALTHAM et al. (2005).</w:t>
      </w:r>
    </w:p>
    <w:p>
      <w:bookmarkStart w:id="38" w:name="BM_TABII_3"/>
      <w:pPr>
        <w:keepNext/>
        <w:jc w:val="center"/>
      </w:pPr>
      <w:r>
        <w:rPr>
          <w:rFonts w:ascii="Times New Roman" w:hAnsi="Times New Roman" w:cs="Times New Roman" w:eastAsia="Times New Roman"/>
          <w:b/>
          <w:sz w:val="20"/>
        </w:rPr>
        <w:t>Tableau II.3 — Karst — séparer les observations des interprétations</w:t>
      </w:r>
      <w:bookmarkEnd w:id="38"/>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Observation</w:t>
            </w:r>
          </w:p>
        </w:tc>
        <w:tc>
          <w:tcPr>
            <w:tcW w:type="dxa" w:w="3628"/>
            <w:vAlign w:val="center"/>
            <w:shd w:fill="1F4E79"/>
          </w:tcPr>
          <w:p>
            <w:pPr>
              <w:spacing w:after="30"/>
            </w:pPr>
            <w:r>
              <w:rPr>
                <w:rFonts w:ascii="Times New Roman" w:hAnsi="Times New Roman" w:cs="Times New Roman" w:eastAsia="Times New Roman"/>
                <w:b/>
                <w:color w:val="FFFFFF"/>
                <w:sz w:val="17"/>
              </w:rPr>
              <w:t>Interprétations possibles</w:t>
            </w:r>
          </w:p>
        </w:tc>
        <w:tc>
          <w:tcPr>
            <w:tcW w:type="dxa" w:w="3628"/>
            <w:vAlign w:val="center"/>
            <w:shd w:fill="1F4E79"/>
          </w:tcPr>
          <w:p>
            <w:pPr>
              <w:spacing w:after="30"/>
            </w:pPr>
            <w:r>
              <w:rPr>
                <w:rFonts w:ascii="Times New Roman" w:hAnsi="Times New Roman" w:cs="Times New Roman" w:eastAsia="Times New Roman"/>
                <w:b/>
                <w:color w:val="FFFFFF"/>
                <w:sz w:val="17"/>
              </w:rPr>
              <w:t>Vérifications utiles</w:t>
            </w:r>
          </w:p>
        </w:tc>
      </w:tr>
      <w:tr>
        <w:trPr>
          <w:cantSplit/>
        </w:trPr>
        <w:tc>
          <w:tcPr>
            <w:tcW w:type="dxa" w:w="1814"/>
            <w:vAlign w:val="center"/>
          </w:tcPr>
          <w:p>
            <w:pPr>
              <w:spacing w:after="30"/>
            </w:pPr>
            <w:r>
              <w:rPr>
                <w:rFonts w:ascii="Times New Roman" w:hAnsi="Times New Roman" w:cs="Times New Roman" w:eastAsia="Times New Roman"/>
                <w:b w:val="0"/>
                <w:sz w:val="17"/>
              </w:rPr>
              <w:t>Doline ou dépression</w:t>
            </w:r>
          </w:p>
        </w:tc>
        <w:tc>
          <w:tcPr>
            <w:tcW w:type="dxa" w:w="3628"/>
            <w:vAlign w:val="center"/>
          </w:tcPr>
          <w:p>
            <w:pPr>
              <w:spacing w:after="30"/>
            </w:pPr>
            <w:r>
              <w:rPr>
                <w:rFonts w:ascii="Times New Roman" w:hAnsi="Times New Roman" w:cs="Times New Roman" w:eastAsia="Times New Roman"/>
                <w:b w:val="0"/>
                <w:sz w:val="17"/>
              </w:rPr>
              <w:t>Dissolution, affaissement, remblaiement ou forme non karstique</w:t>
            </w:r>
          </w:p>
        </w:tc>
        <w:tc>
          <w:tcPr>
            <w:tcW w:type="dxa" w:w="3628"/>
            <w:vAlign w:val="center"/>
          </w:tcPr>
          <w:p>
            <w:pPr>
              <w:spacing w:after="30"/>
            </w:pPr>
            <w:r>
              <w:rPr>
                <w:rFonts w:ascii="Times New Roman" w:hAnsi="Times New Roman" w:cs="Times New Roman" w:eastAsia="Times New Roman"/>
                <w:b w:val="0"/>
                <w:sz w:val="17"/>
              </w:rPr>
              <w:t>Contexte géologique, historique, tranchées ou investigations adaptées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Anomalie de résistivité</w:t>
            </w:r>
          </w:p>
        </w:tc>
        <w:tc>
          <w:tcPr>
            <w:tcW w:type="dxa" w:w="3628"/>
            <w:vAlign w:val="center"/>
            <w:shd w:fill="F3F6F8"/>
          </w:tcPr>
          <w:p>
            <w:pPr>
              <w:spacing w:after="30"/>
            </w:pPr>
            <w:r>
              <w:rPr>
                <w:rFonts w:ascii="Times New Roman" w:hAnsi="Times New Roman" w:cs="Times New Roman" w:eastAsia="Times New Roman"/>
                <w:b w:val="0"/>
                <w:sz w:val="17"/>
              </w:rPr>
              <w:t>Argiles, eau, altération, cavité remplie ou hétérogénéité</w:t>
            </w:r>
          </w:p>
        </w:tc>
        <w:tc>
          <w:tcPr>
            <w:tcW w:type="dxa" w:w="3628"/>
            <w:vAlign w:val="center"/>
            <w:shd w:fill="F3F6F8"/>
          </w:tcPr>
          <w:p>
            <w:pPr>
              <w:spacing w:after="30"/>
            </w:pPr>
            <w:r>
              <w:rPr>
                <w:rFonts w:ascii="Times New Roman" w:hAnsi="Times New Roman" w:cs="Times New Roman" w:eastAsia="Times New Roman"/>
                <w:b w:val="0"/>
                <w:sz w:val="17"/>
              </w:rPr>
              <w:t>Calibrage, autre méthode et sondage ciblé</w:t>
            </w:r>
          </w:p>
        </w:tc>
      </w:tr>
      <w:tr>
        <w:trPr>
          <w:cantSplit/>
        </w:trPr>
        <w:tc>
          <w:tcPr>
            <w:tcW w:type="dxa" w:w="1814"/>
            <w:vAlign w:val="center"/>
          </w:tcPr>
          <w:p>
            <w:pPr>
              <w:spacing w:after="30"/>
            </w:pPr>
            <w:r>
              <w:rPr>
                <w:rFonts w:ascii="Times New Roman" w:hAnsi="Times New Roman" w:cs="Times New Roman" w:eastAsia="Times New Roman"/>
                <w:b w:val="0"/>
                <w:sz w:val="17"/>
              </w:rPr>
              <w:t>Perte d’outil ou de boue</w:t>
            </w:r>
          </w:p>
        </w:tc>
        <w:tc>
          <w:tcPr>
            <w:tcW w:type="dxa" w:w="3628"/>
            <w:vAlign w:val="center"/>
          </w:tcPr>
          <w:p>
            <w:pPr>
              <w:spacing w:after="30"/>
            </w:pPr>
            <w:r>
              <w:rPr>
                <w:rFonts w:ascii="Times New Roman" w:hAnsi="Times New Roman" w:cs="Times New Roman" w:eastAsia="Times New Roman"/>
                <w:b w:val="0"/>
                <w:sz w:val="17"/>
              </w:rPr>
              <w:t>Cavité, fracture ouverte, zone très perméable ou problème de forage</w:t>
            </w:r>
          </w:p>
        </w:tc>
        <w:tc>
          <w:tcPr>
            <w:tcW w:type="dxa" w:w="3628"/>
            <w:vAlign w:val="center"/>
          </w:tcPr>
          <w:p>
            <w:pPr>
              <w:spacing w:after="30"/>
            </w:pPr>
            <w:r>
              <w:rPr>
                <w:rFonts w:ascii="Times New Roman" w:hAnsi="Times New Roman" w:cs="Times New Roman" w:eastAsia="Times New Roman"/>
                <w:b w:val="0"/>
                <w:sz w:val="17"/>
              </w:rPr>
              <w:t>Log détaillé, contrôle de l’outil et investigation de la zone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Rupture de pénétration</w:t>
            </w:r>
          </w:p>
        </w:tc>
        <w:tc>
          <w:tcPr>
            <w:tcW w:type="dxa" w:w="3628"/>
            <w:vAlign w:val="center"/>
            <w:shd w:fill="F3F6F8"/>
          </w:tcPr>
          <w:p>
            <w:pPr>
              <w:spacing w:after="30"/>
            </w:pPr>
            <w:r>
              <w:rPr>
                <w:rFonts w:ascii="Times New Roman" w:hAnsi="Times New Roman" w:cs="Times New Roman" w:eastAsia="Times New Roman"/>
                <w:b w:val="0"/>
                <w:sz w:val="17"/>
              </w:rPr>
              <w:t>Vide, matériau très lâche, boulder ou changement de méthode</w:t>
            </w:r>
          </w:p>
        </w:tc>
        <w:tc>
          <w:tcPr>
            <w:tcW w:type="dxa" w:w="3628"/>
            <w:vAlign w:val="center"/>
            <w:shd w:fill="F3F6F8"/>
          </w:tcPr>
          <w:p>
            <w:pPr>
              <w:spacing w:after="30"/>
            </w:pPr>
            <w:r>
              <w:rPr>
                <w:rFonts w:ascii="Times New Roman" w:hAnsi="Times New Roman" w:cs="Times New Roman" w:eastAsia="Times New Roman"/>
                <w:b w:val="0"/>
                <w:sz w:val="17"/>
              </w:rPr>
              <w:t>Description de l’exécution et recoupement avec carottage</w:t>
            </w:r>
          </w:p>
        </w:tc>
      </w:tr>
      <w:tr>
        <w:trPr>
          <w:cantSplit/>
        </w:trPr>
        <w:tc>
          <w:tcPr>
            <w:tcW w:type="dxa" w:w="1814"/>
            <w:vAlign w:val="center"/>
          </w:tcPr>
          <w:p>
            <w:pPr>
              <w:spacing w:after="30"/>
            </w:pPr>
            <w:r>
              <w:rPr>
                <w:rFonts w:ascii="Times New Roman" w:hAnsi="Times New Roman" w:cs="Times New Roman" w:eastAsia="Times New Roman"/>
                <w:b w:val="0"/>
                <w:sz w:val="17"/>
              </w:rPr>
              <w:t>Variation de nappe</w:t>
            </w:r>
          </w:p>
        </w:tc>
        <w:tc>
          <w:tcPr>
            <w:tcW w:type="dxa" w:w="3628"/>
            <w:vAlign w:val="center"/>
          </w:tcPr>
          <w:p>
            <w:pPr>
              <w:spacing w:after="30"/>
            </w:pPr>
            <w:r>
              <w:rPr>
                <w:rFonts w:ascii="Times New Roman" w:hAnsi="Times New Roman" w:cs="Times New Roman" w:eastAsia="Times New Roman"/>
                <w:b w:val="0"/>
                <w:sz w:val="17"/>
              </w:rPr>
              <w:t>Drainage karstique, pompage, saison ou connexion avec le cours d’eau</w:t>
            </w:r>
          </w:p>
        </w:tc>
        <w:tc>
          <w:tcPr>
            <w:tcW w:type="dxa" w:w="3628"/>
            <w:vAlign w:val="center"/>
          </w:tcPr>
          <w:p>
            <w:pPr>
              <w:spacing w:after="30"/>
            </w:pPr>
            <w:r>
              <w:rPr>
                <w:rFonts w:ascii="Times New Roman" w:hAnsi="Times New Roman" w:cs="Times New Roman" w:eastAsia="Times New Roman"/>
                <w:b w:val="0"/>
                <w:sz w:val="17"/>
              </w:rPr>
              <w:t>Suivi piézométrique et compréhension du fonctionnement hydrogéologique</w:t>
            </w:r>
          </w:p>
        </w:tc>
      </w:tr>
    </w:tbl>
    <w:p>
      <w:pPr>
        <w:spacing w:after="20"/>
      </w:pPr>
    </w:p>
    <w:p>
      <w:pPr>
        <w:pStyle w:val="Heading3"/>
      </w:pPr>
      <w:r>
        <w:rPr>
          <w:rFonts w:ascii="Times New Roman" w:hAnsi="Times New Roman" w:cs="Times New Roman" w:eastAsia="Times New Roman"/>
          <w:b/>
          <w:color w:val="233741"/>
          <w:sz w:val="24"/>
        </w:rPr>
        <w:t>II.4.3 Conséquences pour la conception</w:t>
      </w:r>
    </w:p>
    <w:p>
      <w:pPr>
        <w:jc w:val="both"/>
      </w:pPr>
      <w:r>
        <w:rPr>
          <w:rFonts w:ascii="Times New Roman" w:hAnsi="Times New Roman" w:cs="Times New Roman" w:eastAsia="Times New Roman"/>
          <w:b w:val="0"/>
          <w:sz w:val="24"/>
        </w:rPr>
        <w:t>La décision peut consister à déplacer un appui, traiter une cavité, choisir une fondation adaptée ou compléter la reconnaissance. Elle dépend de la géométrie démontrée, du remplissage, de l’eau, des charges et du mécanisme de rupture étudié. Un rapport épaisseur de toit/largeur issu d’une étude locale ne constitue pas un critère universel.</w:t>
      </w:r>
    </w:p>
    <w:p>
      <w:pPr>
        <w:jc w:val="both"/>
      </w:pPr>
      <w:r>
        <w:rPr>
          <w:rFonts w:ascii="Times New Roman" w:hAnsi="Times New Roman" w:cs="Times New Roman" w:eastAsia="Times New Roman"/>
          <w:b w:val="0"/>
          <w:sz w:val="24"/>
        </w:rPr>
        <w:t>Le karst doit ainsi être présent à sa juste place : comme un aléa important dans certains sites, intégré à une synthèse qui conserve également l’affouillement, la compressibilité, l’érosion interne et les autres mécanismes.</w:t>
      </w:r>
    </w:p>
    <w:p>
      <w:pPr>
        <w:pStyle w:val="Heading2"/>
      </w:pPr>
      <w:r>
        <w:rPr>
          <w:rFonts w:ascii="Times New Roman" w:hAnsi="Times New Roman" w:cs="Times New Roman" w:eastAsia="Times New Roman"/>
          <w:b/>
          <w:color w:val="1F4E79"/>
          <w:sz w:val="24"/>
        </w:rPr>
        <w:t>II.5 Hydrogéologie et pressions interstitielles</w:t>
      </w:r>
    </w:p>
    <w:p>
      <w:pPr>
        <w:pStyle w:val="Heading3"/>
      </w:pPr>
      <w:r>
        <w:rPr>
          <w:rFonts w:ascii="Times New Roman" w:hAnsi="Times New Roman" w:cs="Times New Roman" w:eastAsia="Times New Roman"/>
          <w:b/>
          <w:color w:val="233741"/>
          <w:sz w:val="24"/>
        </w:rPr>
        <w:t>II.5.1 Niveau d’eau et régime de variation</w:t>
      </w:r>
    </w:p>
    <w:p>
      <w:pPr>
        <w:jc w:val="both"/>
      </w:pPr>
      <w:r>
        <w:rPr>
          <w:rFonts w:ascii="Times New Roman" w:hAnsi="Times New Roman" w:cs="Times New Roman" w:eastAsia="Times New Roman"/>
          <w:b w:val="0"/>
          <w:sz w:val="24"/>
        </w:rPr>
        <w:t>La position de la nappe influence le poids volumique déjaugé, les contraintes effectives, la stabilité des fouilles et les conditions d’exécution. Un niveau mesuré une seule fois décrit une date, pas un régime. Les variations saisonnières, les crues, les pompages et les connexions avec le cours d’eau doivent être examinés.</w:t>
      </w:r>
    </w:p>
    <w:p>
      <w:pPr>
        <w:jc w:val="both"/>
      </w:pPr>
      <w:r>
        <w:rPr>
          <w:rFonts w:ascii="Times New Roman" w:hAnsi="Times New Roman" w:cs="Times New Roman" w:eastAsia="Times New Roman"/>
          <w:b w:val="0"/>
          <w:sz w:val="24"/>
        </w:rPr>
        <w:t>La piézométrie est conçue selon la formation et la question posée. Un tube ouvert dans une formation perméable ne répond pas comme un capteur dans une argile peu perméable. Le niveau lu doit être associé à la profondeur, au mode d’installation, à la date et aux conditions hydrologiques.</w:t>
      </w:r>
    </w:p>
    <w:p>
      <w:pPr>
        <w:jc w:val="both"/>
      </w:pPr>
      <w:r>
        <w:rPr>
          <w:rFonts w:ascii="Times New Roman" w:hAnsi="Times New Roman" w:cs="Times New Roman" w:eastAsia="Times New Roman"/>
          <w:b w:val="0"/>
          <w:sz w:val="24"/>
        </w:rPr>
        <w:t>Une tête de piézomètre ne renseigne pas, à elle seule, sur la profondeur filtrante ni sur la formation mesurée. La photographie suivante illustre le point d’observation visible en surface ; le dossier doit conserver également l’installation enterrée, le criblement et les conditions de lecture.</w:t>
      </w:r>
    </w:p>
    <w:p>
      <w:pPr>
        <w:keepNext/>
        <w:jc w:val="center"/>
      </w:pPr>
      <w:r>
        <w:drawing>
          <wp:inline xmlns:a="http://schemas.openxmlformats.org/drawingml/2006/main" xmlns:pic="http://schemas.openxmlformats.org/drawingml/2006/picture">
            <wp:extent cx="4156363" cy="2768138"/>
            <wp:docPr id="19" name="Picture 19"/>
            <wp:cNvGraphicFramePr>
              <a:graphicFrameLocks noChangeAspect="1"/>
            </wp:cNvGraphicFramePr>
            <a:graphic>
              <a:graphicData uri="http://schemas.openxmlformats.org/drawingml/2006/picture">
                <pic:pic>
                  <pic:nvPicPr>
                    <pic:cNvPr id="0" name="photo_groundwater_piezometer.png"/>
                    <pic:cNvPicPr/>
                  </pic:nvPicPr>
                  <pic:blipFill>
                    <a:blip r:embed="rId41"/>
                    <a:stretch>
                      <a:fillRect/>
                    </a:stretch>
                  </pic:blipFill>
                  <pic:spPr>
                    <a:xfrm>
                      <a:off x="0" y="0"/>
                      <a:ext cx="4156363" cy="2768138"/>
                    </a:xfrm>
                    <a:prstGeom prst="rect"/>
                  </pic:spPr>
                </pic:pic>
              </a:graphicData>
            </a:graphic>
          </wp:inline>
        </w:drawing>
      </w:r>
    </w:p>
    <w:p>
      <w:bookmarkStart w:id="39" w:name="BM_FIGII_5"/>
      <w:pPr>
        <w:jc w:val="center"/>
      </w:pPr>
      <w:r>
        <w:rPr>
          <w:rFonts w:ascii="Times New Roman" w:hAnsi="Times New Roman" w:cs="Times New Roman" w:eastAsia="Times New Roman"/>
          <w:b/>
          <w:sz w:val="20"/>
        </w:rPr>
        <w:t>Figure II.5 — Tête d’un piézomètre de suivi des eaux souterraines à Majorque (Espagne)</w:t>
      </w:r>
      <w:bookmarkEnd w:id="39"/>
    </w:p>
    <w:p>
      <w:pPr>
        <w:jc w:val="right"/>
      </w:pPr>
      <w:r>
        <w:rPr>
          <w:rFonts w:ascii="Times New Roman" w:hAnsi="Times New Roman" w:cs="Times New Roman" w:eastAsia="Times New Roman"/>
          <w:b w:val="0"/>
          <w:color w:val="59636B"/>
          <w:sz w:val="20"/>
        </w:rPr>
        <w:t>Source : Chixoy, « Piezometer for groundwater », Wikimedia Commons, CC BY-SA 3.0.</w:t>
      </w:r>
    </w:p>
    <w:p>
      <w:pPr>
        <w:pStyle w:val="Heading3"/>
      </w:pPr>
      <w:r>
        <w:rPr>
          <w:rFonts w:ascii="Times New Roman" w:hAnsi="Times New Roman" w:cs="Times New Roman" w:eastAsia="Times New Roman"/>
          <w:b/>
          <w:color w:val="233741"/>
          <w:sz w:val="24"/>
        </w:rPr>
        <w:t>II.5.2 Perméabilité et écoulement</w:t>
      </w:r>
    </w:p>
    <w:p>
      <w:pPr>
        <w:jc w:val="both"/>
      </w:pPr>
      <w:r>
        <w:rPr>
          <w:rFonts w:ascii="Times New Roman" w:hAnsi="Times New Roman" w:cs="Times New Roman" w:eastAsia="Times New Roman"/>
          <w:b w:val="0"/>
          <w:sz w:val="24"/>
        </w:rPr>
        <w:t>La loi de Darcy fournit une relation de base pour un écoulement dans un milieu poreux saturé, dans son domaine de validité :</w:t>
      </w:r>
    </w:p>
    <w:p>
      <w:pPr>
        <w:jc w:val="center"/>
      </w:pPr>
      <w:r>
        <w:rPr>
          <w:rFonts w:ascii="Times New Roman" w:hAnsi="Times New Roman" w:cs="Times New Roman" w:eastAsia="Times New Roman"/>
          <w:b w:val="0"/>
          <w:sz w:val="24"/>
        </w:rPr>
        <w:t>Q = k · i · A</w:t>
      </w:r>
    </w:p>
    <w:p>
      <w:pPr>
        <w:jc w:val="both"/>
      </w:pPr>
      <w:r>
        <w:rPr>
          <w:rFonts w:ascii="Times New Roman" w:hAnsi="Times New Roman" w:cs="Times New Roman" w:eastAsia="Times New Roman"/>
          <w:b w:val="0"/>
          <w:sz w:val="24"/>
        </w:rPr>
        <w:t>Dans cette expression, Q est la valeur absolue du débit volumique dans le sens de l’écoulement, k le coefficient de perméabilité hydraulique, i = Δh/L la valeur absolue du gradient hydraulique et A l’aire de section normale à l’écoulement. La direction de l’écoulement va de la charge élevée vers la charge faible ; une écriture vectorielle ferait apparaître le signe correspondant à la convention de gradient. La relation ne fournit pas à elle seule la vitesse des particules ni un critère d’érosion.</w:t>
      </w:r>
    </w:p>
    <w:p>
      <w:pPr>
        <w:jc w:val="both"/>
      </w:pPr>
      <w:r>
        <w:rPr>
          <w:rFonts w:ascii="Times New Roman" w:hAnsi="Times New Roman" w:cs="Times New Roman" w:eastAsia="Times New Roman"/>
          <w:b w:val="0"/>
          <w:sz w:val="24"/>
        </w:rPr>
        <w:t>Les essais de pompage, Lefranc, Lugeon et les essais de laboratoire répondent à des configurations différentes. L’essai Lugeon concerne principalement l’injection d’eau dans des intervalles de forage en rocher et s’interprète en relation avec les discontinuités. Il ne doit pas être confondu avec un essai Lefranc dans les sols.</w:t>
      </w:r>
    </w:p>
    <w:p>
      <w:bookmarkStart w:id="40" w:name="BM_TABII_4"/>
      <w:pPr>
        <w:keepNext/>
        <w:jc w:val="center"/>
      </w:pPr>
      <w:r>
        <w:rPr>
          <w:rFonts w:ascii="Times New Roman" w:hAnsi="Times New Roman" w:cs="Times New Roman" w:eastAsia="Times New Roman"/>
          <w:b/>
          <w:sz w:val="20"/>
        </w:rPr>
        <w:t>Tableau II.4 — Données sur l’eau et décisions qu’elles éclairent</w:t>
      </w:r>
      <w:bookmarkEnd w:id="40"/>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Donnée</w:t>
            </w:r>
          </w:p>
        </w:tc>
        <w:tc>
          <w:tcPr>
            <w:tcW w:type="dxa" w:w="3628"/>
            <w:vAlign w:val="center"/>
            <w:shd w:fill="1F4E79"/>
          </w:tcPr>
          <w:p>
            <w:pPr>
              <w:spacing w:after="30"/>
            </w:pPr>
            <w:r>
              <w:rPr>
                <w:rFonts w:ascii="Times New Roman" w:hAnsi="Times New Roman" w:cs="Times New Roman" w:eastAsia="Times New Roman"/>
                <w:b/>
                <w:color w:val="FFFFFF"/>
                <w:sz w:val="17"/>
              </w:rPr>
              <w:t>Conditions de mesure à consigner</w:t>
            </w:r>
          </w:p>
        </w:tc>
        <w:tc>
          <w:tcPr>
            <w:tcW w:type="dxa" w:w="3628"/>
            <w:vAlign w:val="center"/>
            <w:shd w:fill="1F4E79"/>
          </w:tcPr>
          <w:p>
            <w:pPr>
              <w:spacing w:after="30"/>
            </w:pPr>
            <w:r>
              <w:rPr>
                <w:rFonts w:ascii="Times New Roman" w:hAnsi="Times New Roman" w:cs="Times New Roman" w:eastAsia="Times New Roman"/>
                <w:b/>
                <w:color w:val="FFFFFF"/>
                <w:sz w:val="17"/>
              </w:rPr>
              <w:t>Décisions concernées</w:t>
            </w:r>
          </w:p>
        </w:tc>
      </w:tr>
      <w:tr>
        <w:trPr>
          <w:cantSplit/>
        </w:trPr>
        <w:tc>
          <w:tcPr>
            <w:tcW w:type="dxa" w:w="1814"/>
            <w:vAlign w:val="center"/>
          </w:tcPr>
          <w:p>
            <w:pPr>
              <w:spacing w:after="30"/>
            </w:pPr>
            <w:r>
              <w:rPr>
                <w:rFonts w:ascii="Times New Roman" w:hAnsi="Times New Roman" w:cs="Times New Roman" w:eastAsia="Times New Roman"/>
                <w:b w:val="0"/>
                <w:sz w:val="17"/>
              </w:rPr>
              <w:t>Niveau piézométrique</w:t>
            </w:r>
          </w:p>
        </w:tc>
        <w:tc>
          <w:tcPr>
            <w:tcW w:type="dxa" w:w="3628"/>
            <w:vAlign w:val="center"/>
          </w:tcPr>
          <w:p>
            <w:pPr>
              <w:spacing w:after="30"/>
            </w:pPr>
            <w:r>
              <w:rPr>
                <w:rFonts w:ascii="Times New Roman" w:hAnsi="Times New Roman" w:cs="Times New Roman" w:eastAsia="Times New Roman"/>
                <w:b w:val="0"/>
                <w:sz w:val="17"/>
              </w:rPr>
              <w:t>Date, crue ou étiage, installation et formation</w:t>
            </w:r>
          </w:p>
        </w:tc>
        <w:tc>
          <w:tcPr>
            <w:tcW w:type="dxa" w:w="3628"/>
            <w:vAlign w:val="center"/>
          </w:tcPr>
          <w:p>
            <w:pPr>
              <w:spacing w:after="30"/>
            </w:pPr>
            <w:r>
              <w:rPr>
                <w:rFonts w:ascii="Times New Roman" w:hAnsi="Times New Roman" w:cs="Times New Roman" w:eastAsia="Times New Roman"/>
                <w:b w:val="0"/>
                <w:sz w:val="17"/>
              </w:rPr>
              <w:t>Contraintes effectives, fouilles, poussée et drainage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Perméabilité</w:t>
            </w:r>
          </w:p>
        </w:tc>
        <w:tc>
          <w:tcPr>
            <w:tcW w:type="dxa" w:w="3628"/>
            <w:vAlign w:val="center"/>
            <w:shd w:fill="F3F6F8"/>
          </w:tcPr>
          <w:p>
            <w:pPr>
              <w:spacing w:after="30"/>
            </w:pPr>
            <w:r>
              <w:rPr>
                <w:rFonts w:ascii="Times New Roman" w:hAnsi="Times New Roman" w:cs="Times New Roman" w:eastAsia="Times New Roman"/>
                <w:b w:val="0"/>
                <w:sz w:val="17"/>
              </w:rPr>
              <w:t>Méthode, échelle, gradient, anisotropie et état du terrain</w:t>
            </w:r>
          </w:p>
        </w:tc>
        <w:tc>
          <w:tcPr>
            <w:tcW w:type="dxa" w:w="3628"/>
            <w:vAlign w:val="center"/>
            <w:shd w:fill="F3F6F8"/>
          </w:tcPr>
          <w:p>
            <w:pPr>
              <w:spacing w:after="30"/>
            </w:pPr>
            <w:r>
              <w:rPr>
                <w:rFonts w:ascii="Times New Roman" w:hAnsi="Times New Roman" w:cs="Times New Roman" w:eastAsia="Times New Roman"/>
                <w:b w:val="0"/>
                <w:sz w:val="17"/>
              </w:rPr>
              <w:t>Pompage, consolidation, circulation d’eau et érosion</w:t>
            </w:r>
          </w:p>
        </w:tc>
      </w:tr>
      <w:tr>
        <w:trPr>
          <w:cantSplit/>
        </w:trPr>
        <w:tc>
          <w:tcPr>
            <w:tcW w:type="dxa" w:w="1814"/>
            <w:vAlign w:val="center"/>
          </w:tcPr>
          <w:p>
            <w:pPr>
              <w:spacing w:after="30"/>
            </w:pPr>
            <w:r>
              <w:rPr>
                <w:rFonts w:ascii="Times New Roman" w:hAnsi="Times New Roman" w:cs="Times New Roman" w:eastAsia="Times New Roman"/>
                <w:b w:val="0"/>
                <w:sz w:val="17"/>
              </w:rPr>
              <w:t>Chimie de l’eau</w:t>
            </w:r>
          </w:p>
        </w:tc>
        <w:tc>
          <w:tcPr>
            <w:tcW w:type="dxa" w:w="3628"/>
            <w:vAlign w:val="center"/>
          </w:tcPr>
          <w:p>
            <w:pPr>
              <w:spacing w:after="30"/>
            </w:pPr>
            <w:r>
              <w:rPr>
                <w:rFonts w:ascii="Times New Roman" w:hAnsi="Times New Roman" w:cs="Times New Roman" w:eastAsia="Times New Roman"/>
                <w:b w:val="0"/>
                <w:sz w:val="17"/>
              </w:rPr>
              <w:t>Prélèvement, conservation, analyses et norme utilisée</w:t>
            </w:r>
          </w:p>
        </w:tc>
        <w:tc>
          <w:tcPr>
            <w:tcW w:type="dxa" w:w="3628"/>
            <w:vAlign w:val="center"/>
          </w:tcPr>
          <w:p>
            <w:pPr>
              <w:spacing w:after="30"/>
            </w:pPr>
            <w:r>
              <w:rPr>
                <w:rFonts w:ascii="Times New Roman" w:hAnsi="Times New Roman" w:cs="Times New Roman" w:eastAsia="Times New Roman"/>
                <w:b w:val="0"/>
                <w:sz w:val="17"/>
              </w:rPr>
              <w:t>Agressivité envers les matériaux et choix de protection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Fluctuations de crue</w:t>
            </w:r>
          </w:p>
        </w:tc>
        <w:tc>
          <w:tcPr>
            <w:tcW w:type="dxa" w:w="3628"/>
            <w:vAlign w:val="center"/>
            <w:shd w:fill="F3F6F8"/>
          </w:tcPr>
          <w:p>
            <w:pPr>
              <w:spacing w:after="30"/>
            </w:pPr>
            <w:r>
              <w:rPr>
                <w:rFonts w:ascii="Times New Roman" w:hAnsi="Times New Roman" w:cs="Times New Roman" w:eastAsia="Times New Roman"/>
                <w:b w:val="0"/>
                <w:sz w:val="17"/>
              </w:rPr>
              <w:t>Chronologie, durée et niveau du cours d’eau</w:t>
            </w:r>
          </w:p>
        </w:tc>
        <w:tc>
          <w:tcPr>
            <w:tcW w:type="dxa" w:w="3628"/>
            <w:vAlign w:val="center"/>
            <w:shd w:fill="F3F6F8"/>
          </w:tcPr>
          <w:p>
            <w:pPr>
              <w:spacing w:after="30"/>
            </w:pPr>
            <w:r>
              <w:rPr>
                <w:rFonts w:ascii="Times New Roman" w:hAnsi="Times New Roman" w:cs="Times New Roman" w:eastAsia="Times New Roman"/>
                <w:b w:val="0"/>
                <w:sz w:val="17"/>
              </w:rPr>
              <w:t>Situations de calcul et accès aux appuis</w:t>
            </w:r>
          </w:p>
        </w:tc>
      </w:tr>
      <w:tr>
        <w:trPr>
          <w:cantSplit/>
        </w:trPr>
        <w:tc>
          <w:tcPr>
            <w:tcW w:type="dxa" w:w="1814"/>
            <w:vAlign w:val="center"/>
          </w:tcPr>
          <w:p>
            <w:pPr>
              <w:spacing w:after="30"/>
            </w:pPr>
            <w:r>
              <w:rPr>
                <w:rFonts w:ascii="Times New Roman" w:hAnsi="Times New Roman" w:cs="Times New Roman" w:eastAsia="Times New Roman"/>
                <w:b w:val="0"/>
                <w:sz w:val="17"/>
              </w:rPr>
              <w:t>Suintements et sources</w:t>
            </w:r>
          </w:p>
        </w:tc>
        <w:tc>
          <w:tcPr>
            <w:tcW w:type="dxa" w:w="3628"/>
            <w:vAlign w:val="center"/>
          </w:tcPr>
          <w:p>
            <w:pPr>
              <w:spacing w:after="30"/>
            </w:pPr>
            <w:r>
              <w:rPr>
                <w:rFonts w:ascii="Times New Roman" w:hAnsi="Times New Roman" w:cs="Times New Roman" w:eastAsia="Times New Roman"/>
                <w:b w:val="0"/>
                <w:sz w:val="17"/>
              </w:rPr>
              <w:t>Localisation, débit et relation avec les précipitations</w:t>
            </w:r>
          </w:p>
        </w:tc>
        <w:tc>
          <w:tcPr>
            <w:tcW w:type="dxa" w:w="3628"/>
            <w:vAlign w:val="center"/>
          </w:tcPr>
          <w:p>
            <w:pPr>
              <w:spacing w:after="30"/>
            </w:pPr>
            <w:r>
              <w:rPr>
                <w:rFonts w:ascii="Times New Roman" w:hAnsi="Times New Roman" w:cs="Times New Roman" w:eastAsia="Times New Roman"/>
                <w:b w:val="0"/>
                <w:sz w:val="17"/>
              </w:rPr>
              <w:t>Drainage, stabilité des berges et circulations préférentielles</w:t>
            </w:r>
          </w:p>
        </w:tc>
      </w:tr>
    </w:tbl>
    <w:p>
      <w:pPr>
        <w:spacing w:after="20"/>
      </w:pPr>
    </w:p>
    <w:p>
      <w:pPr>
        <w:pStyle w:val="Heading2"/>
      </w:pPr>
      <w:r>
        <w:rPr>
          <w:rFonts w:ascii="Times New Roman" w:hAnsi="Times New Roman" w:cs="Times New Roman" w:eastAsia="Times New Roman"/>
          <w:b/>
          <w:color w:val="1F4E79"/>
          <w:sz w:val="24"/>
        </w:rPr>
        <w:t>II.6 Hydrologie, hydraulique et morphodynamique</w:t>
      </w:r>
    </w:p>
    <w:p>
      <w:pPr>
        <w:pStyle w:val="Heading3"/>
      </w:pPr>
      <w:r>
        <w:rPr>
          <w:rFonts w:ascii="Times New Roman" w:hAnsi="Times New Roman" w:cs="Times New Roman" w:eastAsia="Times New Roman"/>
          <w:b/>
          <w:color w:val="233741"/>
          <w:sz w:val="24"/>
        </w:rPr>
        <w:t>II.6.1 Trois disciplines complémentaires</w:t>
      </w:r>
    </w:p>
    <w:p>
      <w:pPr>
        <w:jc w:val="both"/>
      </w:pPr>
      <w:r>
        <w:rPr>
          <w:rFonts w:ascii="Times New Roman" w:hAnsi="Times New Roman" w:cs="Times New Roman" w:eastAsia="Times New Roman"/>
          <w:b w:val="0"/>
          <w:sz w:val="24"/>
        </w:rPr>
        <w:t>L’hydrologie estime les apports et les régimes d’écoulement du bassin. L’hydraulique décrit les niveaux, vitesses et contraintes dans le cours d’eau et autour de l’ouvrage. La morphodynamique étudie les évolutions du lit et des berges sous l’effet des flux d’eau et de sédiments. Les trois sont nécessaires pour comprendre la géométrie future du site.</w:t>
      </w:r>
    </w:p>
    <w:p>
      <w:pPr>
        <w:jc w:val="both"/>
      </w:pPr>
      <w:r>
        <w:rPr>
          <w:rFonts w:ascii="Times New Roman" w:hAnsi="Times New Roman" w:cs="Times New Roman" w:eastAsia="Times New Roman"/>
          <w:b w:val="0"/>
          <w:sz w:val="24"/>
        </w:rPr>
        <w:t>Le guide HDS-2 de la FHWA (2024) structure les analyses hydrologiques routières ; HEC-20 traite la stabilité des cours d’eau aux structures routières (FHWA, 2012b). Leur utilisation ne signifie pas qu’une seule crue de période de retour définie convienne à tous les projets. Le référentiel, l’importance de l’ouvrage et les conséquences de dépassement déterminent les scénarios de projet et de contrôle.</w:t>
      </w:r>
    </w:p>
    <w:p>
      <w:pPr>
        <w:keepNext/>
        <w:jc w:val="center"/>
      </w:pPr>
      <w:r>
        <w:drawing>
          <wp:inline xmlns:a="http://schemas.openxmlformats.org/drawingml/2006/main" xmlns:pic="http://schemas.openxmlformats.org/drawingml/2006/picture">
            <wp:extent cx="5760000" cy="2926830"/>
            <wp:docPr id="20" name="Picture 20"/>
            <wp:cNvGraphicFramePr>
              <a:graphicFrameLocks noChangeAspect="1"/>
            </wp:cNvGraphicFramePr>
            <a:graphic>
              <a:graphicData uri="http://schemas.openxmlformats.org/drawingml/2006/picture">
                <pic:pic>
                  <pic:nvPicPr>
                    <pic:cNvPr id="0" name="fluvial_system.png"/>
                    <pic:cNvPicPr/>
                  </pic:nvPicPr>
                  <pic:blipFill>
                    <a:blip r:embed="rId42"/>
                    <a:stretch>
                      <a:fillRect/>
                    </a:stretch>
                  </pic:blipFill>
                  <pic:spPr>
                    <a:xfrm>
                      <a:off x="0" y="0"/>
                      <a:ext cx="5760000" cy="2926830"/>
                    </a:xfrm>
                    <a:prstGeom prst="rect"/>
                  </pic:spPr>
                </pic:pic>
              </a:graphicData>
            </a:graphic>
          </wp:inline>
        </w:drawing>
      </w:r>
    </w:p>
    <w:p>
      <w:bookmarkStart w:id="41" w:name="BM_FIGII_6"/>
      <w:pPr>
        <w:jc w:val="center"/>
      </w:pPr>
      <w:r>
        <w:rPr>
          <w:rFonts w:ascii="Times New Roman" w:hAnsi="Times New Roman" w:cs="Times New Roman" w:eastAsia="Times New Roman"/>
          <w:b/>
          <w:sz w:val="20"/>
        </w:rPr>
        <w:t>Figure II.6 — Chaîne de transmission entre bassin versant, écoulement, morphodynamique et fondation</w:t>
      </w:r>
      <w:bookmarkEnd w:id="41"/>
    </w:p>
    <w:p>
      <w:pPr>
        <w:jc w:val="right"/>
      </w:pPr>
      <w:r>
        <w:rPr>
          <w:rFonts w:ascii="Times New Roman" w:hAnsi="Times New Roman" w:cs="Times New Roman" w:eastAsia="Times New Roman"/>
          <w:b w:val="0"/>
          <w:color w:val="59636B"/>
          <w:sz w:val="20"/>
        </w:rPr>
        <w:t>Source : schéma original de synthèse d’après FHWA (2012b, 2024).</w:t>
      </w:r>
    </w:p>
    <w:p>
      <w:pPr>
        <w:jc w:val="both"/>
      </w:pPr>
      <w:r>
        <w:rPr>
          <w:rFonts w:ascii="Times New Roman" w:hAnsi="Times New Roman" w:cs="Times New Roman" w:eastAsia="Times New Roman"/>
          <w:b w:val="0"/>
          <w:sz w:val="24"/>
        </w:rPr>
        <w:t>La photographie aérienne suivante illustre les méandres, les dépôts et la mobilité du chenal évoqués dans cette chaîne. Il s’agit d’un exemple de processus fluviaux, non du site d’un pont étudié dans ce mémoire.</w:t>
      </w:r>
    </w:p>
    <w:p>
      <w:pPr>
        <w:keepNext/>
        <w:jc w:val="center"/>
      </w:pPr>
      <w:r>
        <w:drawing>
          <wp:inline xmlns:a="http://schemas.openxmlformats.org/drawingml/2006/main" xmlns:pic="http://schemas.openxmlformats.org/drawingml/2006/picture">
            <wp:extent cx="5760000" cy="3834000"/>
            <wp:docPr id="21" name="Picture 21"/>
            <wp:cNvGraphicFramePr>
              <a:graphicFrameLocks noChangeAspect="1"/>
            </wp:cNvGraphicFramePr>
            <a:graphic>
              <a:graphicData uri="http://schemas.openxmlformats.org/drawingml/2006/picture">
                <pic:pic>
                  <pic:nvPicPr>
                    <pic:cNvPr id="0" name="photo_meandering_river.png"/>
                    <pic:cNvPicPr/>
                  </pic:nvPicPr>
                  <pic:blipFill>
                    <a:blip r:embed="rId43"/>
                    <a:stretch>
                      <a:fillRect/>
                    </a:stretch>
                  </pic:blipFill>
                  <pic:spPr>
                    <a:xfrm>
                      <a:off x="0" y="0"/>
                      <a:ext cx="5760000" cy="3834000"/>
                    </a:xfrm>
                    <a:prstGeom prst="rect"/>
                  </pic:spPr>
                </pic:pic>
              </a:graphicData>
            </a:graphic>
          </wp:inline>
        </w:drawing>
      </w:r>
    </w:p>
    <w:p>
      <w:bookmarkStart w:id="42" w:name="BM_FIGII_7"/>
      <w:pPr>
        <w:jc w:val="center"/>
      </w:pPr>
      <w:r>
        <w:rPr>
          <w:rFonts w:ascii="Times New Roman" w:hAnsi="Times New Roman" w:cs="Times New Roman" w:eastAsia="Times New Roman"/>
          <w:b/>
          <w:sz w:val="20"/>
        </w:rPr>
        <w:t>Figure II.7 — Méandres et barres sédimentaires de la rivière Togiak (Alaska)</w:t>
      </w:r>
      <w:bookmarkEnd w:id="42"/>
    </w:p>
    <w:p>
      <w:pPr>
        <w:jc w:val="right"/>
      </w:pPr>
      <w:r>
        <w:rPr>
          <w:rFonts w:ascii="Times New Roman" w:hAnsi="Times New Roman" w:cs="Times New Roman" w:eastAsia="Times New Roman"/>
          <w:b w:val="0"/>
          <w:color w:val="59636B"/>
          <w:sz w:val="20"/>
        </w:rPr>
        <w:t>Source : photographie de Steve Hillebrand, U.S. Fish and Wildlife Service, Wikimedia Commons, domaine public.</w:t>
      </w:r>
    </w:p>
    <w:p>
      <w:bookmarkStart w:id="43" w:name="BM_TABII_5"/>
      <w:pPr>
        <w:keepNext/>
        <w:jc w:val="center"/>
      </w:pPr>
      <w:r>
        <w:rPr>
          <w:rFonts w:ascii="Times New Roman" w:hAnsi="Times New Roman" w:cs="Times New Roman" w:eastAsia="Times New Roman"/>
          <w:b/>
          <w:sz w:val="20"/>
        </w:rPr>
        <w:t>Tableau II.5 — Questions distinctes posées par l’hydrologie, l’hydraulique et la morphodynamique</w:t>
      </w:r>
      <w:bookmarkEnd w:id="43"/>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Domaine</w:t>
            </w:r>
          </w:p>
        </w:tc>
        <w:tc>
          <w:tcPr>
            <w:tcW w:type="dxa" w:w="3628"/>
            <w:vAlign w:val="center"/>
            <w:shd w:fill="1F4E79"/>
          </w:tcPr>
          <w:p>
            <w:pPr>
              <w:spacing w:after="30"/>
            </w:pPr>
            <w:r>
              <w:rPr>
                <w:rFonts w:ascii="Times New Roman" w:hAnsi="Times New Roman" w:cs="Times New Roman" w:eastAsia="Times New Roman"/>
                <w:b/>
                <w:color w:val="FFFFFF"/>
                <w:sz w:val="17"/>
              </w:rPr>
              <w:t>Questions principales</w:t>
            </w:r>
          </w:p>
        </w:tc>
        <w:tc>
          <w:tcPr>
            <w:tcW w:type="dxa" w:w="3628"/>
            <w:vAlign w:val="center"/>
            <w:shd w:fill="1F4E79"/>
          </w:tcPr>
          <w:p>
            <w:pPr>
              <w:spacing w:after="30"/>
            </w:pPr>
            <w:r>
              <w:rPr>
                <w:rFonts w:ascii="Times New Roman" w:hAnsi="Times New Roman" w:cs="Times New Roman" w:eastAsia="Times New Roman"/>
                <w:b/>
                <w:color w:val="FFFFFF"/>
                <w:sz w:val="17"/>
              </w:rPr>
              <w:t>Données et limites</w:t>
            </w:r>
          </w:p>
        </w:tc>
      </w:tr>
      <w:tr>
        <w:trPr>
          <w:cantSplit/>
        </w:trPr>
        <w:tc>
          <w:tcPr>
            <w:tcW w:type="dxa" w:w="1814"/>
            <w:vAlign w:val="center"/>
          </w:tcPr>
          <w:p>
            <w:pPr>
              <w:spacing w:after="30"/>
            </w:pPr>
            <w:r>
              <w:rPr>
                <w:rFonts w:ascii="Times New Roman" w:hAnsi="Times New Roman" w:cs="Times New Roman" w:eastAsia="Times New Roman"/>
                <w:b w:val="0"/>
                <w:sz w:val="17"/>
              </w:rPr>
              <w:t>Hydrologie</w:t>
            </w:r>
          </w:p>
        </w:tc>
        <w:tc>
          <w:tcPr>
            <w:tcW w:type="dxa" w:w="3628"/>
            <w:vAlign w:val="center"/>
          </w:tcPr>
          <w:p>
            <w:pPr>
              <w:spacing w:after="30"/>
            </w:pPr>
            <w:r>
              <w:rPr>
                <w:rFonts w:ascii="Times New Roman" w:hAnsi="Times New Roman" w:cs="Times New Roman" w:eastAsia="Times New Roman"/>
                <w:b w:val="0"/>
                <w:sz w:val="17"/>
              </w:rPr>
              <w:t>Quels débits et quelles hydrogrammes pour quels scénarios ?</w:t>
            </w:r>
          </w:p>
        </w:tc>
        <w:tc>
          <w:tcPr>
            <w:tcW w:type="dxa" w:w="3628"/>
            <w:vAlign w:val="center"/>
          </w:tcPr>
          <w:p>
            <w:pPr>
              <w:spacing w:after="30"/>
            </w:pPr>
            <w:r>
              <w:rPr>
                <w:rFonts w:ascii="Times New Roman" w:hAnsi="Times New Roman" w:cs="Times New Roman" w:eastAsia="Times New Roman"/>
                <w:b w:val="0"/>
                <w:sz w:val="17"/>
              </w:rPr>
              <w:t>Séries de mesures, pluie, bassin, occupation du sol et incertitudes d’ajustement</w:t>
            </w:r>
          </w:p>
        </w:tc>
      </w:tr>
      <w:tr>
        <w:trPr>
          <w:cantSplit/>
        </w:trPr>
        <w:tc>
          <w:tcPr>
            <w:tcW w:type="dxa" w:w="1814"/>
            <w:vAlign w:val="center"/>
            <w:shd w:fill="F3F6F8"/>
          </w:tcPr>
          <w:p>
            <w:pPr>
              <w:spacing w:after="30"/>
            </w:pPr>
            <w:r>
              <w:rPr>
                <w:rFonts w:ascii="Times New Roman" w:hAnsi="Times New Roman" w:cs="Times New Roman" w:eastAsia="Times New Roman"/>
                <w:b w:val="0"/>
                <w:sz w:val="17"/>
              </w:rPr>
              <w:t>Hydraulique</w:t>
            </w:r>
          </w:p>
        </w:tc>
        <w:tc>
          <w:tcPr>
            <w:tcW w:type="dxa" w:w="3628"/>
            <w:vAlign w:val="center"/>
            <w:shd w:fill="F3F6F8"/>
          </w:tcPr>
          <w:p>
            <w:pPr>
              <w:spacing w:after="30"/>
            </w:pPr>
            <w:r>
              <w:rPr>
                <w:rFonts w:ascii="Times New Roman" w:hAnsi="Times New Roman" w:cs="Times New Roman" w:eastAsia="Times New Roman"/>
                <w:b w:val="0"/>
                <w:sz w:val="17"/>
              </w:rPr>
              <w:t>Quels niveaux, vitesses et contraintes autour des appuis ?</w:t>
            </w:r>
          </w:p>
        </w:tc>
        <w:tc>
          <w:tcPr>
            <w:tcW w:type="dxa" w:w="3628"/>
            <w:vAlign w:val="center"/>
            <w:shd w:fill="F3F6F8"/>
          </w:tcPr>
          <w:p>
            <w:pPr>
              <w:spacing w:after="30"/>
            </w:pPr>
            <w:r>
              <w:rPr>
                <w:rFonts w:ascii="Times New Roman" w:hAnsi="Times New Roman" w:cs="Times New Roman" w:eastAsia="Times New Roman"/>
                <w:b w:val="0"/>
                <w:sz w:val="17"/>
              </w:rPr>
              <w:t>Géométrie, rugosité, modèle, conditions aux limites et sensibilité</w:t>
            </w:r>
          </w:p>
        </w:tc>
      </w:tr>
      <w:tr>
        <w:trPr>
          <w:cantSplit/>
        </w:trPr>
        <w:tc>
          <w:tcPr>
            <w:tcW w:type="dxa" w:w="1814"/>
            <w:vAlign w:val="center"/>
          </w:tcPr>
          <w:p>
            <w:pPr>
              <w:spacing w:after="30"/>
            </w:pPr>
            <w:r>
              <w:rPr>
                <w:rFonts w:ascii="Times New Roman" w:hAnsi="Times New Roman" w:cs="Times New Roman" w:eastAsia="Times New Roman"/>
                <w:b w:val="0"/>
                <w:sz w:val="17"/>
              </w:rPr>
              <w:t>Transport solide</w:t>
            </w:r>
          </w:p>
        </w:tc>
        <w:tc>
          <w:tcPr>
            <w:tcW w:type="dxa" w:w="3628"/>
            <w:vAlign w:val="center"/>
          </w:tcPr>
          <w:p>
            <w:pPr>
              <w:spacing w:after="30"/>
            </w:pPr>
            <w:r>
              <w:rPr>
                <w:rFonts w:ascii="Times New Roman" w:hAnsi="Times New Roman" w:cs="Times New Roman" w:eastAsia="Times New Roman"/>
                <w:b w:val="0"/>
                <w:sz w:val="17"/>
              </w:rPr>
              <w:t>Quels apports, quelles capacités de transport et quels dépôts ?</w:t>
            </w:r>
          </w:p>
        </w:tc>
        <w:tc>
          <w:tcPr>
            <w:tcW w:type="dxa" w:w="3628"/>
            <w:vAlign w:val="center"/>
          </w:tcPr>
          <w:p>
            <w:pPr>
              <w:spacing w:after="30"/>
            </w:pPr>
            <w:r>
              <w:rPr>
                <w:rFonts w:ascii="Times New Roman" w:hAnsi="Times New Roman" w:cs="Times New Roman" w:eastAsia="Times New Roman"/>
                <w:b w:val="0"/>
                <w:sz w:val="17"/>
              </w:rPr>
              <w:t>Granulométrie, débit solide, forme du lit et événements antérieurs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Morphodynamique</w:t>
            </w:r>
          </w:p>
        </w:tc>
        <w:tc>
          <w:tcPr>
            <w:tcW w:type="dxa" w:w="3628"/>
            <w:vAlign w:val="center"/>
            <w:shd w:fill="F3F6F8"/>
          </w:tcPr>
          <w:p>
            <w:pPr>
              <w:spacing w:after="30"/>
            </w:pPr>
            <w:r>
              <w:rPr>
                <w:rFonts w:ascii="Times New Roman" w:hAnsi="Times New Roman" w:cs="Times New Roman" w:eastAsia="Times New Roman"/>
                <w:b w:val="0"/>
                <w:sz w:val="17"/>
              </w:rPr>
              <w:t>Comment le chenal et les berges évoluent-ils ?</w:t>
            </w:r>
          </w:p>
        </w:tc>
        <w:tc>
          <w:tcPr>
            <w:tcW w:type="dxa" w:w="3628"/>
            <w:vAlign w:val="center"/>
            <w:shd w:fill="F3F6F8"/>
          </w:tcPr>
          <w:p>
            <w:pPr>
              <w:spacing w:after="30"/>
            </w:pPr>
            <w:r>
              <w:rPr>
                <w:rFonts w:ascii="Times New Roman" w:hAnsi="Times New Roman" w:cs="Times New Roman" w:eastAsia="Times New Roman"/>
                <w:b w:val="0"/>
                <w:sz w:val="17"/>
              </w:rPr>
              <w:t>Historique, photographies, levés répétés et processus de bassin</w:t>
            </w:r>
          </w:p>
        </w:tc>
      </w:tr>
      <w:tr>
        <w:trPr>
          <w:cantSplit/>
        </w:trPr>
        <w:tc>
          <w:tcPr>
            <w:tcW w:type="dxa" w:w="1814"/>
            <w:vAlign w:val="center"/>
          </w:tcPr>
          <w:p>
            <w:pPr>
              <w:spacing w:after="30"/>
            </w:pPr>
            <w:r>
              <w:rPr>
                <w:rFonts w:ascii="Times New Roman" w:hAnsi="Times New Roman" w:cs="Times New Roman" w:eastAsia="Times New Roman"/>
                <w:b w:val="0"/>
                <w:sz w:val="17"/>
              </w:rPr>
              <w:t>Géotechnique</w:t>
            </w:r>
          </w:p>
        </w:tc>
        <w:tc>
          <w:tcPr>
            <w:tcW w:type="dxa" w:w="3628"/>
            <w:vAlign w:val="center"/>
          </w:tcPr>
          <w:p>
            <w:pPr>
              <w:spacing w:after="30"/>
            </w:pPr>
            <w:r>
              <w:rPr>
                <w:rFonts w:ascii="Times New Roman" w:hAnsi="Times New Roman" w:cs="Times New Roman" w:eastAsia="Times New Roman"/>
                <w:b w:val="0"/>
                <w:sz w:val="17"/>
              </w:rPr>
              <w:t>Comment ces évolutions modifient-elles la fondation ?</w:t>
            </w:r>
          </w:p>
        </w:tc>
        <w:tc>
          <w:tcPr>
            <w:tcW w:type="dxa" w:w="3628"/>
            <w:vAlign w:val="center"/>
          </w:tcPr>
          <w:p>
            <w:pPr>
              <w:spacing w:after="30"/>
            </w:pPr>
            <w:r>
              <w:rPr>
                <w:rFonts w:ascii="Times New Roman" w:hAnsi="Times New Roman" w:cs="Times New Roman" w:eastAsia="Times New Roman"/>
                <w:b w:val="0"/>
                <w:sz w:val="17"/>
              </w:rPr>
              <w:t>Résistance résiduelle après érosion, géométrie future et interaction avec le terrain</w:t>
            </w:r>
          </w:p>
        </w:tc>
      </w:tr>
    </w:tbl>
    <w:p>
      <w:pPr>
        <w:spacing w:after="20"/>
      </w:pPr>
    </w:p>
    <w:p>
      <w:pPr>
        <w:pStyle w:val="Heading3"/>
      </w:pPr>
      <w:r>
        <w:rPr>
          <w:rFonts w:ascii="Times New Roman" w:hAnsi="Times New Roman" w:cs="Times New Roman" w:eastAsia="Times New Roman"/>
          <w:b/>
          <w:color w:val="233741"/>
          <w:sz w:val="24"/>
        </w:rPr>
        <w:t>II.6.2 Crues et scénarios</w:t>
      </w:r>
    </w:p>
    <w:p>
      <w:pPr>
        <w:jc w:val="both"/>
      </w:pPr>
      <w:r>
        <w:rPr>
          <w:rFonts w:ascii="Times New Roman" w:hAnsi="Times New Roman" w:cs="Times New Roman" w:eastAsia="Times New Roman"/>
          <w:b w:val="0"/>
          <w:sz w:val="24"/>
        </w:rPr>
        <w:t>Une crue est décrite par un débit, mais aussi par une durée, une montée, une recession et un volume. Deux événements de même débit de pointe peuvent produire des effets différents sur l’affouillement et les berges. Les embâcles, les obstructions et les changements de lit modifient également la réponse de l’ouvrage.</w:t>
      </w:r>
    </w:p>
    <w:p>
      <w:pPr>
        <w:jc w:val="both"/>
      </w:pPr>
      <w:r>
        <w:rPr>
          <w:rFonts w:ascii="Times New Roman" w:hAnsi="Times New Roman" w:cs="Times New Roman" w:eastAsia="Times New Roman"/>
          <w:b w:val="0"/>
          <w:sz w:val="24"/>
        </w:rPr>
        <w:t>Les analyses doivent expliciter les incertitudes : qualité des séries, extrapolation des débits rares, représentation des ponts et obstacles, rugosité et conditions aux limites. Un résultat hydraulique précis à plusieurs décimales ne compense pas une géométrie ou un débit mal contraint.</w:t>
      </w:r>
    </w:p>
    <w:p>
      <w:pPr>
        <w:pStyle w:val="Heading3"/>
      </w:pPr>
      <w:r>
        <w:rPr>
          <w:rFonts w:ascii="Times New Roman" w:hAnsi="Times New Roman" w:cs="Times New Roman" w:eastAsia="Times New Roman"/>
          <w:b/>
          <w:color w:val="233741"/>
          <w:sz w:val="24"/>
        </w:rPr>
        <w:t>II.6.3 Mobilité du lit et des berges</w:t>
      </w:r>
    </w:p>
    <w:p>
      <w:pPr>
        <w:jc w:val="both"/>
      </w:pPr>
      <w:r>
        <w:rPr>
          <w:rFonts w:ascii="Times New Roman" w:hAnsi="Times New Roman" w:cs="Times New Roman" w:eastAsia="Times New Roman"/>
          <w:b w:val="0"/>
          <w:sz w:val="24"/>
        </w:rPr>
        <w:t>Les indices de mobilité comprennent les changements de tracé, les dépôts récents, les arbres affaissés, les escarpements d’érosion, les anciennes protections et les variations de cote entre levés. Ils doivent être recherchés sur une longueur de rivière suffisante pour comprendre les processus, et non seulement à l’emprise du pont.</w:t>
      </w:r>
    </w:p>
    <w:p>
      <w:pPr>
        <w:jc w:val="both"/>
      </w:pPr>
      <w:r>
        <w:rPr>
          <w:rFonts w:ascii="Times New Roman" w:hAnsi="Times New Roman" w:cs="Times New Roman" w:eastAsia="Times New Roman"/>
          <w:b w:val="0"/>
          <w:sz w:val="24"/>
        </w:rPr>
        <w:t>Les escarpements et les pertes de matériau visibles sur les deux exemples suivants sont des indices de recul de berge. Leur vitesse et leur effet sur une fondation ne peuvent être établis sans dates, levés répétés et analyse des conditions hydrologiques.</w:t>
      </w:r>
    </w:p>
    <w:p>
      <w:pPr>
        <w:keepNext/>
        <w:jc w:val="center"/>
      </w:pPr>
      <w:r>
        <w:drawing>
          <wp:inline xmlns:a="http://schemas.openxmlformats.org/drawingml/2006/main" xmlns:pic="http://schemas.openxmlformats.org/drawingml/2006/picture">
            <wp:extent cx="5760000" cy="2496000"/>
            <wp:docPr id="22" name="Picture 22"/>
            <wp:cNvGraphicFramePr>
              <a:graphicFrameLocks noChangeAspect="1"/>
            </wp:cNvGraphicFramePr>
            <a:graphic>
              <a:graphicData uri="http://schemas.openxmlformats.org/drawingml/2006/picture">
                <pic:pic>
                  <pic:nvPicPr>
                    <pic:cNvPr id="0" name="photo_riverbank_erosion.png"/>
                    <pic:cNvPicPr/>
                  </pic:nvPicPr>
                  <pic:blipFill>
                    <a:blip r:embed="rId44"/>
                    <a:stretch>
                      <a:fillRect/>
                    </a:stretch>
                  </pic:blipFill>
                  <pic:spPr>
                    <a:xfrm>
                      <a:off x="0" y="0"/>
                      <a:ext cx="5760000" cy="2496000"/>
                    </a:xfrm>
                    <a:prstGeom prst="rect"/>
                  </pic:spPr>
                </pic:pic>
              </a:graphicData>
            </a:graphic>
          </wp:inline>
        </w:drawing>
      </w:r>
    </w:p>
    <w:p>
      <w:bookmarkStart w:id="44" w:name="BM_FIGII_8"/>
      <w:pPr>
        <w:jc w:val="center"/>
      </w:pPr>
      <w:r>
        <w:rPr>
          <w:rFonts w:ascii="Times New Roman" w:hAnsi="Times New Roman" w:cs="Times New Roman" w:eastAsia="Times New Roman"/>
          <w:b/>
          <w:sz w:val="20"/>
        </w:rPr>
        <w:t>Figure II.8 — Érosion de berges : (a) recul récent sur la Wye après des crues ; (b) dépôts glaciaires exposés au bord de la River Sand (Royaume-Uni)</w:t>
      </w:r>
      <w:bookmarkEnd w:id="44"/>
    </w:p>
    <w:p>
      <w:pPr>
        <w:jc w:val="right"/>
      </w:pPr>
      <w:r>
        <w:rPr>
          <w:rFonts w:ascii="Times New Roman" w:hAnsi="Times New Roman" w:cs="Times New Roman" w:eastAsia="Times New Roman"/>
          <w:b w:val="0"/>
          <w:color w:val="59636B"/>
          <w:sz w:val="20"/>
        </w:rPr>
        <w:t>Source : (a) Pauline Eccles ; (b) Mick Garratt, Geograph / Wikimedia Commons, CC BY-SA 2.0.</w:t>
      </w:r>
    </w:p>
    <w:p>
      <w:pPr>
        <w:jc w:val="both"/>
      </w:pPr>
      <w:r>
        <w:rPr>
          <w:rFonts w:ascii="Times New Roman" w:hAnsi="Times New Roman" w:cs="Times New Roman" w:eastAsia="Times New Roman"/>
          <w:b w:val="0"/>
          <w:sz w:val="24"/>
        </w:rPr>
        <w:t>L’historique du lit permet de distinguer une tendance à long terme d’une réponse à un événement. Les aménagements en amont, les extractions de granulats, les barrages et les changements d’occupation du bassin peuvent modifier l’équilibre sédimentaire. Leur étude évite d’attribuer toute évolution à la seule présence de la pile.</w:t>
      </w:r>
    </w:p>
    <w:p>
      <w:pPr>
        <w:jc w:val="both"/>
      </w:pPr>
      <w:r>
        <w:rPr>
          <w:rFonts w:ascii="Times New Roman" w:hAnsi="Times New Roman" w:cs="Times New Roman" w:eastAsia="Times New Roman"/>
          <w:b w:val="0"/>
          <w:sz w:val="24"/>
        </w:rPr>
        <w:t>La géométrie des appuis modifie l’écoulement et les zones exposées à l’affouillement. Ces deux photographies USDA comparent des configurations réelles ; elles ne fournissent pas, à elles seules, un coefficient de calcul.</w:t>
      </w:r>
    </w:p>
    <w:p>
      <w:pPr>
        <w:keepNext/>
        <w:jc w:val="center"/>
      </w:pPr>
      <w:r>
        <w:drawing>
          <wp:inline xmlns:a="http://schemas.openxmlformats.org/drawingml/2006/main" xmlns:pic="http://schemas.openxmlformats.org/drawingml/2006/picture">
            <wp:extent cx="5760000" cy="2496000"/>
            <wp:docPr id="23" name="Picture 23"/>
            <wp:cNvGraphicFramePr>
              <a:graphicFrameLocks noChangeAspect="1"/>
            </wp:cNvGraphicFramePr>
            <a:graphic>
              <a:graphicData uri="http://schemas.openxmlformats.org/drawingml/2006/picture">
                <pic:pic>
                  <pic:nvPicPr>
                    <pic:cNvPr id="0" name="photo_abutment_types_usfs.png"/>
                    <pic:cNvPicPr/>
                  </pic:nvPicPr>
                  <pic:blipFill>
                    <a:blip r:embed="rId45"/>
                    <a:stretch>
                      <a:fillRect/>
                    </a:stretch>
                  </pic:blipFill>
                  <pic:spPr>
                    <a:xfrm>
                      <a:off x="0" y="0"/>
                      <a:ext cx="5760000" cy="2496000"/>
                    </a:xfrm>
                    <a:prstGeom prst="rect"/>
                  </pic:spPr>
                </pic:pic>
              </a:graphicData>
            </a:graphic>
          </wp:inline>
        </w:drawing>
      </w:r>
    </w:p>
    <w:p>
      <w:bookmarkStart w:id="45" w:name="BM_FIGII_9"/>
      <w:pPr>
        <w:jc w:val="center"/>
      </w:pPr>
      <w:r>
        <w:rPr>
          <w:rFonts w:ascii="Times New Roman" w:hAnsi="Times New Roman" w:cs="Times New Roman" w:eastAsia="Times New Roman"/>
          <w:b/>
          <w:sz w:val="20"/>
        </w:rPr>
        <w:t>Figure II.9 — Configurations d’appuis : (a) murs verticaux avec murs en aile à LaMarche Creek ; (b) culée évasée « spill-through » à Independence Creek</w:t>
      </w:r>
      <w:bookmarkEnd w:id="45"/>
    </w:p>
    <w:p>
      <w:pPr>
        <w:jc w:val="right"/>
      </w:pPr>
      <w:r>
        <w:rPr>
          <w:rFonts w:ascii="Times New Roman" w:hAnsi="Times New Roman" w:cs="Times New Roman" w:eastAsia="Times New Roman"/>
          <w:b w:val="0"/>
          <w:color w:val="59636B"/>
          <w:sz w:val="20"/>
        </w:rPr>
        <w:t>Source : USDA Forest Service, « Bridge Scour Evaluation » (1998), figures 9 et 10.</w:t>
      </w:r>
    </w:p>
    <w:p>
      <w:pPr>
        <w:jc w:val="both"/>
      </w:pPr>
      <w:r>
        <w:rPr>
          <w:rFonts w:ascii="Times New Roman" w:hAnsi="Times New Roman" w:cs="Times New Roman" w:eastAsia="Times New Roman"/>
          <w:b w:val="0"/>
          <w:sz w:val="24"/>
        </w:rPr>
        <w:t>Les exemples suivants distinguent deux évolutions souvent confondues : l’aggradation, qui réduit la hauteur libre par dépôt, et la dégradation, qui abaisse le lit et peut exposer la fondation. Ils illustrent la nécessité de levés répétés plutôt qu’une interprétation à partir d’une seule photographie.</w:t>
      </w:r>
    </w:p>
    <w:p>
      <w:pPr>
        <w:keepNext/>
        <w:jc w:val="center"/>
      </w:pPr>
      <w:r>
        <w:drawing>
          <wp:inline xmlns:a="http://schemas.openxmlformats.org/drawingml/2006/main" xmlns:pic="http://schemas.openxmlformats.org/drawingml/2006/picture">
            <wp:extent cx="5760000" cy="2496000"/>
            <wp:docPr id="24" name="Picture 24"/>
            <wp:cNvGraphicFramePr>
              <a:graphicFrameLocks noChangeAspect="1"/>
            </wp:cNvGraphicFramePr>
            <a:graphic>
              <a:graphicData uri="http://schemas.openxmlformats.org/drawingml/2006/picture">
                <pic:pic>
                  <pic:nvPicPr>
                    <pic:cNvPr id="0" name="photo_channel_evolution_usfs.png"/>
                    <pic:cNvPicPr/>
                  </pic:nvPicPr>
                  <pic:blipFill>
                    <a:blip r:embed="rId46"/>
                    <a:stretch>
                      <a:fillRect/>
                    </a:stretch>
                  </pic:blipFill>
                  <pic:spPr>
                    <a:xfrm>
                      <a:off x="0" y="0"/>
                      <a:ext cx="5760000" cy="2496000"/>
                    </a:xfrm>
                    <a:prstGeom prst="rect"/>
                  </pic:spPr>
                </pic:pic>
              </a:graphicData>
            </a:graphic>
          </wp:inline>
        </w:drawing>
      </w:r>
    </w:p>
    <w:p>
      <w:bookmarkStart w:id="46" w:name="BM_FIGII_10"/>
      <w:pPr>
        <w:jc w:val="center"/>
      </w:pPr>
      <w:r>
        <w:rPr>
          <w:rFonts w:ascii="Times New Roman" w:hAnsi="Times New Roman" w:cs="Times New Roman" w:eastAsia="Times New Roman"/>
          <w:b/>
          <w:sz w:val="20"/>
        </w:rPr>
        <w:t>Figure II.10 — Évolution du lit : (a) aggradation à Eagle Creek ; (b) dégradation exposant le mudsill à Shepherd Creek</w:t>
      </w:r>
      <w:bookmarkEnd w:id="46"/>
    </w:p>
    <w:p>
      <w:pPr>
        <w:jc w:val="right"/>
      </w:pPr>
      <w:r>
        <w:rPr>
          <w:rFonts w:ascii="Times New Roman" w:hAnsi="Times New Roman" w:cs="Times New Roman" w:eastAsia="Times New Roman"/>
          <w:b w:val="0"/>
          <w:color w:val="59636B"/>
          <w:sz w:val="20"/>
        </w:rPr>
        <w:t>Source : USDA Forest Service, « Bridge Scour Evaluation » (1998), figures 11 et 12.</w:t>
      </w:r>
    </w:p>
    <w:p>
      <w:pPr>
        <w:pStyle w:val="Heading2"/>
      </w:pPr>
      <w:r>
        <w:rPr>
          <w:rFonts w:ascii="Times New Roman" w:hAnsi="Times New Roman" w:cs="Times New Roman" w:eastAsia="Times New Roman"/>
          <w:b/>
          <w:color w:val="1F4E79"/>
          <w:sz w:val="24"/>
        </w:rPr>
        <w:t>II.7 Sols à comportement particulier</w:t>
      </w:r>
    </w:p>
    <w:p>
      <w:pPr>
        <w:pStyle w:val="Heading3"/>
      </w:pPr>
      <w:r>
        <w:rPr>
          <w:rFonts w:ascii="Times New Roman" w:hAnsi="Times New Roman" w:cs="Times New Roman" w:eastAsia="Times New Roman"/>
          <w:b/>
          <w:color w:val="233741"/>
          <w:sz w:val="24"/>
        </w:rPr>
        <w:t>II.7.1 Sols gonflants</w:t>
      </w:r>
    </w:p>
    <w:p>
      <w:pPr>
        <w:jc w:val="both"/>
      </w:pPr>
      <w:r>
        <w:rPr>
          <w:rFonts w:ascii="Times New Roman" w:hAnsi="Times New Roman" w:cs="Times New Roman" w:eastAsia="Times New Roman"/>
          <w:b w:val="0"/>
          <w:sz w:val="24"/>
        </w:rPr>
        <w:t>Le gonflement dépend de la minéralogie, de la structure, de la succion initiale, des variations d’eau et du confinement. Une classification par plasticité peut servir de dépistage, mais elle ne mesure pas directement la déformation ou la pression de gonflement du projet. Les essais doivent reproduire les conditions de confinement et d’humidification pertinentes.</w:t>
      </w:r>
    </w:p>
    <w:p>
      <w:pPr>
        <w:jc w:val="both"/>
      </w:pPr>
      <w:r>
        <w:rPr>
          <w:rFonts w:ascii="Times New Roman" w:hAnsi="Times New Roman" w:cs="Times New Roman" w:eastAsia="Times New Roman"/>
          <w:b w:val="0"/>
          <w:sz w:val="24"/>
        </w:rPr>
        <w:t>Pour un pont, les variations saisonnières, les infiltrations et le drainage des culées sont essentiels. Les solutions peuvent associer gestion de l’eau, adaptation de la fondation, traitement ou remplacement, avec vérification de leur efficacité.</w:t>
      </w:r>
    </w:p>
    <w:p>
      <w:pPr>
        <w:pStyle w:val="Heading3"/>
      </w:pPr>
      <w:r>
        <w:rPr>
          <w:rFonts w:ascii="Times New Roman" w:hAnsi="Times New Roman" w:cs="Times New Roman" w:eastAsia="Times New Roman"/>
          <w:b/>
          <w:color w:val="233741"/>
          <w:sz w:val="24"/>
        </w:rPr>
        <w:t>II.7.2 Sols affaissables ou collapsibles</w:t>
      </w:r>
    </w:p>
    <w:p>
      <w:pPr>
        <w:jc w:val="both"/>
      </w:pPr>
      <w:r>
        <w:rPr>
          <w:rFonts w:ascii="Times New Roman" w:hAnsi="Times New Roman" w:cs="Times New Roman" w:eastAsia="Times New Roman"/>
          <w:b w:val="0"/>
          <w:sz w:val="24"/>
        </w:rPr>
        <w:t>Certains dépôts peu supportés par une structure méta stable subissent une réduction de volume lors de l’humidification sous charge. L’essai Proctor ne mesure pas ce phénomène. Le dépistage associe contexte de dépôt, densité sèche, structure et essais œdométriques d’imbibition adaptés.</w:t>
      </w:r>
    </w:p>
    <w:p>
      <w:pPr>
        <w:jc w:val="both"/>
      </w:pPr>
      <w:r>
        <w:rPr>
          <w:rFonts w:ascii="Times New Roman" w:hAnsi="Times New Roman" w:cs="Times New Roman" w:eastAsia="Times New Roman"/>
          <w:b w:val="0"/>
          <w:sz w:val="24"/>
        </w:rPr>
        <w:t>L’analyse doit considérer la profondeur et la connectivité de l’humidification. Une valeur de collapse mesurée sur un échantillon ne se transpose pas automatiquement à tout le massif.</w:t>
      </w:r>
    </w:p>
    <w:p>
      <w:pPr>
        <w:pStyle w:val="Heading3"/>
      </w:pPr>
      <w:r>
        <w:rPr>
          <w:rFonts w:ascii="Times New Roman" w:hAnsi="Times New Roman" w:cs="Times New Roman" w:eastAsia="Times New Roman"/>
          <w:b/>
          <w:color w:val="233741"/>
          <w:sz w:val="24"/>
        </w:rPr>
        <w:t>II.7.3 Sols dispersifs, solubles ou agressifs</w:t>
      </w:r>
    </w:p>
    <w:p>
      <w:pPr>
        <w:jc w:val="both"/>
      </w:pPr>
      <w:r>
        <w:rPr>
          <w:rFonts w:ascii="Times New Roman" w:hAnsi="Times New Roman" w:cs="Times New Roman" w:eastAsia="Times New Roman"/>
          <w:b w:val="0"/>
          <w:sz w:val="24"/>
        </w:rPr>
        <w:t>Les sols dispersifs peuvent être sensibles à l’érosion interne en présence d’écoulements. Les matériaux contenant des phases solubles peuvent évoluer par dissolution. Les sulfates, chlorures, acidité et autres agents doivent être analysés en relation avec les matériaux de l’ouvrage et les conditions d’exposition.</w:t>
      </w:r>
    </w:p>
    <w:p>
      <w:pPr>
        <w:jc w:val="both"/>
      </w:pPr>
      <w:r>
        <w:rPr>
          <w:rFonts w:ascii="Times New Roman" w:hAnsi="Times New Roman" w:cs="Times New Roman" w:eastAsia="Times New Roman"/>
          <w:b w:val="0"/>
          <w:sz w:val="24"/>
        </w:rPr>
        <w:t>Le diagnostic combine donc minéralogie, chimie, granulométrie et circulation d’eau. Il ne se limite pas à une étiquette de sol.</w:t>
      </w:r>
    </w:p>
    <w:p>
      <w:bookmarkStart w:id="47" w:name="BM_TABII_6"/>
      <w:pPr>
        <w:keepNext/>
        <w:jc w:val="center"/>
      </w:pPr>
      <w:r>
        <w:rPr>
          <w:rFonts w:ascii="Times New Roman" w:hAnsi="Times New Roman" w:cs="Times New Roman" w:eastAsia="Times New Roman"/>
          <w:b/>
          <w:sz w:val="20"/>
        </w:rPr>
        <w:t>Tableau II.6 — Sols particuliers — mécanisme et investigations adaptées</w:t>
      </w:r>
      <w:bookmarkEnd w:id="47"/>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Comportement</w:t>
            </w:r>
          </w:p>
        </w:tc>
        <w:tc>
          <w:tcPr>
            <w:tcW w:type="dxa" w:w="3628"/>
            <w:vAlign w:val="center"/>
            <w:shd w:fill="1F4E79"/>
          </w:tcPr>
          <w:p>
            <w:pPr>
              <w:spacing w:after="30"/>
            </w:pPr>
            <w:r>
              <w:rPr>
                <w:rFonts w:ascii="Times New Roman" w:hAnsi="Times New Roman" w:cs="Times New Roman" w:eastAsia="Times New Roman"/>
                <w:b/>
                <w:color w:val="FFFFFF"/>
                <w:sz w:val="17"/>
              </w:rPr>
              <w:t>Mécanisme à vérifier</w:t>
            </w:r>
          </w:p>
        </w:tc>
        <w:tc>
          <w:tcPr>
            <w:tcW w:type="dxa" w:w="3628"/>
            <w:vAlign w:val="center"/>
            <w:shd w:fill="1F4E79"/>
          </w:tcPr>
          <w:p>
            <w:pPr>
              <w:spacing w:after="30"/>
            </w:pPr>
            <w:r>
              <w:rPr>
                <w:rFonts w:ascii="Times New Roman" w:hAnsi="Times New Roman" w:cs="Times New Roman" w:eastAsia="Times New Roman"/>
                <w:b/>
                <w:color w:val="FFFFFF"/>
                <w:sz w:val="17"/>
              </w:rPr>
              <w:t>Investigations utiles et précautions</w:t>
            </w:r>
          </w:p>
        </w:tc>
      </w:tr>
      <w:tr>
        <w:trPr>
          <w:cantSplit/>
        </w:trPr>
        <w:tc>
          <w:tcPr>
            <w:tcW w:type="dxa" w:w="1814"/>
            <w:vAlign w:val="center"/>
          </w:tcPr>
          <w:p>
            <w:pPr>
              <w:spacing w:after="30"/>
            </w:pPr>
            <w:r>
              <w:rPr>
                <w:rFonts w:ascii="Times New Roman" w:hAnsi="Times New Roman" w:cs="Times New Roman" w:eastAsia="Times New Roman"/>
                <w:b w:val="0"/>
                <w:sz w:val="17"/>
              </w:rPr>
              <w:t>Gonflement</w:t>
            </w:r>
          </w:p>
        </w:tc>
        <w:tc>
          <w:tcPr>
            <w:tcW w:type="dxa" w:w="3628"/>
            <w:vAlign w:val="center"/>
          </w:tcPr>
          <w:p>
            <w:pPr>
              <w:spacing w:after="30"/>
            </w:pPr>
            <w:r>
              <w:rPr>
                <w:rFonts w:ascii="Times New Roman" w:hAnsi="Times New Roman" w:cs="Times New Roman" w:eastAsia="Times New Roman"/>
                <w:b w:val="0"/>
                <w:sz w:val="17"/>
              </w:rPr>
              <w:t>Variation de volume avec l’eau et le confinement</w:t>
            </w:r>
          </w:p>
        </w:tc>
        <w:tc>
          <w:tcPr>
            <w:tcW w:type="dxa" w:w="3628"/>
            <w:vAlign w:val="center"/>
          </w:tcPr>
          <w:p>
            <w:pPr>
              <w:spacing w:after="30"/>
            </w:pPr>
            <w:r>
              <w:rPr>
                <w:rFonts w:ascii="Times New Roman" w:hAnsi="Times New Roman" w:cs="Times New Roman" w:eastAsia="Times New Roman"/>
                <w:b w:val="0"/>
                <w:sz w:val="17"/>
              </w:rPr>
              <w:t>Minéralogie, succion ou état initial, essais de gonflement et scénarios d’humidification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Collapse</w:t>
            </w:r>
          </w:p>
        </w:tc>
        <w:tc>
          <w:tcPr>
            <w:tcW w:type="dxa" w:w="3628"/>
            <w:vAlign w:val="center"/>
            <w:shd w:fill="F3F6F8"/>
          </w:tcPr>
          <w:p>
            <w:pPr>
              <w:spacing w:after="30"/>
            </w:pPr>
            <w:r>
              <w:rPr>
                <w:rFonts w:ascii="Times New Roman" w:hAnsi="Times New Roman" w:cs="Times New Roman" w:eastAsia="Times New Roman"/>
                <w:b w:val="0"/>
                <w:sz w:val="17"/>
              </w:rPr>
              <w:t>Réduction de volume lors de l’humidification sous charge</w:t>
            </w:r>
          </w:p>
        </w:tc>
        <w:tc>
          <w:tcPr>
            <w:tcW w:type="dxa" w:w="3628"/>
            <w:vAlign w:val="center"/>
            <w:shd w:fill="F3F6F8"/>
          </w:tcPr>
          <w:p>
            <w:pPr>
              <w:spacing w:after="30"/>
            </w:pPr>
            <w:r>
              <w:rPr>
                <w:rFonts w:ascii="Times New Roman" w:hAnsi="Times New Roman" w:cs="Times New Roman" w:eastAsia="Times New Roman"/>
                <w:b w:val="0"/>
                <w:sz w:val="17"/>
              </w:rPr>
              <w:t>Structure du dépôt, densité, essai œdométrique d’imbibition et étendue du phénomène</w:t>
            </w:r>
          </w:p>
        </w:tc>
      </w:tr>
      <w:tr>
        <w:trPr>
          <w:cantSplit/>
        </w:trPr>
        <w:tc>
          <w:tcPr>
            <w:tcW w:type="dxa" w:w="1814"/>
            <w:vAlign w:val="center"/>
          </w:tcPr>
          <w:p>
            <w:pPr>
              <w:spacing w:after="30"/>
            </w:pPr>
            <w:r>
              <w:rPr>
                <w:rFonts w:ascii="Times New Roman" w:hAnsi="Times New Roman" w:cs="Times New Roman" w:eastAsia="Times New Roman"/>
                <w:b w:val="0"/>
                <w:sz w:val="17"/>
              </w:rPr>
              <w:t>Dispersion et suffusion</w:t>
            </w:r>
          </w:p>
        </w:tc>
        <w:tc>
          <w:tcPr>
            <w:tcW w:type="dxa" w:w="3628"/>
            <w:vAlign w:val="center"/>
          </w:tcPr>
          <w:p>
            <w:pPr>
              <w:spacing w:after="30"/>
            </w:pPr>
            <w:r>
              <w:rPr>
                <w:rFonts w:ascii="Times New Roman" w:hAnsi="Times New Roman" w:cs="Times New Roman" w:eastAsia="Times New Roman"/>
                <w:b w:val="0"/>
                <w:sz w:val="17"/>
              </w:rPr>
              <w:t>Migration de particules sous écoulement</w:t>
            </w:r>
          </w:p>
        </w:tc>
        <w:tc>
          <w:tcPr>
            <w:tcW w:type="dxa" w:w="3628"/>
            <w:vAlign w:val="center"/>
          </w:tcPr>
          <w:p>
            <w:pPr>
              <w:spacing w:after="30"/>
            </w:pPr>
            <w:r>
              <w:rPr>
                <w:rFonts w:ascii="Times New Roman" w:hAnsi="Times New Roman" w:cs="Times New Roman" w:eastAsia="Times New Roman"/>
                <w:b w:val="0"/>
                <w:sz w:val="17"/>
              </w:rPr>
              <w:t>Granulométrie, chimie, filtres, gradients et preuves de transport</w:t>
            </w:r>
          </w:p>
        </w:tc>
      </w:tr>
      <w:tr>
        <w:trPr>
          <w:cantSplit/>
        </w:trPr>
        <w:tc>
          <w:tcPr>
            <w:tcW w:type="dxa" w:w="1814"/>
            <w:vAlign w:val="center"/>
            <w:shd w:fill="F3F6F8"/>
          </w:tcPr>
          <w:p>
            <w:pPr>
              <w:spacing w:after="30"/>
            </w:pPr>
            <w:r>
              <w:rPr>
                <w:rFonts w:ascii="Times New Roman" w:hAnsi="Times New Roman" w:cs="Times New Roman" w:eastAsia="Times New Roman"/>
                <w:b w:val="0"/>
                <w:sz w:val="17"/>
              </w:rPr>
              <w:t>Dissolution</w:t>
            </w:r>
          </w:p>
        </w:tc>
        <w:tc>
          <w:tcPr>
            <w:tcW w:type="dxa" w:w="3628"/>
            <w:vAlign w:val="center"/>
            <w:shd w:fill="F3F6F8"/>
          </w:tcPr>
          <w:p>
            <w:pPr>
              <w:spacing w:after="30"/>
            </w:pPr>
            <w:r>
              <w:rPr>
                <w:rFonts w:ascii="Times New Roman" w:hAnsi="Times New Roman" w:cs="Times New Roman" w:eastAsia="Times New Roman"/>
                <w:b w:val="0"/>
                <w:sz w:val="17"/>
              </w:rPr>
              <w:t>Pertes de masse et création de vides</w:t>
            </w:r>
          </w:p>
        </w:tc>
        <w:tc>
          <w:tcPr>
            <w:tcW w:type="dxa" w:w="3628"/>
            <w:vAlign w:val="center"/>
            <w:shd w:fill="F3F6F8"/>
          </w:tcPr>
          <w:p>
            <w:pPr>
              <w:spacing w:after="30"/>
            </w:pPr>
            <w:r>
              <w:rPr>
                <w:rFonts w:ascii="Times New Roman" w:hAnsi="Times New Roman" w:cs="Times New Roman" w:eastAsia="Times New Roman"/>
                <w:b w:val="0"/>
                <w:sz w:val="17"/>
              </w:rPr>
              <w:t>Lithologie, hydrochemie, discontinuités et évolution dans le temps</w:t>
            </w:r>
          </w:p>
        </w:tc>
      </w:tr>
      <w:tr>
        <w:trPr>
          <w:cantSplit/>
        </w:trPr>
        <w:tc>
          <w:tcPr>
            <w:tcW w:type="dxa" w:w="1814"/>
            <w:vAlign w:val="center"/>
          </w:tcPr>
          <w:p>
            <w:pPr>
              <w:spacing w:after="30"/>
            </w:pPr>
            <w:r>
              <w:rPr>
                <w:rFonts w:ascii="Times New Roman" w:hAnsi="Times New Roman" w:cs="Times New Roman" w:eastAsia="Times New Roman"/>
                <w:b w:val="0"/>
                <w:sz w:val="17"/>
              </w:rPr>
              <w:t>Compression de dépôts organiques</w:t>
            </w:r>
          </w:p>
        </w:tc>
        <w:tc>
          <w:tcPr>
            <w:tcW w:type="dxa" w:w="3628"/>
            <w:vAlign w:val="center"/>
          </w:tcPr>
          <w:p>
            <w:pPr>
              <w:spacing w:after="30"/>
            </w:pPr>
            <w:r>
              <w:rPr>
                <w:rFonts w:ascii="Times New Roman" w:hAnsi="Times New Roman" w:cs="Times New Roman" w:eastAsia="Times New Roman"/>
                <w:b w:val="0"/>
                <w:sz w:val="17"/>
              </w:rPr>
              <w:t>Déformations importantes et différées</w:t>
            </w:r>
          </w:p>
        </w:tc>
        <w:tc>
          <w:tcPr>
            <w:tcW w:type="dxa" w:w="3628"/>
            <w:vAlign w:val="center"/>
          </w:tcPr>
          <w:p>
            <w:pPr>
              <w:spacing w:after="30"/>
            </w:pPr>
            <w:r>
              <w:rPr>
                <w:rFonts w:ascii="Times New Roman" w:hAnsi="Times New Roman" w:cs="Times New Roman" w:eastAsia="Times New Roman"/>
                <w:b w:val="0"/>
                <w:sz w:val="17"/>
              </w:rPr>
              <w:t>Identification, épaisseur, teneur en eau, compressibilité et consolidation</w:t>
            </w:r>
          </w:p>
        </w:tc>
      </w:tr>
    </w:tbl>
    <w:p>
      <w:pPr>
        <w:spacing w:after="20"/>
      </w:pPr>
    </w:p>
    <w:p>
      <w:pPr>
        <w:pStyle w:val="Heading2"/>
      </w:pPr>
      <w:r>
        <w:rPr>
          <w:rFonts w:ascii="Times New Roman" w:hAnsi="Times New Roman" w:cs="Times New Roman" w:eastAsia="Times New Roman"/>
          <w:b/>
          <w:color w:val="1F4E79"/>
          <w:sz w:val="24"/>
        </w:rPr>
        <w:t>II.8 Intégration et contrôle du modèle</w:t>
      </w:r>
    </w:p>
    <w:p>
      <w:pPr>
        <w:jc w:val="both"/>
      </w:pPr>
      <w:r>
        <w:rPr>
          <w:rFonts w:ascii="Times New Roman" w:hAnsi="Times New Roman" w:cs="Times New Roman" w:eastAsia="Times New Roman"/>
          <w:b w:val="0"/>
          <w:sz w:val="24"/>
        </w:rPr>
        <w:t>La cohérence du modèle est testée par recoupement. Une couche identifiée au sondage doit être comparée aux profils de pénétration et aux observations géophysiques ; une nappe interprétée doit être compatible avec la topographie et le régime du cours d’eau ; une hypothèse de mobilité du lit doit être confrontée à l’historique.</w:t>
      </w:r>
    </w:p>
    <w:p>
      <w:pPr>
        <w:jc w:val="both"/>
      </w:pPr>
      <w:r>
        <w:rPr>
          <w:rFonts w:ascii="Times New Roman" w:hAnsi="Times New Roman" w:cs="Times New Roman" w:eastAsia="Times New Roman"/>
          <w:b w:val="0"/>
          <w:sz w:val="24"/>
        </w:rPr>
        <w:t>Les désaccords ne sont pas des défauts à masquer. Ils signalent une variabilité, une erreur de méthode ou une interprétation à revoir. Le rapport doit conserver ces éléments et indiquer les investigations qui permettraient de les résoudre.</w:t>
      </w:r>
    </w:p>
    <w:p>
      <w:bookmarkStart w:id="48" w:name="BM_TABII_7"/>
      <w:pPr>
        <w:keepNext/>
        <w:jc w:val="center"/>
      </w:pPr>
      <w:r>
        <w:rPr>
          <w:rFonts w:ascii="Times New Roman" w:hAnsi="Times New Roman" w:cs="Times New Roman" w:eastAsia="Times New Roman"/>
          <w:b/>
          <w:sz w:val="20"/>
        </w:rPr>
        <w:t>Tableau II.7 — Exemples de contrôles croisés du modèle de site</w:t>
      </w:r>
      <w:bookmarkEnd w:id="48"/>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Contrôle</w:t>
            </w:r>
          </w:p>
        </w:tc>
        <w:tc>
          <w:tcPr>
            <w:tcW w:type="dxa" w:w="3628"/>
            <w:vAlign w:val="center"/>
            <w:shd w:fill="1F4E79"/>
          </w:tcPr>
          <w:p>
            <w:pPr>
              <w:spacing w:after="30"/>
            </w:pPr>
            <w:r>
              <w:rPr>
                <w:rFonts w:ascii="Times New Roman" w:hAnsi="Times New Roman" w:cs="Times New Roman" w:eastAsia="Times New Roman"/>
                <w:b/>
                <w:color w:val="FFFFFF"/>
                <w:sz w:val="17"/>
              </w:rPr>
              <w:t>Cohérence recherchée</w:t>
            </w:r>
          </w:p>
        </w:tc>
        <w:tc>
          <w:tcPr>
            <w:tcW w:type="dxa" w:w="3628"/>
            <w:vAlign w:val="center"/>
            <w:shd w:fill="1F4E79"/>
          </w:tcPr>
          <w:p>
            <w:pPr>
              <w:spacing w:after="30"/>
            </w:pPr>
            <w:r>
              <w:rPr>
                <w:rFonts w:ascii="Times New Roman" w:hAnsi="Times New Roman" w:cs="Times New Roman" w:eastAsia="Times New Roman"/>
                <w:b/>
                <w:color w:val="FFFFFF"/>
                <w:sz w:val="17"/>
              </w:rPr>
              <w:t>Réponse en cas de divergence</w:t>
            </w:r>
          </w:p>
        </w:tc>
      </w:tr>
      <w:tr>
        <w:trPr>
          <w:cantSplit/>
        </w:trPr>
        <w:tc>
          <w:tcPr>
            <w:tcW w:type="dxa" w:w="1814"/>
            <w:vAlign w:val="center"/>
          </w:tcPr>
          <w:p>
            <w:pPr>
              <w:spacing w:after="30"/>
            </w:pPr>
            <w:r>
              <w:rPr>
                <w:rFonts w:ascii="Times New Roman" w:hAnsi="Times New Roman" w:cs="Times New Roman" w:eastAsia="Times New Roman"/>
                <w:b w:val="0"/>
                <w:sz w:val="17"/>
              </w:rPr>
              <w:t>Sondages et CPT</w:t>
            </w:r>
          </w:p>
        </w:tc>
        <w:tc>
          <w:tcPr>
            <w:tcW w:type="dxa" w:w="3628"/>
            <w:vAlign w:val="center"/>
          </w:tcPr>
          <w:p>
            <w:pPr>
              <w:spacing w:after="30"/>
            </w:pPr>
            <w:r>
              <w:rPr>
                <w:rFonts w:ascii="Times New Roman" w:hAnsi="Times New Roman" w:cs="Times New Roman" w:eastAsia="Times New Roman"/>
                <w:b w:val="0"/>
                <w:sz w:val="17"/>
              </w:rPr>
              <w:t>Limites de couches et variations de résistance</w:t>
            </w:r>
          </w:p>
        </w:tc>
        <w:tc>
          <w:tcPr>
            <w:tcW w:type="dxa" w:w="3628"/>
            <w:vAlign w:val="center"/>
          </w:tcPr>
          <w:p>
            <w:pPr>
              <w:spacing w:after="30"/>
            </w:pPr>
            <w:r>
              <w:rPr>
                <w:rFonts w:ascii="Times New Roman" w:hAnsi="Times New Roman" w:cs="Times New Roman" w:eastAsia="Times New Roman"/>
                <w:b w:val="0"/>
                <w:sz w:val="17"/>
              </w:rPr>
              <w:t>Vérifier position, interprétation et représentativité des échantillons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Géophysique et forages</w:t>
            </w:r>
          </w:p>
        </w:tc>
        <w:tc>
          <w:tcPr>
            <w:tcW w:type="dxa" w:w="3628"/>
            <w:vAlign w:val="center"/>
            <w:shd w:fill="F3F6F8"/>
          </w:tcPr>
          <w:p>
            <w:pPr>
              <w:spacing w:after="30"/>
            </w:pPr>
            <w:r>
              <w:rPr>
                <w:rFonts w:ascii="Times New Roman" w:hAnsi="Times New Roman" w:cs="Times New Roman" w:eastAsia="Times New Roman"/>
                <w:b w:val="0"/>
                <w:sz w:val="17"/>
              </w:rPr>
              <w:t>Correspondance entre anomalies et matériaux</w:t>
            </w:r>
          </w:p>
        </w:tc>
        <w:tc>
          <w:tcPr>
            <w:tcW w:type="dxa" w:w="3628"/>
            <w:vAlign w:val="center"/>
            <w:shd w:fill="F3F6F8"/>
          </w:tcPr>
          <w:p>
            <w:pPr>
              <w:spacing w:after="30"/>
            </w:pPr>
            <w:r>
              <w:rPr>
                <w:rFonts w:ascii="Times New Roman" w:hAnsi="Times New Roman" w:cs="Times New Roman" w:eastAsia="Times New Roman"/>
                <w:b w:val="0"/>
                <w:sz w:val="17"/>
              </w:rPr>
              <w:t>Calibrer la méthode et revoir les hypothèses de contraste</w:t>
            </w:r>
          </w:p>
        </w:tc>
      </w:tr>
      <w:tr>
        <w:trPr>
          <w:cantSplit/>
        </w:trPr>
        <w:tc>
          <w:tcPr>
            <w:tcW w:type="dxa" w:w="1814"/>
            <w:vAlign w:val="center"/>
          </w:tcPr>
          <w:p>
            <w:pPr>
              <w:spacing w:after="30"/>
            </w:pPr>
            <w:r>
              <w:rPr>
                <w:rFonts w:ascii="Times New Roman" w:hAnsi="Times New Roman" w:cs="Times New Roman" w:eastAsia="Times New Roman"/>
                <w:b w:val="0"/>
                <w:sz w:val="17"/>
              </w:rPr>
              <w:t>Piézométrie et hydraulique</w:t>
            </w:r>
          </w:p>
        </w:tc>
        <w:tc>
          <w:tcPr>
            <w:tcW w:type="dxa" w:w="3628"/>
            <w:vAlign w:val="center"/>
          </w:tcPr>
          <w:p>
            <w:pPr>
              <w:spacing w:after="30"/>
            </w:pPr>
            <w:r>
              <w:rPr>
                <w:rFonts w:ascii="Times New Roman" w:hAnsi="Times New Roman" w:cs="Times New Roman" w:eastAsia="Times New Roman"/>
                <w:b w:val="0"/>
                <w:sz w:val="17"/>
              </w:rPr>
              <w:t>Relation entre nappe et cours d’eau</w:t>
            </w:r>
          </w:p>
        </w:tc>
        <w:tc>
          <w:tcPr>
            <w:tcW w:type="dxa" w:w="3628"/>
            <w:vAlign w:val="center"/>
          </w:tcPr>
          <w:p>
            <w:pPr>
              <w:spacing w:after="30"/>
            </w:pPr>
            <w:r>
              <w:rPr>
                <w:rFonts w:ascii="Times New Roman" w:hAnsi="Times New Roman" w:cs="Times New Roman" w:eastAsia="Times New Roman"/>
                <w:b w:val="0"/>
                <w:sz w:val="17"/>
              </w:rPr>
              <w:t>Prolonger le suivi et analyser les conditions aux limites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Géomorphologie et historique</w:t>
            </w:r>
          </w:p>
        </w:tc>
        <w:tc>
          <w:tcPr>
            <w:tcW w:type="dxa" w:w="3628"/>
            <w:vAlign w:val="center"/>
            <w:shd w:fill="F3F6F8"/>
          </w:tcPr>
          <w:p>
            <w:pPr>
              <w:spacing w:after="30"/>
            </w:pPr>
            <w:r>
              <w:rPr>
                <w:rFonts w:ascii="Times New Roman" w:hAnsi="Times New Roman" w:cs="Times New Roman" w:eastAsia="Times New Roman"/>
                <w:b w:val="0"/>
                <w:sz w:val="17"/>
              </w:rPr>
              <w:t>Évolution cohérente du lit et des berges</w:t>
            </w:r>
          </w:p>
        </w:tc>
        <w:tc>
          <w:tcPr>
            <w:tcW w:type="dxa" w:w="3628"/>
            <w:vAlign w:val="center"/>
            <w:shd w:fill="F3F6F8"/>
          </w:tcPr>
          <w:p>
            <w:pPr>
              <w:spacing w:after="30"/>
            </w:pPr>
            <w:r>
              <w:rPr>
                <w:rFonts w:ascii="Times New Roman" w:hAnsi="Times New Roman" w:cs="Times New Roman" w:eastAsia="Times New Roman"/>
                <w:b w:val="0"/>
                <w:sz w:val="17"/>
              </w:rPr>
              <w:t>Rechercher des dates et levés supplémentaires</w:t>
            </w:r>
          </w:p>
        </w:tc>
      </w:tr>
      <w:tr>
        <w:trPr>
          <w:cantSplit/>
        </w:trPr>
        <w:tc>
          <w:tcPr>
            <w:tcW w:type="dxa" w:w="1814"/>
            <w:vAlign w:val="center"/>
          </w:tcPr>
          <w:p>
            <w:pPr>
              <w:spacing w:after="30"/>
            </w:pPr>
            <w:r>
              <w:rPr>
                <w:rFonts w:ascii="Times New Roman" w:hAnsi="Times New Roman" w:cs="Times New Roman" w:eastAsia="Times New Roman"/>
                <w:b w:val="0"/>
                <w:sz w:val="17"/>
              </w:rPr>
              <w:t>Essais de laboratoire et in situ</w:t>
            </w:r>
          </w:p>
        </w:tc>
        <w:tc>
          <w:tcPr>
            <w:tcW w:type="dxa" w:w="3628"/>
            <w:vAlign w:val="center"/>
          </w:tcPr>
          <w:p>
            <w:pPr>
              <w:spacing w:after="30"/>
            </w:pPr>
            <w:r>
              <w:rPr>
                <w:rFonts w:ascii="Times New Roman" w:hAnsi="Times New Roman" w:cs="Times New Roman" w:eastAsia="Times New Roman"/>
                <w:b w:val="0"/>
                <w:sz w:val="17"/>
              </w:rPr>
              <w:t>Paramètres compatibles avec l’état du terrain</w:t>
            </w:r>
          </w:p>
        </w:tc>
        <w:tc>
          <w:tcPr>
            <w:tcW w:type="dxa" w:w="3628"/>
            <w:vAlign w:val="center"/>
          </w:tcPr>
          <w:p>
            <w:pPr>
              <w:spacing w:after="30"/>
            </w:pPr>
            <w:r>
              <w:rPr>
                <w:rFonts w:ascii="Times New Roman" w:hAnsi="Times New Roman" w:cs="Times New Roman" w:eastAsia="Times New Roman"/>
                <w:b w:val="0"/>
                <w:sz w:val="17"/>
              </w:rPr>
              <w:t>Examiner remaniement, échelle, drainage et corrélations</w:t>
            </w:r>
          </w:p>
        </w:tc>
      </w:tr>
    </w:tbl>
    <w:p>
      <w:pPr>
        <w:spacing w:after="20"/>
      </w:pPr>
    </w:p>
    <w:p>
      <w:pPr>
        <w:pStyle w:val="Heading2"/>
      </w:pPr>
      <w:r>
        <w:rPr>
          <w:rFonts w:ascii="Times New Roman" w:hAnsi="Times New Roman" w:cs="Times New Roman" w:eastAsia="Times New Roman"/>
          <w:b/>
          <w:color w:val="1F4E79"/>
          <w:sz w:val="24"/>
        </w:rPr>
        <w:t>II.9 Conclusion du chapitre</w:t>
      </w:r>
    </w:p>
    <w:p>
      <w:pPr>
        <w:jc w:val="both"/>
      </w:pPr>
      <w:r>
        <w:rPr>
          <w:rFonts w:ascii="Times New Roman" w:hAnsi="Times New Roman" w:cs="Times New Roman" w:eastAsia="Times New Roman"/>
          <w:b w:val="0"/>
          <w:sz w:val="24"/>
        </w:rPr>
        <w:t>Le modèle de site d’un pont associe géologie, géomorphologie, hydrogéologie, hydrologie, hydraulique et morphodynamique. Chaque composante possède ses méthodes et ses incertitudes. Leur intégration permet de passer d’une description statique du sol à une représentation des mécanismes qui peuvent affecter l’ouvrage pendant sa durée de vie.</w:t>
      </w:r>
    </w:p>
    <w:p>
      <w:pPr>
        <w:jc w:val="both"/>
      </w:pPr>
      <w:r>
        <w:rPr>
          <w:rFonts w:ascii="Times New Roman" w:hAnsi="Times New Roman" w:cs="Times New Roman" w:eastAsia="Times New Roman"/>
          <w:b w:val="0"/>
          <w:sz w:val="24"/>
        </w:rPr>
        <w:t>Cette représentation doit rester révisable. Les investigations sont choisies pour réduire les incertitudes qui gouvernent les décisions, et non pour produire une couverture uniforme sans hiérarchie. Le chapitre III applique ce principe à la sélection des sondages, des essais et des méthodes géophysiques.</w:t>
      </w:r>
    </w:p>
    <w:p>
      <w:pPr>
        <w:sectPr>
          <w:headerReference w:type="default" r:id="rId33"/>
          <w:footerReference w:type="default" r:id="rId34"/>
          <w:headerReference w:type="first" r:id="rId35"/>
          <w:footerReference w:type="first" r:id="rId36"/>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III — INVESTIGATIONS ET ESSAIS : PROGRAMME ADAPTATIF ET CHOIX DES MÉTHODES</w:t>
      </w:r>
    </w:p>
    <w:p>
      <w:pPr>
        <w:pStyle w:val="Heading2"/>
      </w:pPr>
      <w:r>
        <w:rPr>
          <w:rFonts w:ascii="Times New Roman" w:hAnsi="Times New Roman" w:cs="Times New Roman" w:eastAsia="Times New Roman"/>
          <w:b/>
          <w:color w:val="1F4E79"/>
          <w:sz w:val="24"/>
        </w:rPr>
        <w:t>III.1 Introduction</w:t>
      </w:r>
    </w:p>
    <w:p>
      <w:pPr>
        <w:jc w:val="both"/>
      </w:pPr>
      <w:r>
        <w:rPr>
          <w:rFonts w:ascii="Times New Roman" w:hAnsi="Times New Roman" w:cs="Times New Roman" w:eastAsia="Times New Roman"/>
          <w:b w:val="0"/>
          <w:sz w:val="24"/>
        </w:rPr>
        <w:t>Une campagne géotechnique transforme un modèle initial en un modèle mieux contraint. Sa valeur dépend moins du nombre d’opérations que de leur capacité à répondre aux questions du projet. Un forage bien placé peut résoudre une incertitude décisive ; une série d’essais sans objectif commun peut laisser intacte la principale lacune.</w:t>
      </w:r>
    </w:p>
    <w:p>
      <w:pPr>
        <w:jc w:val="both"/>
      </w:pPr>
      <w:r>
        <w:rPr>
          <w:rFonts w:ascii="Times New Roman" w:hAnsi="Times New Roman" w:cs="Times New Roman" w:eastAsia="Times New Roman"/>
          <w:b w:val="0"/>
          <w:sz w:val="24"/>
        </w:rPr>
        <w:t>La conception du programme associe donc les données existantes, les mécanismes redoutés, les paramètres de calcul et les contraintes d’exécution. Elle accepte l’itération : une anomalie ou une variabilité inattendue peut justifier des investigations supplémentaires, tandis qu’une cohérence démontrée peut éviter des opérations redondantes.</w:t>
      </w:r>
    </w:p>
    <w:p>
      <w:pPr>
        <w:jc w:val="both"/>
      </w:pPr>
      <w:r>
        <w:rPr>
          <w:rFonts w:ascii="Times New Roman" w:hAnsi="Times New Roman" w:cs="Times New Roman" w:eastAsia="Times New Roman"/>
          <w:b w:val="0"/>
          <w:sz w:val="24"/>
        </w:rPr>
        <w:t>Ce chapitre compare les principales méthodes sans créer de hiérarchie universelle. Les techniques sont choisies selon le sol, la profondeur, le paramètre recherché, la qualité attendue et les conditions d’accès.</w:t>
      </w:r>
    </w:p>
    <w:p>
      <w:pPr>
        <w:pStyle w:val="Heading2"/>
      </w:pPr>
      <w:r>
        <w:rPr>
          <w:rFonts w:ascii="Times New Roman" w:hAnsi="Times New Roman" w:cs="Times New Roman" w:eastAsia="Times New Roman"/>
          <w:b/>
          <w:color w:val="1F4E79"/>
          <w:sz w:val="24"/>
        </w:rPr>
        <w:t>III.2 Principes d’un programme adaptatif</w:t>
      </w:r>
    </w:p>
    <w:p>
      <w:pPr>
        <w:pStyle w:val="Heading3"/>
      </w:pPr>
      <w:r>
        <w:rPr>
          <w:rFonts w:ascii="Times New Roman" w:hAnsi="Times New Roman" w:cs="Times New Roman" w:eastAsia="Times New Roman"/>
          <w:b/>
          <w:color w:val="233741"/>
          <w:sz w:val="24"/>
        </w:rPr>
        <w:t>III.2.1 Partir des décisions à éclairer</w:t>
      </w:r>
    </w:p>
    <w:p>
      <w:pPr>
        <w:jc w:val="both"/>
      </w:pPr>
      <w:r>
        <w:rPr>
          <w:rFonts w:ascii="Times New Roman" w:hAnsi="Times New Roman" w:cs="Times New Roman" w:eastAsia="Times New Roman"/>
          <w:b w:val="0"/>
          <w:sz w:val="24"/>
        </w:rPr>
        <w:t>Avant de définir les investigations, le projet doit expliciter les décisions : emplacement des appuis, type de fondation, niveau d’ancrage, méthode d’exécution, protection contre l’affouillement, drainage, traitement de sol ou instrumentation. Chaque décision est reliée aux informations nécessaires et au niveau de confiance requis.</w:t>
      </w:r>
    </w:p>
    <w:p>
      <w:pPr>
        <w:jc w:val="both"/>
      </w:pPr>
      <w:r>
        <w:rPr>
          <w:rFonts w:ascii="Times New Roman" w:hAnsi="Times New Roman" w:cs="Times New Roman" w:eastAsia="Times New Roman"/>
          <w:b w:val="0"/>
          <w:sz w:val="24"/>
        </w:rPr>
        <w:t>Une semelle superficielle demande notamment de connaître la résistance et la compressibilité de la zone influencée, la nappe et la géométrie après érosion. Un pieu foré exige des informations sur les couches traversées, la tenue du forage, les paramètres de frottement et de pointe, ainsi que les conditions de bétonnage. Une analyse de liquéfaction nécessite des données adaptées au dépistage et à la réponse du site.</w:t>
      </w:r>
    </w:p>
    <w:p>
      <w:pPr>
        <w:jc w:val="both"/>
      </w:pPr>
      <w:r>
        <w:rPr>
          <w:rFonts w:ascii="Times New Roman" w:hAnsi="Times New Roman" w:cs="Times New Roman" w:eastAsia="Times New Roman"/>
          <w:b w:val="0"/>
          <w:sz w:val="24"/>
        </w:rPr>
        <w:t>Cette logique évite de confondre une mission géotechnique avec une quantité forfaitaire de sondages. La NF P94-500 structure des missions et des responsabilités dans son domaine (AFNOR, 2013) ; elle ne fournit pas une règle universelle de densité d’investigation pour tous les ponts. L’Eurocode 7 exige que les investigations soient adaptées aux situations de projet et aux performances à vérifier (CEN, 2004, 2007).</w:t>
      </w:r>
    </w:p>
    <w:p>
      <w:pPr>
        <w:pStyle w:val="Heading3"/>
      </w:pPr>
      <w:r>
        <w:rPr>
          <w:rFonts w:ascii="Times New Roman" w:hAnsi="Times New Roman" w:cs="Times New Roman" w:eastAsia="Times New Roman"/>
          <w:b/>
          <w:color w:val="233741"/>
          <w:sz w:val="24"/>
        </w:rPr>
        <w:t>III.2.2 Couverture spatiale et échelle des appuis</w:t>
      </w:r>
    </w:p>
    <w:p>
      <w:pPr>
        <w:jc w:val="both"/>
      </w:pPr>
      <w:r>
        <w:rPr>
          <w:rFonts w:ascii="Times New Roman" w:hAnsi="Times New Roman" w:cs="Times New Roman" w:eastAsia="Times New Roman"/>
          <w:b w:val="0"/>
          <w:sz w:val="24"/>
        </w:rPr>
        <w:t>Le programme doit couvrir le corridor, les accès et chaque appui par des données représentatives. Cette exigence ne se traduit pas automatiquement par un nombre fixe de forages par pile. Dans un site homogène et bien démontré, certaines investigations peuvent être mutualisées ; dans une vallée variable, un karst ou une zone de remblais, une investigation directe et différenciée à chaque appui peut être nécessaire.</w:t>
      </w:r>
    </w:p>
    <w:p>
      <w:pPr>
        <w:jc w:val="both"/>
      </w:pPr>
      <w:r>
        <w:rPr>
          <w:rFonts w:ascii="Times New Roman" w:hAnsi="Times New Roman" w:cs="Times New Roman" w:eastAsia="Times New Roman"/>
          <w:b w:val="0"/>
          <w:sz w:val="24"/>
        </w:rPr>
        <w:t>La disposition tient compte des axes de variation : traversée du chenal, distance aux berges, limites de faciès, anomalies géophysiques, zones d’affouillement et contraintes d’exécution. Les points doivent être positionnés sans détruire l’information recherchée ni créer un risque pour le chantier.</w:t>
      </w:r>
    </w:p>
    <w:p>
      <w:pPr>
        <w:pStyle w:val="Heading3"/>
      </w:pPr>
      <w:r>
        <w:rPr>
          <w:rFonts w:ascii="Times New Roman" w:hAnsi="Times New Roman" w:cs="Times New Roman" w:eastAsia="Times New Roman"/>
          <w:b/>
          <w:color w:val="233741"/>
          <w:sz w:val="24"/>
        </w:rPr>
        <w:t>III.2.3 Profondeur et critères d’arrêt</w:t>
      </w:r>
    </w:p>
    <w:p>
      <w:pPr>
        <w:jc w:val="both"/>
      </w:pPr>
      <w:r>
        <w:rPr>
          <w:rFonts w:ascii="Times New Roman" w:hAnsi="Times New Roman" w:cs="Times New Roman" w:eastAsia="Times New Roman"/>
          <w:b w:val="0"/>
          <w:sz w:val="24"/>
        </w:rPr>
        <w:t>La profondeur n’est pas un multiple universel de la largeur de fondation ou de la portée. Elle doit atteindre les formations dont la résistance, la compressibilité ou l’évolution peut influencer la performance, et permettre d’examiner les mécanismes retenus. Elle dépend donc du type de fondation, de la zone d’influence, de la géologie et des incertitudes restantes.</w:t>
      </w:r>
    </w:p>
    <w:p>
      <w:pPr>
        <w:jc w:val="both"/>
      </w:pPr>
      <w:r>
        <w:rPr>
          <w:rFonts w:ascii="Times New Roman" w:hAnsi="Times New Roman" w:cs="Times New Roman" w:eastAsia="Times New Roman"/>
          <w:b w:val="0"/>
          <w:sz w:val="24"/>
        </w:rPr>
        <w:t>Les critères d’arrêt sont définis avant la campagne, avec une possibilité d’adaptation documentée. L’atteinte d’un niveau supposé « compétent » ne suffit pas si sa continuité, son altération ou la présence de cavités reste inconnue. À l’inverse, prolonger sans objectif dans une formation bien caractérisée apporte peu d’information.</w:t>
      </w:r>
    </w:p>
    <w:p>
      <w:pPr>
        <w:keepNext/>
        <w:jc w:val="center"/>
      </w:pPr>
      <w:r>
        <w:drawing>
          <wp:inline xmlns:a="http://schemas.openxmlformats.org/drawingml/2006/main" xmlns:pic="http://schemas.openxmlformats.org/drawingml/2006/picture">
            <wp:extent cx="5760000" cy="2610980"/>
            <wp:docPr id="25" name="Picture 25"/>
            <wp:cNvGraphicFramePr>
              <a:graphicFrameLocks noChangeAspect="1"/>
            </wp:cNvGraphicFramePr>
            <a:graphic>
              <a:graphicData uri="http://schemas.openxmlformats.org/drawingml/2006/picture">
                <pic:pic>
                  <pic:nvPicPr>
                    <pic:cNvPr id="0" name="investigation_workflow.png"/>
                    <pic:cNvPicPr/>
                  </pic:nvPicPr>
                  <pic:blipFill>
                    <a:blip r:embed="rId51"/>
                    <a:stretch>
                      <a:fillRect/>
                    </a:stretch>
                  </pic:blipFill>
                  <pic:spPr>
                    <a:xfrm>
                      <a:off x="0" y="0"/>
                      <a:ext cx="5760000" cy="2610980"/>
                    </a:xfrm>
                    <a:prstGeom prst="rect"/>
                  </pic:spPr>
                </pic:pic>
              </a:graphicData>
            </a:graphic>
          </wp:inline>
        </w:drawing>
      </w:r>
    </w:p>
    <w:p>
      <w:bookmarkStart w:id="49" w:name="BM_FIGIII_1"/>
      <w:pPr>
        <w:jc w:val="center"/>
      </w:pPr>
      <w:r>
        <w:rPr>
          <w:rFonts w:ascii="Times New Roman" w:hAnsi="Times New Roman" w:cs="Times New Roman" w:eastAsia="Times New Roman"/>
          <w:b/>
          <w:sz w:val="20"/>
        </w:rPr>
        <w:t>Figure III.1 — Programme de reconnaissance adaptatif, de la revue documentaire à la décision</w:t>
      </w:r>
      <w:bookmarkEnd w:id="49"/>
    </w:p>
    <w:p>
      <w:pPr>
        <w:jc w:val="right"/>
      </w:pPr>
      <w:r>
        <w:rPr>
          <w:rFonts w:ascii="Times New Roman" w:hAnsi="Times New Roman" w:cs="Times New Roman" w:eastAsia="Times New Roman"/>
          <w:b w:val="0"/>
          <w:color w:val="59636B"/>
          <w:sz w:val="20"/>
        </w:rPr>
        <w:t>Source : schéma original de synthèse d’après les principes de CEN (2004, 2007) et FHWA (2016a).</w:t>
      </w:r>
    </w:p>
    <w:p>
      <w:bookmarkStart w:id="50" w:name="BM_TABIII_1"/>
      <w:pPr>
        <w:keepNext/>
        <w:jc w:val="center"/>
      </w:pPr>
      <w:r>
        <w:rPr>
          <w:rFonts w:ascii="Times New Roman" w:hAnsi="Times New Roman" w:cs="Times New Roman" w:eastAsia="Times New Roman"/>
          <w:b/>
          <w:sz w:val="20"/>
        </w:rPr>
        <w:t>Tableau III.1 — Questions de projet et investigations possibles</w:t>
      </w:r>
      <w:bookmarkEnd w:id="50"/>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3024"/>
            <w:vAlign w:val="center"/>
            <w:shd w:fill="1F4E79"/>
          </w:tcPr>
          <w:p>
            <w:pPr>
              <w:spacing w:after="30"/>
            </w:pPr>
            <w:r>
              <w:rPr>
                <w:rFonts w:ascii="Times New Roman" w:hAnsi="Times New Roman" w:cs="Times New Roman" w:eastAsia="Times New Roman"/>
                <w:b/>
                <w:color w:val="FFFFFF"/>
                <w:sz w:val="17"/>
              </w:rPr>
              <w:t>Question à résoudre</w:t>
            </w:r>
          </w:p>
        </w:tc>
        <w:tc>
          <w:tcPr>
            <w:tcW w:type="dxa" w:w="3024"/>
            <w:vAlign w:val="center"/>
            <w:shd w:fill="1F4E79"/>
          </w:tcPr>
          <w:p>
            <w:pPr>
              <w:spacing w:after="30"/>
            </w:pPr>
            <w:r>
              <w:rPr>
                <w:rFonts w:ascii="Times New Roman" w:hAnsi="Times New Roman" w:cs="Times New Roman" w:eastAsia="Times New Roman"/>
                <w:b/>
                <w:color w:val="FFFFFF"/>
                <w:sz w:val="17"/>
              </w:rPr>
              <w:t>Investigations candidates</w:t>
            </w:r>
          </w:p>
        </w:tc>
        <w:tc>
          <w:tcPr>
            <w:tcW w:type="dxa" w:w="3024"/>
            <w:vAlign w:val="center"/>
            <w:shd w:fill="1F4E79"/>
          </w:tcPr>
          <w:p>
            <w:pPr>
              <w:spacing w:after="30"/>
            </w:pPr>
            <w:r>
              <w:rPr>
                <w:rFonts w:ascii="Times New Roman" w:hAnsi="Times New Roman" w:cs="Times New Roman" w:eastAsia="Times New Roman"/>
                <w:b/>
                <w:color w:val="FFFFFF"/>
                <w:sz w:val="17"/>
              </w:rPr>
              <w:t>Condition d’utilité</w:t>
            </w:r>
          </w:p>
        </w:tc>
      </w:tr>
      <w:tr>
        <w:trPr>
          <w:cantSplit/>
        </w:trPr>
        <w:tc>
          <w:tcPr>
            <w:tcW w:type="dxa" w:w="3024"/>
            <w:vAlign w:val="center"/>
          </w:tcPr>
          <w:p>
            <w:pPr>
              <w:spacing w:after="30"/>
            </w:pPr>
            <w:r>
              <w:rPr>
                <w:rFonts w:ascii="Times New Roman" w:hAnsi="Times New Roman" w:cs="Times New Roman" w:eastAsia="Times New Roman"/>
                <w:b w:val="0"/>
                <w:sz w:val="17"/>
              </w:rPr>
              <w:t>Où sont les limites de faciès ?</w:t>
            </w:r>
          </w:p>
        </w:tc>
        <w:tc>
          <w:tcPr>
            <w:tcW w:type="dxa" w:w="3024"/>
            <w:vAlign w:val="center"/>
          </w:tcPr>
          <w:p>
            <w:pPr>
              <w:spacing w:after="30"/>
            </w:pPr>
            <w:r>
              <w:rPr>
                <w:rFonts w:ascii="Times New Roman" w:hAnsi="Times New Roman" w:cs="Times New Roman" w:eastAsia="Times New Roman"/>
                <w:b w:val="0"/>
                <w:sz w:val="17"/>
              </w:rPr>
              <w:t>Sondages, CPT, géophysique et observations géologiques</w:t>
            </w:r>
          </w:p>
        </w:tc>
        <w:tc>
          <w:tcPr>
            <w:tcW w:type="dxa" w:w="3024"/>
            <w:vAlign w:val="center"/>
          </w:tcPr>
          <w:p>
            <w:pPr>
              <w:spacing w:after="30"/>
            </w:pPr>
            <w:r>
              <w:rPr>
                <w:rFonts w:ascii="Times New Roman" w:hAnsi="Times New Roman" w:cs="Times New Roman" w:eastAsia="Times New Roman"/>
                <w:b w:val="0"/>
                <w:sz w:val="17"/>
              </w:rPr>
              <w:t>Calibrage et positionnement le long des gradients de variation</w:t>
            </w:r>
          </w:p>
        </w:tc>
      </w:tr>
      <w:tr>
        <w:trPr>
          <w:cantSplit/>
        </w:trPr>
        <w:tc>
          <w:tcPr>
            <w:tcW w:type="dxa" w:w="3024"/>
            <w:vAlign w:val="center"/>
            <w:shd w:fill="F3F6F8"/>
          </w:tcPr>
          <w:p>
            <w:pPr>
              <w:spacing w:after="30"/>
            </w:pPr>
            <w:r>
              <w:rPr>
                <w:rFonts w:ascii="Times New Roman" w:hAnsi="Times New Roman" w:cs="Times New Roman" w:eastAsia="Times New Roman"/>
                <w:b w:val="0"/>
                <w:sz w:val="17"/>
              </w:rPr>
              <w:t>Quelle est la compressibilité sous les appuis ?</w:t>
            </w:r>
          </w:p>
        </w:tc>
        <w:tc>
          <w:tcPr>
            <w:tcW w:type="dxa" w:w="3024"/>
            <w:vAlign w:val="center"/>
            <w:shd w:fill="F3F6F8"/>
          </w:tcPr>
          <w:p>
            <w:pPr>
              <w:spacing w:after="30"/>
            </w:pPr>
            <w:r>
              <w:rPr>
                <w:rFonts w:ascii="Times New Roman" w:hAnsi="Times New Roman" w:cs="Times New Roman" w:eastAsia="Times New Roman"/>
                <w:b w:val="0"/>
                <w:sz w:val="17"/>
              </w:rPr>
              <w:t>Échantillons de qualité, œdomètre, triaxial et essais de déformation in situ</w:t>
            </w:r>
          </w:p>
        </w:tc>
        <w:tc>
          <w:tcPr>
            <w:tcW w:type="dxa" w:w="3024"/>
            <w:vAlign w:val="center"/>
            <w:shd w:fill="F3F6F8"/>
          </w:tcPr>
          <w:p>
            <w:pPr>
              <w:spacing w:after="30"/>
            </w:pPr>
            <w:r>
              <w:rPr>
                <w:rFonts w:ascii="Times New Roman" w:hAnsi="Times New Roman" w:cs="Times New Roman" w:eastAsia="Times New Roman"/>
                <w:b w:val="0"/>
                <w:sz w:val="17"/>
              </w:rPr>
              <w:t>Drainage, niveaux de contrainte et représentativité maîtrisés</w:t>
            </w:r>
          </w:p>
        </w:tc>
      </w:tr>
      <w:tr>
        <w:trPr>
          <w:cantSplit/>
        </w:trPr>
        <w:tc>
          <w:tcPr>
            <w:tcW w:type="dxa" w:w="3024"/>
            <w:vAlign w:val="center"/>
          </w:tcPr>
          <w:p>
            <w:pPr>
              <w:spacing w:after="30"/>
            </w:pPr>
            <w:r>
              <w:rPr>
                <w:rFonts w:ascii="Times New Roman" w:hAnsi="Times New Roman" w:cs="Times New Roman" w:eastAsia="Times New Roman"/>
                <w:b w:val="0"/>
                <w:sz w:val="17"/>
              </w:rPr>
              <w:t>Quel est le niveau d’ancrage possible ?</w:t>
            </w:r>
          </w:p>
        </w:tc>
        <w:tc>
          <w:tcPr>
            <w:tcW w:type="dxa" w:w="3024"/>
            <w:vAlign w:val="center"/>
          </w:tcPr>
          <w:p>
            <w:pPr>
              <w:spacing w:after="30"/>
            </w:pPr>
            <w:r>
              <w:rPr>
                <w:rFonts w:ascii="Times New Roman" w:hAnsi="Times New Roman" w:cs="Times New Roman" w:eastAsia="Times New Roman"/>
                <w:b w:val="0"/>
                <w:sz w:val="17"/>
              </w:rPr>
              <w:t>Sondages continus, essais de pénétration et description du substratum</w:t>
            </w:r>
          </w:p>
        </w:tc>
        <w:tc>
          <w:tcPr>
            <w:tcW w:type="dxa" w:w="3024"/>
            <w:vAlign w:val="center"/>
          </w:tcPr>
          <w:p>
            <w:pPr>
              <w:spacing w:after="30"/>
            </w:pPr>
            <w:r>
              <w:rPr>
                <w:rFonts w:ascii="Times New Roman" w:hAnsi="Times New Roman" w:cs="Times New Roman" w:eastAsia="Times New Roman"/>
                <w:b w:val="0"/>
                <w:sz w:val="17"/>
              </w:rPr>
              <w:t>Critères d’arrêt reliés au mécanisme de fondation</w:t>
            </w:r>
          </w:p>
        </w:tc>
      </w:tr>
      <w:tr>
        <w:trPr>
          <w:cantSplit/>
        </w:trPr>
        <w:tc>
          <w:tcPr>
            <w:tcW w:type="dxa" w:w="3024"/>
            <w:vAlign w:val="center"/>
            <w:shd w:fill="F3F6F8"/>
          </w:tcPr>
          <w:p>
            <w:pPr>
              <w:spacing w:after="30"/>
            </w:pPr>
            <w:r>
              <w:rPr>
                <w:rFonts w:ascii="Times New Roman" w:hAnsi="Times New Roman" w:cs="Times New Roman" w:eastAsia="Times New Roman"/>
                <w:b w:val="0"/>
                <w:sz w:val="17"/>
              </w:rPr>
              <w:t>Quelle est la géométrie future du lit ?</w:t>
            </w:r>
          </w:p>
        </w:tc>
        <w:tc>
          <w:tcPr>
            <w:tcW w:type="dxa" w:w="3024"/>
            <w:vAlign w:val="center"/>
            <w:shd w:fill="F3F6F8"/>
          </w:tcPr>
          <w:p>
            <w:pPr>
              <w:spacing w:after="30"/>
            </w:pPr>
            <w:r>
              <w:rPr>
                <w:rFonts w:ascii="Times New Roman" w:hAnsi="Times New Roman" w:cs="Times New Roman" w:eastAsia="Times New Roman"/>
                <w:b w:val="0"/>
                <w:sz w:val="17"/>
              </w:rPr>
              <w:t>Hydrologie, hydraulique, bathymétrie, historique et transport solide</w:t>
            </w:r>
          </w:p>
        </w:tc>
        <w:tc>
          <w:tcPr>
            <w:tcW w:type="dxa" w:w="3024"/>
            <w:vAlign w:val="center"/>
            <w:shd w:fill="F3F6F8"/>
          </w:tcPr>
          <w:p>
            <w:pPr>
              <w:spacing w:after="30"/>
            </w:pPr>
            <w:r>
              <w:rPr>
                <w:rFonts w:ascii="Times New Roman" w:hAnsi="Times New Roman" w:cs="Times New Roman" w:eastAsia="Times New Roman"/>
                <w:b w:val="0"/>
                <w:sz w:val="17"/>
              </w:rPr>
              <w:t>Analyse au-delà de l’emprise immédiate du pont</w:t>
            </w:r>
          </w:p>
        </w:tc>
      </w:tr>
      <w:tr>
        <w:trPr>
          <w:cantSplit/>
        </w:trPr>
        <w:tc>
          <w:tcPr>
            <w:tcW w:type="dxa" w:w="3024"/>
            <w:vAlign w:val="center"/>
          </w:tcPr>
          <w:p>
            <w:pPr>
              <w:spacing w:after="30"/>
            </w:pPr>
            <w:r>
              <w:rPr>
                <w:rFonts w:ascii="Times New Roman" w:hAnsi="Times New Roman" w:cs="Times New Roman" w:eastAsia="Times New Roman"/>
                <w:b w:val="0"/>
                <w:sz w:val="17"/>
              </w:rPr>
              <w:t>Une anomalie est-elle une cavité ?</w:t>
            </w:r>
          </w:p>
        </w:tc>
        <w:tc>
          <w:tcPr>
            <w:tcW w:type="dxa" w:w="3024"/>
            <w:vAlign w:val="center"/>
          </w:tcPr>
          <w:p>
            <w:pPr>
              <w:spacing w:after="30"/>
            </w:pPr>
            <w:r>
              <w:rPr>
                <w:rFonts w:ascii="Times New Roman" w:hAnsi="Times New Roman" w:cs="Times New Roman" w:eastAsia="Times New Roman"/>
                <w:b w:val="0"/>
                <w:sz w:val="17"/>
              </w:rPr>
              <w:t>Recoupement géologique, géophysique et sondage ciblé</w:t>
            </w:r>
          </w:p>
        </w:tc>
        <w:tc>
          <w:tcPr>
            <w:tcW w:type="dxa" w:w="3024"/>
            <w:vAlign w:val="center"/>
          </w:tcPr>
          <w:p>
            <w:pPr>
              <w:spacing w:after="30"/>
            </w:pPr>
            <w:r>
              <w:rPr>
                <w:rFonts w:ascii="Times New Roman" w:hAnsi="Times New Roman" w:cs="Times New Roman" w:eastAsia="Times New Roman"/>
                <w:b w:val="0"/>
                <w:sz w:val="17"/>
              </w:rPr>
              <w:t>Non-unicité de l’anomalie explicitement testée</w:t>
            </w:r>
          </w:p>
        </w:tc>
      </w:tr>
      <w:tr>
        <w:trPr>
          <w:cantSplit/>
        </w:trPr>
        <w:tc>
          <w:tcPr>
            <w:tcW w:type="dxa" w:w="3024"/>
            <w:vAlign w:val="center"/>
            <w:shd w:fill="F3F6F8"/>
          </w:tcPr>
          <w:p>
            <w:pPr>
              <w:spacing w:after="30"/>
            </w:pPr>
            <w:r>
              <w:rPr>
                <w:rFonts w:ascii="Times New Roman" w:hAnsi="Times New Roman" w:cs="Times New Roman" w:eastAsia="Times New Roman"/>
                <w:b w:val="0"/>
                <w:sz w:val="17"/>
              </w:rPr>
              <w:t>Le terrain peut-il liquéfier ?</w:t>
            </w:r>
          </w:p>
        </w:tc>
        <w:tc>
          <w:tcPr>
            <w:tcW w:type="dxa" w:w="3024"/>
            <w:vAlign w:val="center"/>
            <w:shd w:fill="F3F6F8"/>
          </w:tcPr>
          <w:p>
            <w:pPr>
              <w:spacing w:after="30"/>
            </w:pPr>
            <w:r>
              <w:rPr>
                <w:rFonts w:ascii="Times New Roman" w:hAnsi="Times New Roman" w:cs="Times New Roman" w:eastAsia="Times New Roman"/>
                <w:b w:val="0"/>
                <w:sz w:val="17"/>
              </w:rPr>
              <w:t>SPT, CPT/CPTu, Vs, granulométrie, nappe et sollicitation sismique</w:t>
            </w:r>
          </w:p>
        </w:tc>
        <w:tc>
          <w:tcPr>
            <w:tcW w:type="dxa" w:w="3024"/>
            <w:vAlign w:val="center"/>
            <w:shd w:fill="F3F6F8"/>
          </w:tcPr>
          <w:p>
            <w:pPr>
              <w:spacing w:after="30"/>
            </w:pPr>
            <w:r>
              <w:rPr>
                <w:rFonts w:ascii="Times New Roman" w:hAnsi="Times New Roman" w:cs="Times New Roman" w:eastAsia="Times New Roman"/>
                <w:b w:val="0"/>
                <w:sz w:val="17"/>
              </w:rPr>
              <w:t>Corrections et domaine de validité de la méthode respectés</w:t>
            </w:r>
          </w:p>
        </w:tc>
      </w:tr>
      <w:tr>
        <w:trPr>
          <w:cantSplit/>
        </w:trPr>
        <w:tc>
          <w:tcPr>
            <w:tcW w:type="dxa" w:w="3024"/>
            <w:vAlign w:val="center"/>
          </w:tcPr>
          <w:p>
            <w:pPr>
              <w:spacing w:after="30"/>
            </w:pPr>
            <w:r>
              <w:rPr>
                <w:rFonts w:ascii="Times New Roman" w:hAnsi="Times New Roman" w:cs="Times New Roman" w:eastAsia="Times New Roman"/>
                <w:b w:val="0"/>
                <w:sz w:val="17"/>
              </w:rPr>
              <w:t>Comment exécuter la fondation ?</w:t>
            </w:r>
          </w:p>
        </w:tc>
        <w:tc>
          <w:tcPr>
            <w:tcW w:type="dxa" w:w="3024"/>
            <w:vAlign w:val="center"/>
          </w:tcPr>
          <w:p>
            <w:pPr>
              <w:spacing w:after="30"/>
            </w:pPr>
            <w:r>
              <w:rPr>
                <w:rFonts w:ascii="Times New Roman" w:hAnsi="Times New Roman" w:cs="Times New Roman" w:eastAsia="Times New Roman"/>
                <w:b w:val="0"/>
                <w:sz w:val="17"/>
              </w:rPr>
              <w:t>Investigations de constructibilité, perméabilité, obstacles et essais de mise en œuvre</w:t>
            </w:r>
          </w:p>
        </w:tc>
        <w:tc>
          <w:tcPr>
            <w:tcW w:type="dxa" w:w="3024"/>
            <w:vAlign w:val="center"/>
          </w:tcPr>
          <w:p>
            <w:pPr>
              <w:spacing w:after="30"/>
            </w:pPr>
            <w:r>
              <w:rPr>
                <w:rFonts w:ascii="Times New Roman" w:hAnsi="Times New Roman" w:cs="Times New Roman" w:eastAsia="Times New Roman"/>
                <w:b w:val="0"/>
                <w:sz w:val="17"/>
              </w:rPr>
              <w:t>Méthode de chantier intégrée au programme</w:t>
            </w:r>
          </w:p>
        </w:tc>
      </w:tr>
    </w:tbl>
    <w:p>
      <w:pPr>
        <w:spacing w:after="20"/>
      </w:pPr>
    </w:p>
    <w:p>
      <w:pPr>
        <w:pStyle w:val="Heading2"/>
      </w:pPr>
      <w:r>
        <w:rPr>
          <w:rFonts w:ascii="Times New Roman" w:hAnsi="Times New Roman" w:cs="Times New Roman" w:eastAsia="Times New Roman"/>
          <w:b/>
          <w:color w:val="1F4E79"/>
          <w:sz w:val="24"/>
        </w:rPr>
        <w:t>III.3 Sondages, carottages et échantillonnage</w:t>
      </w:r>
    </w:p>
    <w:p>
      <w:pPr>
        <w:pStyle w:val="Heading3"/>
      </w:pPr>
      <w:r>
        <w:rPr>
          <w:rFonts w:ascii="Times New Roman" w:hAnsi="Times New Roman" w:cs="Times New Roman" w:eastAsia="Times New Roman"/>
          <w:b/>
          <w:color w:val="233741"/>
          <w:sz w:val="24"/>
        </w:rPr>
        <w:t>III.3.1 Objectifs des sondages</w:t>
      </w:r>
    </w:p>
    <w:p>
      <w:pPr>
        <w:jc w:val="both"/>
      </w:pPr>
      <w:r>
        <w:rPr>
          <w:rFonts w:ascii="Times New Roman" w:hAnsi="Times New Roman" w:cs="Times New Roman" w:eastAsia="Times New Roman"/>
          <w:b w:val="0"/>
          <w:sz w:val="24"/>
        </w:rPr>
        <w:t>Les sondages permettent d’identifier les formations, de prélever des échantillons, d’installer des essais et des instruments et de vérifier le modèle géologique. Leur mode d’exécution influence la qualité des résultats. Rotary, roto-percussion, tarière, carottage et méthodes en milieu aquatique présentent des avantages et des perturbations différents.</w:t>
      </w:r>
    </w:p>
    <w:p>
      <w:pPr>
        <w:jc w:val="both"/>
      </w:pPr>
      <w:r>
        <w:rPr>
          <w:rFonts w:ascii="Times New Roman" w:hAnsi="Times New Roman" w:cs="Times New Roman" w:eastAsia="Times New Roman"/>
          <w:b w:val="0"/>
          <w:sz w:val="24"/>
        </w:rPr>
        <w:t>Le log doit enregistrer la position, l’altitude, la date, la méthode, les diamètres, les avancements, les pertes de boue, les refus, les variations d’eau et les observations de l’opérateur. Une simple colonne lithologique sans ces informations ne permet pas d’évaluer la fiabilité de la reconnaissance.</w:t>
      </w:r>
    </w:p>
    <w:p>
      <w:pPr>
        <w:jc w:val="both"/>
      </w:pPr>
      <w:r>
        <w:rPr>
          <w:rFonts w:ascii="Times New Roman" w:hAnsi="Times New Roman" w:cs="Times New Roman" w:eastAsia="Times New Roman"/>
          <w:b w:val="0"/>
          <w:sz w:val="24"/>
        </w:rPr>
        <w:t>Dans le rocher, le carottage doit distinguer récupération totale et RQD, définis au chapitre II. La description des discontinuités est reliée à l’orientation du forage. Un forage vertical peut sous-représenter des familles de joints subverticales ; l’interprétation doit en tenir compte.</w:t>
      </w:r>
    </w:p>
    <w:p>
      <w:pPr>
        <w:pStyle w:val="Heading3"/>
      </w:pPr>
      <w:r>
        <w:rPr>
          <w:rFonts w:ascii="Times New Roman" w:hAnsi="Times New Roman" w:cs="Times New Roman" w:eastAsia="Times New Roman"/>
          <w:b/>
          <w:color w:val="233741"/>
          <w:sz w:val="24"/>
        </w:rPr>
        <w:t>III.3.2 Qualité des échantillons</w:t>
      </w:r>
    </w:p>
    <w:p>
      <w:pPr>
        <w:jc w:val="both"/>
      </w:pPr>
      <w:r>
        <w:rPr>
          <w:rFonts w:ascii="Times New Roman" w:hAnsi="Times New Roman" w:cs="Times New Roman" w:eastAsia="Times New Roman"/>
          <w:b w:val="0"/>
          <w:sz w:val="24"/>
        </w:rPr>
        <w:t>Un échantillon remanié peut convenir à l’identification, mais pas à la mesure directe de propriétés sensibles à la structure. La qualité requise dépend de l’essai : teneur en eau et granulométrie, classification, compressibilité ou résistance drainée ne font pas les mêmes exigences.</w:t>
      </w:r>
    </w:p>
    <w:p>
      <w:pPr>
        <w:jc w:val="both"/>
      </w:pPr>
      <w:r>
        <w:rPr>
          <w:rFonts w:ascii="Times New Roman" w:hAnsi="Times New Roman" w:cs="Times New Roman" w:eastAsia="Times New Roman"/>
          <w:b w:val="0"/>
          <w:sz w:val="24"/>
        </w:rPr>
        <w:t>Le prélèvement, le transport, le stockage et la préparation doivent être consignés. Les tubes à paroi mince, les carottiers et les méthodes de scellement sont choisis selon le sol. La longueur, le diamètre, la position et l’état de l’échantillon accompagnent sa traçabilité.</w:t>
      </w:r>
    </w:p>
    <w:p>
      <w:bookmarkStart w:id="51" w:name="BM_TABIII_2"/>
      <w:pPr>
        <w:keepNext/>
        <w:jc w:val="center"/>
      </w:pPr>
      <w:r>
        <w:rPr>
          <w:rFonts w:ascii="Times New Roman" w:hAnsi="Times New Roman" w:cs="Times New Roman" w:eastAsia="Times New Roman"/>
          <w:b/>
          <w:sz w:val="20"/>
        </w:rPr>
        <w:t>Tableau III.2 — Qualité d’échantillon et usages raisonnables</w:t>
      </w:r>
      <w:bookmarkEnd w:id="5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Type d’échantillon</w:t>
            </w:r>
          </w:p>
        </w:tc>
        <w:tc>
          <w:tcPr>
            <w:tcW w:type="dxa" w:w="3628"/>
            <w:vAlign w:val="center"/>
            <w:shd w:fill="1F4E79"/>
          </w:tcPr>
          <w:p>
            <w:pPr>
              <w:spacing w:after="30"/>
            </w:pPr>
            <w:r>
              <w:rPr>
                <w:rFonts w:ascii="Times New Roman" w:hAnsi="Times New Roman" w:cs="Times New Roman" w:eastAsia="Times New Roman"/>
                <w:b/>
                <w:color w:val="FFFFFF"/>
                <w:sz w:val="17"/>
              </w:rPr>
              <w:t>Usages possibles</w:t>
            </w:r>
          </w:p>
        </w:tc>
        <w:tc>
          <w:tcPr>
            <w:tcW w:type="dxa" w:w="3628"/>
            <w:vAlign w:val="center"/>
            <w:shd w:fill="1F4E79"/>
          </w:tcPr>
          <w:p>
            <w:pPr>
              <w:spacing w:after="30"/>
            </w:pPr>
            <w:r>
              <w:rPr>
                <w:rFonts w:ascii="Times New Roman" w:hAnsi="Times New Roman" w:cs="Times New Roman" w:eastAsia="Times New Roman"/>
                <w:b/>
                <w:color w:val="FFFFFF"/>
                <w:sz w:val="17"/>
              </w:rPr>
              <w:t>Limites principales</w:t>
            </w:r>
          </w:p>
        </w:tc>
      </w:tr>
      <w:tr>
        <w:trPr>
          <w:cantSplit/>
        </w:trPr>
        <w:tc>
          <w:tcPr>
            <w:tcW w:type="dxa" w:w="1814"/>
            <w:vAlign w:val="center"/>
          </w:tcPr>
          <w:p>
            <w:pPr>
              <w:spacing w:after="30"/>
            </w:pPr>
            <w:r>
              <w:rPr>
                <w:rFonts w:ascii="Times New Roman" w:hAnsi="Times New Roman" w:cs="Times New Roman" w:eastAsia="Times New Roman"/>
                <w:b w:val="0"/>
                <w:sz w:val="17"/>
              </w:rPr>
              <w:t>Remanié de SPT ou de forage</w:t>
            </w:r>
          </w:p>
        </w:tc>
        <w:tc>
          <w:tcPr>
            <w:tcW w:type="dxa" w:w="3628"/>
            <w:vAlign w:val="center"/>
          </w:tcPr>
          <w:p>
            <w:pPr>
              <w:spacing w:after="30"/>
            </w:pPr>
            <w:r>
              <w:rPr>
                <w:rFonts w:ascii="Times New Roman" w:hAnsi="Times New Roman" w:cs="Times New Roman" w:eastAsia="Times New Roman"/>
                <w:b w:val="0"/>
                <w:sz w:val="17"/>
              </w:rPr>
              <w:t>Identification, teneur en eau indicative et certains essais de classification</w:t>
            </w:r>
          </w:p>
        </w:tc>
        <w:tc>
          <w:tcPr>
            <w:tcW w:type="dxa" w:w="3628"/>
            <w:vAlign w:val="center"/>
          </w:tcPr>
          <w:p>
            <w:pPr>
              <w:spacing w:after="30"/>
            </w:pPr>
            <w:r>
              <w:rPr>
                <w:rFonts w:ascii="Times New Roman" w:hAnsi="Times New Roman" w:cs="Times New Roman" w:eastAsia="Times New Roman"/>
                <w:b w:val="0"/>
                <w:sz w:val="17"/>
              </w:rPr>
              <w:t>Structure et densité modifiées ; pas de mesure directe de compressibilité intacte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Carotte de sol cohérent de qualité contrôlée</w:t>
            </w:r>
          </w:p>
        </w:tc>
        <w:tc>
          <w:tcPr>
            <w:tcW w:type="dxa" w:w="3628"/>
            <w:vAlign w:val="center"/>
            <w:shd w:fill="F3F6F8"/>
          </w:tcPr>
          <w:p>
            <w:pPr>
              <w:spacing w:after="30"/>
            </w:pPr>
            <w:r>
              <w:rPr>
                <w:rFonts w:ascii="Times New Roman" w:hAnsi="Times New Roman" w:cs="Times New Roman" w:eastAsia="Times New Roman"/>
                <w:b w:val="0"/>
                <w:sz w:val="17"/>
              </w:rPr>
              <w:t>Identification et essais mécaniques selon la qualité démontrée</w:t>
            </w:r>
          </w:p>
        </w:tc>
        <w:tc>
          <w:tcPr>
            <w:tcW w:type="dxa" w:w="3628"/>
            <w:vAlign w:val="center"/>
            <w:shd w:fill="F3F6F8"/>
          </w:tcPr>
          <w:p>
            <w:pPr>
              <w:spacing w:after="30"/>
            </w:pPr>
            <w:r>
              <w:rPr>
                <w:rFonts w:ascii="Times New Roman" w:hAnsi="Times New Roman" w:cs="Times New Roman" w:eastAsia="Times New Roman"/>
                <w:b w:val="0"/>
                <w:sz w:val="17"/>
              </w:rPr>
              <w:t>Remaniement possible aux bords, contraintes relâchées et nécessité de conservation</w:t>
            </w:r>
          </w:p>
        </w:tc>
      </w:tr>
      <w:tr>
        <w:trPr>
          <w:cantSplit/>
        </w:trPr>
        <w:tc>
          <w:tcPr>
            <w:tcW w:type="dxa" w:w="1814"/>
            <w:vAlign w:val="center"/>
          </w:tcPr>
          <w:p>
            <w:pPr>
              <w:spacing w:after="30"/>
            </w:pPr>
            <w:r>
              <w:rPr>
                <w:rFonts w:ascii="Times New Roman" w:hAnsi="Times New Roman" w:cs="Times New Roman" w:eastAsia="Times New Roman"/>
                <w:b w:val="0"/>
                <w:sz w:val="17"/>
              </w:rPr>
              <w:t>Carotte rocheuse</w:t>
            </w:r>
          </w:p>
        </w:tc>
        <w:tc>
          <w:tcPr>
            <w:tcW w:type="dxa" w:w="3628"/>
            <w:vAlign w:val="center"/>
          </w:tcPr>
          <w:p>
            <w:pPr>
              <w:spacing w:after="30"/>
            </w:pPr>
            <w:r>
              <w:rPr>
                <w:rFonts w:ascii="Times New Roman" w:hAnsi="Times New Roman" w:cs="Times New Roman" w:eastAsia="Times New Roman"/>
                <w:b w:val="0"/>
                <w:sz w:val="17"/>
              </w:rPr>
              <w:t>Résistance de la roche intacte, description et indices de massif</w:t>
            </w:r>
          </w:p>
        </w:tc>
        <w:tc>
          <w:tcPr>
            <w:tcW w:type="dxa" w:w="3628"/>
            <w:vAlign w:val="center"/>
          </w:tcPr>
          <w:p>
            <w:pPr>
              <w:spacing w:after="30"/>
            </w:pPr>
            <w:r>
              <w:rPr>
                <w:rFonts w:ascii="Times New Roman" w:hAnsi="Times New Roman" w:cs="Times New Roman" w:eastAsia="Times New Roman"/>
                <w:b w:val="0"/>
                <w:sz w:val="17"/>
              </w:rPr>
              <w:t>Effet d’échelle et représentativité des discontinuités à traiter séparément</w:t>
            </w:r>
          </w:p>
        </w:tc>
      </w:tr>
      <w:tr>
        <w:trPr>
          <w:cantSplit/>
        </w:trPr>
        <w:tc>
          <w:tcPr>
            <w:tcW w:type="dxa" w:w="1814"/>
            <w:vAlign w:val="center"/>
            <w:shd w:fill="F3F6F8"/>
          </w:tcPr>
          <w:p>
            <w:pPr>
              <w:spacing w:after="30"/>
            </w:pPr>
            <w:r>
              <w:rPr>
                <w:rFonts w:ascii="Times New Roman" w:hAnsi="Times New Roman" w:cs="Times New Roman" w:eastAsia="Times New Roman"/>
                <w:b w:val="0"/>
                <w:sz w:val="17"/>
              </w:rPr>
              <w:t>Échantillon de granulats ou gravier</w:t>
            </w:r>
          </w:p>
        </w:tc>
        <w:tc>
          <w:tcPr>
            <w:tcW w:type="dxa" w:w="3628"/>
            <w:vAlign w:val="center"/>
            <w:shd w:fill="F3F6F8"/>
          </w:tcPr>
          <w:p>
            <w:pPr>
              <w:spacing w:after="30"/>
            </w:pPr>
            <w:r>
              <w:rPr>
                <w:rFonts w:ascii="Times New Roman" w:hAnsi="Times New Roman" w:cs="Times New Roman" w:eastAsia="Times New Roman"/>
                <w:b w:val="0"/>
                <w:sz w:val="17"/>
              </w:rPr>
              <w:t>Granulométrie et identification selon la représentativité du prélèvement</w:t>
            </w:r>
          </w:p>
        </w:tc>
        <w:tc>
          <w:tcPr>
            <w:tcW w:type="dxa" w:w="3628"/>
            <w:vAlign w:val="center"/>
            <w:shd w:fill="F3F6F8"/>
          </w:tcPr>
          <w:p>
            <w:pPr>
              <w:spacing w:after="30"/>
            </w:pPr>
            <w:r>
              <w:rPr>
                <w:rFonts w:ascii="Times New Roman" w:hAnsi="Times New Roman" w:cs="Times New Roman" w:eastAsia="Times New Roman"/>
                <w:b w:val="0"/>
                <w:sz w:val="17"/>
              </w:rPr>
              <w:t>Refus, ségrégation et perte des fines possibles</w:t>
            </w:r>
          </w:p>
        </w:tc>
      </w:tr>
      <w:tr>
        <w:trPr>
          <w:cantSplit/>
        </w:trPr>
        <w:tc>
          <w:tcPr>
            <w:tcW w:type="dxa" w:w="1814"/>
            <w:vAlign w:val="center"/>
          </w:tcPr>
          <w:p>
            <w:pPr>
              <w:spacing w:after="30"/>
            </w:pPr>
            <w:r>
              <w:rPr>
                <w:rFonts w:ascii="Times New Roman" w:hAnsi="Times New Roman" w:cs="Times New Roman" w:eastAsia="Times New Roman"/>
                <w:b w:val="0"/>
                <w:sz w:val="17"/>
              </w:rPr>
              <w:t>Eau et matériaux pour chimie</w:t>
            </w:r>
          </w:p>
        </w:tc>
        <w:tc>
          <w:tcPr>
            <w:tcW w:type="dxa" w:w="3628"/>
            <w:vAlign w:val="center"/>
          </w:tcPr>
          <w:p>
            <w:pPr>
              <w:spacing w:after="30"/>
            </w:pPr>
            <w:r>
              <w:rPr>
                <w:rFonts w:ascii="Times New Roman" w:hAnsi="Times New Roman" w:cs="Times New Roman" w:eastAsia="Times New Roman"/>
                <w:b w:val="0"/>
                <w:sz w:val="17"/>
              </w:rPr>
              <w:t>Analyses d’agressivité et de composition</w:t>
            </w:r>
          </w:p>
        </w:tc>
        <w:tc>
          <w:tcPr>
            <w:tcW w:type="dxa" w:w="3628"/>
            <w:vAlign w:val="center"/>
          </w:tcPr>
          <w:p>
            <w:pPr>
              <w:spacing w:after="30"/>
            </w:pPr>
            <w:r>
              <w:rPr>
                <w:rFonts w:ascii="Times New Roman" w:hAnsi="Times New Roman" w:cs="Times New Roman" w:eastAsia="Times New Roman"/>
                <w:b w:val="0"/>
                <w:sz w:val="17"/>
              </w:rPr>
              <w:t>Prélèvement, conservation et date essentiels à la validité</w:t>
            </w:r>
          </w:p>
        </w:tc>
      </w:tr>
    </w:tbl>
    <w:p>
      <w:pPr>
        <w:spacing w:after="20"/>
      </w:pPr>
    </w:p>
    <w:p>
      <w:pPr>
        <w:jc w:val="both"/>
      </w:pPr>
      <w:r>
        <w:rPr>
          <w:rFonts w:ascii="Times New Roman" w:hAnsi="Times New Roman" w:cs="Times New Roman" w:eastAsia="Times New Roman"/>
          <w:b w:val="0"/>
          <w:sz w:val="24"/>
        </w:rPr>
        <w:t>Le fendage et la préparation d’une carotte doivent préserver sa traçabilité et une face représentative pour la description. Cette opération documentée par l’USGS concerne une carotte sédimentaire ; elle n’est pas présentée comme un carottage réalisé pour ce mémoire.</w:t>
      </w:r>
    </w:p>
    <w:p>
      <w:pPr>
        <w:keepNext/>
        <w:jc w:val="center"/>
      </w:pPr>
      <w:r>
        <w:drawing>
          <wp:inline xmlns:a="http://schemas.openxmlformats.org/drawingml/2006/main" xmlns:pic="http://schemas.openxmlformats.org/drawingml/2006/picture">
            <wp:extent cx="3906957" cy="5219999"/>
            <wp:docPr id="26" name="Picture 26"/>
            <wp:cNvGraphicFramePr>
              <a:graphicFrameLocks noChangeAspect="1"/>
            </wp:cNvGraphicFramePr>
            <a:graphic>
              <a:graphicData uri="http://schemas.openxmlformats.org/drawingml/2006/picture">
                <pic:pic>
                  <pic:nvPicPr>
                    <pic:cNvPr id="0" name="photo_core_laboratory.png"/>
                    <pic:cNvPicPr/>
                  </pic:nvPicPr>
                  <pic:blipFill>
                    <a:blip r:embed="rId52"/>
                    <a:stretch>
                      <a:fillRect/>
                    </a:stretch>
                  </pic:blipFill>
                  <pic:spPr>
                    <a:xfrm>
                      <a:off x="0" y="0"/>
                      <a:ext cx="3906957" cy="5219999"/>
                    </a:xfrm>
                    <a:prstGeom prst="rect"/>
                  </pic:spPr>
                </pic:pic>
              </a:graphicData>
            </a:graphic>
          </wp:inline>
        </w:drawing>
      </w:r>
    </w:p>
    <w:p>
      <w:bookmarkStart w:id="52" w:name="BM_FIGIII_2"/>
      <w:pPr>
        <w:jc w:val="center"/>
      </w:pPr>
      <w:r>
        <w:rPr>
          <w:rFonts w:ascii="Times New Roman" w:hAnsi="Times New Roman" w:cs="Times New Roman" w:eastAsia="Times New Roman"/>
          <w:b/>
          <w:sz w:val="20"/>
        </w:rPr>
        <w:t>Figure III.2 — Préparation et fendage d’une carotte sédimentaire au Core Laboratory de l’USGS</w:t>
      </w:r>
      <w:bookmarkEnd w:id="52"/>
    </w:p>
    <w:p>
      <w:pPr>
        <w:jc w:val="right"/>
      </w:pPr>
      <w:r>
        <w:rPr>
          <w:rFonts w:ascii="Times New Roman" w:hAnsi="Times New Roman" w:cs="Times New Roman" w:eastAsia="Times New Roman"/>
          <w:b w:val="0"/>
          <w:color w:val="59636B"/>
          <w:sz w:val="20"/>
        </w:rPr>
        <w:t>Source : USGS, Woods Hole Coastal and Marine Science Center, « Core Laboratory », domaine public.</w:t>
      </w:r>
    </w:p>
    <w:p>
      <w:pPr>
        <w:pStyle w:val="Heading3"/>
      </w:pPr>
      <w:r>
        <w:rPr>
          <w:rFonts w:ascii="Times New Roman" w:hAnsi="Times New Roman" w:cs="Times New Roman" w:eastAsia="Times New Roman"/>
          <w:b/>
          <w:color w:val="233741"/>
          <w:sz w:val="24"/>
        </w:rPr>
        <w:t>III.3.3 Investigations en milieu aquatique</w:t>
      </w:r>
    </w:p>
    <w:p>
      <w:pPr>
        <w:jc w:val="both"/>
      </w:pPr>
      <w:r>
        <w:rPr>
          <w:rFonts w:ascii="Times New Roman" w:hAnsi="Times New Roman" w:cs="Times New Roman" w:eastAsia="Times New Roman"/>
          <w:b w:val="0"/>
          <w:sz w:val="24"/>
        </w:rPr>
        <w:t>Les appuis en cours d’eau imposent des dispositions particulières : barge, plateforme, tubage, guidage, bathymétrie et contrôle des courants. La stabilité de la plateforme et la sécurité des équipes priment sur la continuité du programme. Les variations du niveau d’eau et les conditions de navigation sont intégrées à la planification.</w:t>
      </w:r>
    </w:p>
    <w:p>
      <w:pPr>
        <w:jc w:val="both"/>
      </w:pPr>
      <w:r>
        <w:rPr>
          <w:rFonts w:ascii="Times New Roman" w:hAnsi="Times New Roman" w:cs="Times New Roman" w:eastAsia="Times New Roman"/>
          <w:b w:val="0"/>
          <w:sz w:val="24"/>
        </w:rPr>
        <w:t>La mesure précise de la cote du fond et de la profondeur d’eau est nécessaire pour référencer les logs. Les dépôts récents remaniés par le forage ne doivent pas être confondus avec le lit antérieur. Les investigations peuvent aussi être adaptées pour limiter les rejets et les impacts sur le milieu.</w:t>
      </w:r>
    </w:p>
    <w:p>
      <w:pPr>
        <w:pStyle w:val="Heading2"/>
      </w:pPr>
      <w:r>
        <w:rPr>
          <w:rFonts w:ascii="Times New Roman" w:hAnsi="Times New Roman" w:cs="Times New Roman" w:eastAsia="Times New Roman"/>
          <w:b/>
          <w:color w:val="1F4E79"/>
          <w:sz w:val="24"/>
        </w:rPr>
        <w:t>III.4 Essai de pénétration standard — SPT</w:t>
      </w:r>
    </w:p>
    <w:p>
      <w:pPr>
        <w:pStyle w:val="Heading3"/>
      </w:pPr>
      <w:r>
        <w:rPr>
          <w:rFonts w:ascii="Times New Roman" w:hAnsi="Times New Roman" w:cs="Times New Roman" w:eastAsia="Times New Roman"/>
          <w:b/>
          <w:color w:val="233741"/>
          <w:sz w:val="24"/>
        </w:rPr>
        <w:t>III.4.1 Mesure et compte rendu</w:t>
      </w:r>
    </w:p>
    <w:p>
      <w:pPr>
        <w:jc w:val="both"/>
      </w:pPr>
      <w:r>
        <w:rPr>
          <w:rFonts w:ascii="Times New Roman" w:hAnsi="Times New Roman" w:cs="Times New Roman" w:eastAsia="Times New Roman"/>
          <w:b w:val="0"/>
          <w:sz w:val="24"/>
        </w:rPr>
        <w:t>Le SPT mesure le nombre de coups nécessaires à l’enfoncement d’un carottier fendu selon un protocole normalisé. Il fournit également un échantillon remanié pour l’identification. La norme ASTM D1586/D1586M-18e1 décrit la méthode et insiste sur les variables qui affectent le résultat (ASTM, 2018).</w:t>
      </w:r>
    </w:p>
    <w:p>
      <w:pPr>
        <w:jc w:val="both"/>
      </w:pPr>
      <w:r>
        <w:rPr>
          <w:rFonts w:ascii="Times New Roman" w:hAnsi="Times New Roman" w:cs="Times New Roman" w:eastAsia="Times New Roman"/>
          <w:b w:val="0"/>
          <w:sz w:val="24"/>
        </w:rPr>
        <w:t>La valeur N doit être accompagnée des intervalles de pénétration, du type de marteau, du système de forage, du diamètre, de la longueur des tiges, du niveau d’eau et des éventuels refus. Sans ces informations, les comparaisons entre sites ou entre opérateurs sont fragiles.</w:t>
      </w:r>
    </w:p>
    <w:p>
      <w:pPr>
        <w:pStyle w:val="Heading3"/>
      </w:pPr>
      <w:r>
        <w:rPr>
          <w:rFonts w:ascii="Times New Roman" w:hAnsi="Times New Roman" w:cs="Times New Roman" w:eastAsia="Times New Roman"/>
          <w:b/>
          <w:color w:val="233741"/>
          <w:sz w:val="24"/>
        </w:rPr>
        <w:t>III.4.2 Énergie et corrections</w:t>
      </w:r>
    </w:p>
    <w:p>
      <w:pPr>
        <w:jc w:val="both"/>
      </w:pPr>
      <w:r>
        <w:rPr>
          <w:rFonts w:ascii="Times New Roman" w:hAnsi="Times New Roman" w:cs="Times New Roman" w:eastAsia="Times New Roman"/>
          <w:b w:val="0"/>
          <w:sz w:val="24"/>
        </w:rPr>
        <w:t>L’énergie réellement transmise aux tiges varie selon l’équipement. Une normalisation à 60 % de l’énergie théorique peut être utilisée pour rendre les résultats plus comparables :</w:t>
      </w:r>
    </w:p>
    <w:p>
      <w:pPr>
        <w:jc w:val="center"/>
      </w:pPr>
      <w:r>
        <w:rPr>
          <w:rFonts w:ascii="Times New Roman" w:hAnsi="Times New Roman" w:cs="Times New Roman" w:eastAsia="Times New Roman"/>
          <w:b w:val="0"/>
          <w:sz w:val="24"/>
        </w:rPr>
        <w:t>N₆₀ = N · (ER / 60)</w:t>
      </w:r>
    </w:p>
    <w:p>
      <w:pPr>
        <w:jc w:val="both"/>
      </w:pPr>
      <w:r>
        <w:rPr>
          <w:rFonts w:ascii="Times New Roman" w:hAnsi="Times New Roman" w:cs="Times New Roman" w:eastAsia="Times New Roman"/>
          <w:b w:val="0"/>
          <w:sz w:val="24"/>
        </w:rPr>
        <w:t>Ici, ER est le rapport d’énergie mesuré exprimé en pourcentage de l’énergie théorique, et N₆₀ est la valeur corrigée correspondante. Cette correction ne prend pas en charge à elle seule la longueur des tiges, la pression de couverture, le diamètre du forage ou le type de sol. Les travaux de SKEMPTON (1986) examinent plusieurs effets de procédure et d’état du sol.</w:t>
      </w:r>
    </w:p>
    <w:p>
      <w:pPr>
        <w:pStyle w:val="Heading3"/>
      </w:pPr>
      <w:r>
        <w:rPr>
          <w:rFonts w:ascii="Times New Roman" w:hAnsi="Times New Roman" w:cs="Times New Roman" w:eastAsia="Times New Roman"/>
          <w:b/>
          <w:color w:val="233741"/>
          <w:sz w:val="24"/>
        </w:rPr>
        <w:t>III.4.3 Domaine d’utilisation</w:t>
      </w:r>
    </w:p>
    <w:p>
      <w:pPr>
        <w:jc w:val="both"/>
      </w:pPr>
      <w:r>
        <w:rPr>
          <w:rFonts w:ascii="Times New Roman" w:hAnsi="Times New Roman" w:cs="Times New Roman" w:eastAsia="Times New Roman"/>
          <w:b w:val="0"/>
          <w:sz w:val="24"/>
        </w:rPr>
        <w:t>Le SPT est utile dans de nombreux sols meubles pour suivre la stratigraphie et alimenter des corrélations. Il est moins adapté aux argiles très molles, aux matériaux contenant des blocs et aux situations où une mesure continue ou peu perturbée est requise. Les valeurs de refus ne doivent pas être assimilées sans précaution à une résistance du massif.</w:t>
      </w:r>
    </w:p>
    <w:p>
      <w:pPr>
        <w:jc w:val="both"/>
      </w:pPr>
      <w:r>
        <w:rPr>
          <w:rFonts w:ascii="Times New Roman" w:hAnsi="Times New Roman" w:cs="Times New Roman" w:eastAsia="Times New Roman"/>
          <w:b w:val="0"/>
          <w:sz w:val="24"/>
        </w:rPr>
        <w:t>Les corrélations entre N et la densité relative, la résistance ou la compressibilité sont empiriques. Leur emploi exige un sol et une procédure compatibles avec la base de données initiale. Pour la liquéfaction, les corrections spécifiques à la méthode choisie sont appliquées de manière cohérente, sans mélanger des paramètres bruts et corrigés.</w:t>
      </w:r>
    </w:p>
    <w:p>
      <w:pPr>
        <w:pStyle w:val="Heading2"/>
      </w:pPr>
      <w:r>
        <w:rPr>
          <w:rFonts w:ascii="Times New Roman" w:hAnsi="Times New Roman" w:cs="Times New Roman" w:eastAsia="Times New Roman"/>
          <w:b/>
          <w:color w:val="1F4E79"/>
          <w:sz w:val="24"/>
        </w:rPr>
        <w:t>III.5 Essais de pénétration au cône — CPT et CPTu</w:t>
      </w:r>
    </w:p>
    <w:p>
      <w:pPr>
        <w:pStyle w:val="Heading3"/>
      </w:pPr>
      <w:r>
        <w:rPr>
          <w:rFonts w:ascii="Times New Roman" w:hAnsi="Times New Roman" w:cs="Times New Roman" w:eastAsia="Times New Roman"/>
          <w:b/>
          <w:color w:val="233741"/>
          <w:sz w:val="24"/>
        </w:rPr>
        <w:t>III.5.1 Mesures et profil continu</w:t>
      </w:r>
    </w:p>
    <w:p>
      <w:pPr>
        <w:jc w:val="both"/>
      </w:pPr>
      <w:r>
        <w:rPr>
          <w:rFonts w:ascii="Times New Roman" w:hAnsi="Times New Roman" w:cs="Times New Roman" w:eastAsia="Times New Roman"/>
          <w:b w:val="0"/>
          <w:sz w:val="24"/>
        </w:rPr>
        <w:t>Le CPT fournit un profil quasi continu de résistance de pointe qc et de frottement manchon fs. Le CPTu ajoute une mesure de pression interstitielle et permet des essais de dissipation. La norme ASTM D5778-20 précise le domaine de la méthode et rappelle qu’aucun échantillon n’est prélevé (ASTM, 2020).</w:t>
      </w:r>
    </w:p>
    <w:p>
      <w:pPr>
        <w:jc w:val="both"/>
      </w:pPr>
      <w:r>
        <w:rPr>
          <w:rFonts w:ascii="Times New Roman" w:hAnsi="Times New Roman" w:cs="Times New Roman" w:eastAsia="Times New Roman"/>
          <w:b w:val="0"/>
          <w:sz w:val="24"/>
        </w:rPr>
        <w:t>L’intérêt principal est la détection de variations de couches et d’hétérogénéités qui peuvent être manquées par des essais espacés. Le profil doit être comparé à des sondages d’identification, car une signature de pénétration n’est pas une lithologie directement observée.</w:t>
      </w:r>
    </w:p>
    <w:p>
      <w:pPr>
        <w:pStyle w:val="Heading3"/>
      </w:pPr>
      <w:r>
        <w:rPr>
          <w:rFonts w:ascii="Times New Roman" w:hAnsi="Times New Roman" w:cs="Times New Roman" w:eastAsia="Times New Roman"/>
          <w:b/>
          <w:color w:val="233741"/>
          <w:sz w:val="24"/>
        </w:rPr>
        <w:t>III.5.2 Correction de la résistance de pointe</w:t>
      </w:r>
    </w:p>
    <w:p>
      <w:pPr>
        <w:jc w:val="both"/>
      </w:pPr>
      <w:r>
        <w:rPr>
          <w:rFonts w:ascii="Times New Roman" w:hAnsi="Times New Roman" w:cs="Times New Roman" w:eastAsia="Times New Roman"/>
          <w:b w:val="0"/>
          <w:sz w:val="24"/>
        </w:rPr>
        <w:t>En CPTu, la résistance corrigée est exprimée par :</w:t>
      </w:r>
    </w:p>
    <w:p>
      <w:pPr>
        <w:jc w:val="center"/>
      </w:pPr>
      <w:r>
        <w:rPr>
          <w:rFonts w:ascii="Times New Roman" w:hAnsi="Times New Roman" w:cs="Times New Roman" w:eastAsia="Times New Roman"/>
          <w:b w:val="0"/>
          <w:sz w:val="24"/>
        </w:rPr>
        <w:t>qₜ = q꜀ + u₂ · (1 − a)</w:t>
      </w:r>
    </w:p>
    <w:p>
      <w:pPr>
        <w:jc w:val="both"/>
      </w:pPr>
      <w:r>
        <w:rPr>
          <w:rFonts w:ascii="Times New Roman" w:hAnsi="Times New Roman" w:cs="Times New Roman" w:eastAsia="Times New Roman"/>
          <w:b w:val="0"/>
          <w:sz w:val="24"/>
        </w:rPr>
        <w:t>Dans cette relation, qc est la résistance mesurée, u₂ la pression interstitielle à l’épaulement du cône selon la configuration retenue et a le rapport d’aire nette de l’équipement. Les symboles doivent rester homogènes dans les tableaux et les formules.</w:t>
      </w:r>
    </w:p>
    <w:p>
      <w:pPr>
        <w:jc w:val="both"/>
      </w:pPr>
      <w:r>
        <w:rPr>
          <w:rFonts w:ascii="Times New Roman" w:hAnsi="Times New Roman" w:cs="Times New Roman" w:eastAsia="Times New Roman"/>
          <w:b w:val="0"/>
          <w:sz w:val="24"/>
        </w:rPr>
        <w:t>La saturation du système de mesure, les lectures de zéro, l’inclinaison, la vitesse de pénétration et l’étalonnage influencent la qualité. Une dissipation fournit des informations sur la réponse hydromécanique, mais son interprétation dépend du sol et du modèle adopté.</w:t>
      </w:r>
    </w:p>
    <w:p>
      <w:pPr>
        <w:pStyle w:val="Heading3"/>
      </w:pPr>
      <w:r>
        <w:rPr>
          <w:rFonts w:ascii="Times New Roman" w:hAnsi="Times New Roman" w:cs="Times New Roman" w:eastAsia="Times New Roman"/>
          <w:b/>
          <w:color w:val="233741"/>
          <w:sz w:val="24"/>
        </w:rPr>
        <w:t>III.5.3 Interprétation et limites</w:t>
      </w:r>
    </w:p>
    <w:p>
      <w:pPr>
        <w:jc w:val="both"/>
      </w:pPr>
      <w:r>
        <w:rPr>
          <w:rFonts w:ascii="Times New Roman" w:hAnsi="Times New Roman" w:cs="Times New Roman" w:eastAsia="Times New Roman"/>
          <w:b w:val="0"/>
          <w:sz w:val="24"/>
        </w:rPr>
        <w:t>Les classifications CPT permettent d’organiser le profil en comportements types. Elles ne remplacent pas une description géologique. ROBERTSON (2009) et LUNNE et al. (1997) présentent les principes d’interprétation et les précautions d’emploi.</w:t>
      </w:r>
    </w:p>
    <w:p>
      <w:pPr>
        <w:jc w:val="both"/>
      </w:pPr>
      <w:r>
        <w:rPr>
          <w:rFonts w:ascii="Times New Roman" w:hAnsi="Times New Roman" w:cs="Times New Roman" w:eastAsia="Times New Roman"/>
          <w:b w:val="0"/>
          <w:sz w:val="24"/>
        </w:rPr>
        <w:t>Les refus dans les graviers, les cimentations et les obstacles peuvent limiter la profondeur. Le CPT n’est pas directement un essai de portance : il fournit des mesures à partir desquelles des paramètres sont estimés par des corrélations adaptées. Les essais proches de l’eau exigent également une référence précise des cotes et une maîtrise des conditions de poussée.</w:t>
      </w:r>
    </w:p>
    <w:p>
      <w:pPr>
        <w:pStyle w:val="Heading2"/>
      </w:pPr>
      <w:r>
        <w:rPr>
          <w:rFonts w:ascii="Times New Roman" w:hAnsi="Times New Roman" w:cs="Times New Roman" w:eastAsia="Times New Roman"/>
          <w:b/>
          <w:color w:val="1F4E79"/>
          <w:sz w:val="24"/>
        </w:rPr>
        <w:t>III.6 Essai pressiométrique Ménard — PMT</w:t>
      </w:r>
    </w:p>
    <w:p>
      <w:pPr>
        <w:pStyle w:val="Heading3"/>
      </w:pPr>
      <w:r>
        <w:rPr>
          <w:rFonts w:ascii="Times New Roman" w:hAnsi="Times New Roman" w:cs="Times New Roman" w:eastAsia="Times New Roman"/>
          <w:b/>
          <w:color w:val="233741"/>
          <w:sz w:val="24"/>
        </w:rPr>
        <w:t>III.6.1 Principe</w:t>
      </w:r>
    </w:p>
    <w:p>
      <w:pPr>
        <w:jc w:val="both"/>
      </w:pPr>
      <w:r>
        <w:rPr>
          <w:rFonts w:ascii="Times New Roman" w:hAnsi="Times New Roman" w:cs="Times New Roman" w:eastAsia="Times New Roman"/>
          <w:b w:val="0"/>
          <w:sz w:val="24"/>
        </w:rPr>
        <w:t>Le pressiomètre Ménard préforé mesure la déformation radiale d’une sonde placée dans un forage lors de paliers de pression. La courbe pression–volume corrigée permet de déterminer des paramètres pressiométriques, dont le module EM et la pression limite. La qualité du forage et les corrections de l’équipement sont essentielles.</w:t>
      </w:r>
    </w:p>
    <w:p>
      <w:pPr>
        <w:jc w:val="both"/>
      </w:pPr>
      <w:r>
        <w:rPr>
          <w:rFonts w:ascii="Times New Roman" w:hAnsi="Times New Roman" w:cs="Times New Roman" w:eastAsia="Times New Roman"/>
          <w:b w:val="0"/>
          <w:sz w:val="24"/>
        </w:rPr>
        <w:t>La référence retenue pour le protocole actuel est NF EN ISO 22476-4:2021 (AFNOR, 2021). L’ancienne NF P94-110-1 date de janvier 2000 et ne doit pas être attribuée à 2020. Cette précision bibliographique évite de mélanger des éditions et des exigences différentes.</w:t>
      </w:r>
    </w:p>
    <w:p>
      <w:pPr>
        <w:pStyle w:val="Heading3"/>
      </w:pPr>
      <w:r>
        <w:rPr>
          <w:rFonts w:ascii="Times New Roman" w:hAnsi="Times New Roman" w:cs="Times New Roman" w:eastAsia="Times New Roman"/>
          <w:b/>
          <w:color w:val="233741"/>
          <w:sz w:val="24"/>
        </w:rPr>
        <w:t>III.6.2 Interprétation</w:t>
      </w:r>
    </w:p>
    <w:p>
      <w:pPr>
        <w:jc w:val="both"/>
      </w:pPr>
      <w:r>
        <w:rPr>
          <w:rFonts w:ascii="Times New Roman" w:hAnsi="Times New Roman" w:cs="Times New Roman" w:eastAsia="Times New Roman"/>
          <w:b w:val="0"/>
          <w:sz w:val="24"/>
        </w:rPr>
        <w:t>Le module pressiométrique n’est pas interchangeable avec un module œdométrique ou un module de Young déterminé dans d’autres conditions. La pression limite n’est pas directement la contrainte admissible d’une fondation. Les règles de calcul qui utilisent ces paramètres possèdent leurs coefficients, leurs domaines et leurs conditions de mise en œuvre.</w:t>
      </w:r>
    </w:p>
    <w:p>
      <w:pPr>
        <w:jc w:val="both"/>
      </w:pPr>
      <w:r>
        <w:rPr>
          <w:rFonts w:ascii="Times New Roman" w:hAnsi="Times New Roman" w:cs="Times New Roman" w:eastAsia="Times New Roman"/>
          <w:b w:val="0"/>
          <w:sz w:val="24"/>
        </w:rPr>
        <w:t>Les ouvrages de BAGUELIN et al. (1978) offrent une synthèse historique du pressiomètre et de ses applications. La référence de MENARD (1957) permet de situer le développement de l’essai, sans reprendre automatiquement les pratiques anciennes.</w:t>
      </w:r>
    </w:p>
    <w:p>
      <w:pPr>
        <w:pStyle w:val="Heading2"/>
      </w:pPr>
      <w:r>
        <w:rPr>
          <w:rFonts w:ascii="Times New Roman" w:hAnsi="Times New Roman" w:cs="Times New Roman" w:eastAsia="Times New Roman"/>
          <w:b/>
          <w:color w:val="1F4E79"/>
          <w:sz w:val="24"/>
        </w:rPr>
        <w:t>III.7 Scissomètre, dilatomètre et pénétromètres dynamiques</w:t>
      </w:r>
    </w:p>
    <w:p>
      <w:pPr>
        <w:pStyle w:val="Heading3"/>
      </w:pPr>
      <w:r>
        <w:rPr>
          <w:rFonts w:ascii="Times New Roman" w:hAnsi="Times New Roman" w:cs="Times New Roman" w:eastAsia="Times New Roman"/>
          <w:b/>
          <w:color w:val="233741"/>
          <w:sz w:val="24"/>
        </w:rPr>
        <w:t>III.7.1 Scissomètre de chantier</w:t>
      </w:r>
    </w:p>
    <w:p>
      <w:pPr>
        <w:jc w:val="both"/>
      </w:pPr>
      <w:r>
        <w:rPr>
          <w:rFonts w:ascii="Times New Roman" w:hAnsi="Times New Roman" w:cs="Times New Roman" w:eastAsia="Times New Roman"/>
          <w:b w:val="0"/>
          <w:sz w:val="24"/>
        </w:rPr>
        <w:t>Le scissomètre mesure le couple nécessaire à la rotation d’une palette dans un sol cohérent. Il est particulièrement utile pour estimer la résistance au cisaillement non drainée des argiles molles à sensibilité adaptée. Il n’appartient pas à la famille des essais pressiométriques.</w:t>
      </w:r>
    </w:p>
    <w:p>
      <w:pPr>
        <w:jc w:val="both"/>
      </w:pPr>
      <w:r>
        <w:rPr>
          <w:rFonts w:ascii="Times New Roman" w:hAnsi="Times New Roman" w:cs="Times New Roman" w:eastAsia="Times New Roman"/>
          <w:b w:val="0"/>
          <w:sz w:val="24"/>
        </w:rPr>
        <w:t>Pour une géométrie cylindrique et un modèle classique de répartition des contraintes, une forme courante de l’interprétation est :</w:t>
      </w:r>
    </w:p>
    <w:p>
      <w:pPr>
        <w:jc w:val="center"/>
      </w:pPr>
      <w:r>
        <w:rPr>
          <w:rFonts w:ascii="Times New Roman" w:hAnsi="Times New Roman" w:cs="Times New Roman" w:eastAsia="Times New Roman"/>
          <w:b w:val="0"/>
          <w:sz w:val="24"/>
        </w:rPr>
        <w:t>cᵤ = 2T / [πD²(H + D/3)</w:t>
      </w:r>
    </w:p>
    <w:p>
      <w:pPr>
        <w:jc w:val="both"/>
      </w:pPr>
      <w:r>
        <w:rPr>
          <w:rFonts w:ascii="Times New Roman" w:hAnsi="Times New Roman" w:cs="Times New Roman" w:eastAsia="Times New Roman"/>
          <w:b w:val="0"/>
          <w:sz w:val="24"/>
        </w:rPr>
        <w:t>T est le couple maximal, D le diamètre de la palette et H sa hauteur. Cette relation dépend des hypothèses de surface de rupture et de distribution des contraintes sur les extrémités. Les corrections éventuelles, notamment en présence de plasticité ou d’anisotrope, doivent être justifiées par le protocole et la référence utilisés ; aucun facteur universel n’est ajouté ici.</w:t>
      </w:r>
    </w:p>
    <w:p>
      <w:pPr>
        <w:pStyle w:val="Heading3"/>
      </w:pPr>
      <w:r>
        <w:rPr>
          <w:rFonts w:ascii="Times New Roman" w:hAnsi="Times New Roman" w:cs="Times New Roman" w:eastAsia="Times New Roman"/>
          <w:b/>
          <w:color w:val="233741"/>
          <w:sz w:val="24"/>
        </w:rPr>
        <w:t>III.7.2 Dilatomètre plat — DMT</w:t>
      </w:r>
    </w:p>
    <w:p>
      <w:pPr>
        <w:jc w:val="both"/>
      </w:pPr>
      <w:r>
        <w:rPr>
          <w:rFonts w:ascii="Times New Roman" w:hAnsi="Times New Roman" w:cs="Times New Roman" w:eastAsia="Times New Roman"/>
          <w:b w:val="0"/>
          <w:sz w:val="24"/>
        </w:rPr>
        <w:t>Le DMT mesure les pressions associées au déplacement d’une membrane circulaire lors de l’enfoncement d’une lame. Les lectures corrigées permettent de calculer des indices et d’estimer des paramètres par corrélations. MARCHETTI et al. (2001) décrivent la méthode et ses applications.</w:t>
      </w:r>
    </w:p>
    <w:p>
      <w:pPr>
        <w:jc w:val="both"/>
      </w:pPr>
      <w:r>
        <w:rPr>
          <w:rFonts w:ascii="Times New Roman" w:hAnsi="Times New Roman" w:cs="Times New Roman" w:eastAsia="Times New Roman"/>
          <w:b w:val="0"/>
          <w:sz w:val="24"/>
        </w:rPr>
        <w:t>Le DMT ne se confond ni avec le PMT ni avec le CPT. La méthode d’installation, le remaniement et le domaine des corrélations doivent être documentés. Il peut compléter un programme dans des formations adaptées, mais n’est pas une obligation systématique.</w:t>
      </w:r>
    </w:p>
    <w:p>
      <w:pPr>
        <w:pStyle w:val="Heading3"/>
      </w:pPr>
      <w:r>
        <w:rPr>
          <w:rFonts w:ascii="Times New Roman" w:hAnsi="Times New Roman" w:cs="Times New Roman" w:eastAsia="Times New Roman"/>
          <w:b/>
          <w:color w:val="233741"/>
          <w:sz w:val="24"/>
        </w:rPr>
        <w:t>III.7.3 Pénétromètres dynamiques</w:t>
      </w:r>
    </w:p>
    <w:p>
      <w:pPr>
        <w:jc w:val="both"/>
      </w:pPr>
      <w:r>
        <w:rPr>
          <w:rFonts w:ascii="Times New Roman" w:hAnsi="Times New Roman" w:cs="Times New Roman" w:eastAsia="Times New Roman"/>
          <w:b w:val="0"/>
          <w:sz w:val="24"/>
        </w:rPr>
        <w:t>Les pénétromètres dynamiques mesurent une résistance à l’enfoncement sous battage. Ils peuvent fournir un profil rapide dans certains sols et aider à repérer des variations. L’énergie, les tiges, le frottement, les graviers et les conditions de refus influencent fortement le résultat. L’emploi d’une formule dynamique pour prédire directement la capacité d’un pieu exige une méthode et une calibration spécifiques.</w:t>
      </w:r>
    </w:p>
    <w:p>
      <w:pPr>
        <w:keepNext/>
        <w:jc w:val="center"/>
      </w:pPr>
      <w:r>
        <w:drawing>
          <wp:inline xmlns:a="http://schemas.openxmlformats.org/drawingml/2006/main" xmlns:pic="http://schemas.openxmlformats.org/drawingml/2006/picture">
            <wp:extent cx="5760000" cy="3107668"/>
            <wp:docPr id="27" name="Picture 27"/>
            <wp:cNvGraphicFramePr>
              <a:graphicFrameLocks noChangeAspect="1"/>
            </wp:cNvGraphicFramePr>
            <a:graphic>
              <a:graphicData uri="http://schemas.openxmlformats.org/drawingml/2006/picture">
                <pic:pic>
                  <pic:nvPicPr>
                    <pic:cNvPr id="0" name="insitu_tests.png"/>
                    <pic:cNvPicPr/>
                  </pic:nvPicPr>
                  <pic:blipFill>
                    <a:blip r:embed="rId53"/>
                    <a:stretch>
                      <a:fillRect/>
                    </a:stretch>
                  </pic:blipFill>
                  <pic:spPr>
                    <a:xfrm>
                      <a:off x="0" y="0"/>
                      <a:ext cx="5760000" cy="3107668"/>
                    </a:xfrm>
                    <a:prstGeom prst="rect"/>
                  </pic:spPr>
                </pic:pic>
              </a:graphicData>
            </a:graphic>
          </wp:inline>
        </w:drawing>
      </w:r>
    </w:p>
    <w:p>
      <w:bookmarkStart w:id="53" w:name="BM_FIGIII_3"/>
      <w:pPr>
        <w:jc w:val="center"/>
      </w:pPr>
      <w:r>
        <w:rPr>
          <w:rFonts w:ascii="Times New Roman" w:hAnsi="Times New Roman" w:cs="Times New Roman" w:eastAsia="Times New Roman"/>
          <w:b/>
          <w:sz w:val="20"/>
        </w:rPr>
        <w:t>Figure III.3 — Principes et mesures du SPT, du CPT/CPTu et du pressiomètre Ménard</w:t>
      </w:r>
      <w:bookmarkEnd w:id="53"/>
    </w:p>
    <w:p>
      <w:pPr>
        <w:jc w:val="right"/>
      </w:pPr>
      <w:r>
        <w:rPr>
          <w:rFonts w:ascii="Times New Roman" w:hAnsi="Times New Roman" w:cs="Times New Roman" w:eastAsia="Times New Roman"/>
          <w:b w:val="0"/>
          <w:color w:val="59636B"/>
          <w:sz w:val="20"/>
        </w:rPr>
        <w:t>Source : schéma original ; symboles définis dans le texte et proportions non normatives.</w:t>
      </w:r>
    </w:p>
    <w:p>
      <w:bookmarkStart w:id="54" w:name="BM_TABIII_3"/>
      <w:pPr>
        <w:keepNext/>
        <w:jc w:val="center"/>
      </w:pPr>
      <w:r>
        <w:rPr>
          <w:rFonts w:ascii="Times New Roman" w:hAnsi="Times New Roman" w:cs="Times New Roman" w:eastAsia="Times New Roman"/>
          <w:b/>
          <w:sz w:val="20"/>
        </w:rPr>
        <w:t>Tableau III.3 — Comparaison des principaux essais in situ</w:t>
      </w:r>
      <w:bookmarkEnd w:id="54"/>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Essai</w:t>
            </w:r>
          </w:p>
        </w:tc>
        <w:tc>
          <w:tcPr>
            <w:tcW w:type="dxa" w:w="2268"/>
            <w:vAlign w:val="center"/>
            <w:shd w:fill="1F4E79"/>
          </w:tcPr>
          <w:p>
            <w:pPr>
              <w:spacing w:after="30"/>
            </w:pPr>
            <w:r>
              <w:rPr>
                <w:rFonts w:ascii="Times New Roman" w:hAnsi="Times New Roman" w:cs="Times New Roman" w:eastAsia="Times New Roman"/>
                <w:b/>
                <w:color w:val="FFFFFF"/>
                <w:sz w:val="17"/>
              </w:rPr>
              <w:t>Mesures directes</w:t>
            </w:r>
          </w:p>
        </w:tc>
        <w:tc>
          <w:tcPr>
            <w:tcW w:type="dxa" w:w="2268"/>
            <w:vAlign w:val="center"/>
            <w:shd w:fill="1F4E79"/>
          </w:tcPr>
          <w:p>
            <w:pPr>
              <w:spacing w:after="30"/>
            </w:pPr>
            <w:r>
              <w:rPr>
                <w:rFonts w:ascii="Times New Roman" w:hAnsi="Times New Roman" w:cs="Times New Roman" w:eastAsia="Times New Roman"/>
                <w:b/>
                <w:color w:val="FFFFFF"/>
                <w:sz w:val="17"/>
              </w:rPr>
              <w:t>Atouts pour un pont</w:t>
            </w:r>
          </w:p>
        </w:tc>
        <w:tc>
          <w:tcPr>
            <w:tcW w:type="dxa" w:w="2268"/>
            <w:vAlign w:val="center"/>
            <w:shd w:fill="1F4E79"/>
          </w:tcPr>
          <w:p>
            <w:pPr>
              <w:spacing w:after="30"/>
            </w:pPr>
            <w:r>
              <w:rPr>
                <w:rFonts w:ascii="Times New Roman" w:hAnsi="Times New Roman" w:cs="Times New Roman" w:eastAsia="Times New Roman"/>
                <w:b/>
                <w:color w:val="FFFFFF"/>
                <w:sz w:val="17"/>
              </w:rPr>
              <w:t>Limites et contrôles essentiels</w:t>
            </w:r>
          </w:p>
        </w:tc>
      </w:tr>
      <w:tr>
        <w:trPr>
          <w:cantSplit/>
        </w:trPr>
        <w:tc>
          <w:tcPr>
            <w:tcW w:type="dxa" w:w="2268"/>
            <w:vAlign w:val="center"/>
          </w:tcPr>
          <w:p>
            <w:pPr>
              <w:spacing w:after="30"/>
            </w:pPr>
            <w:r>
              <w:rPr>
                <w:rFonts w:ascii="Times New Roman" w:hAnsi="Times New Roman" w:cs="Times New Roman" w:eastAsia="Times New Roman"/>
                <w:b w:val="0"/>
                <w:sz w:val="17"/>
              </w:rPr>
              <w:t>SPT</w:t>
            </w:r>
          </w:p>
        </w:tc>
        <w:tc>
          <w:tcPr>
            <w:tcW w:type="dxa" w:w="2268"/>
            <w:vAlign w:val="center"/>
          </w:tcPr>
          <w:p>
            <w:pPr>
              <w:spacing w:after="30"/>
            </w:pPr>
            <w:r>
              <w:rPr>
                <w:rFonts w:ascii="Times New Roman" w:hAnsi="Times New Roman" w:cs="Times New Roman" w:eastAsia="Times New Roman"/>
                <w:b w:val="0"/>
                <w:sz w:val="17"/>
              </w:rPr>
              <w:t>Coups de pénétration et échantillon remanié</w:t>
            </w:r>
          </w:p>
        </w:tc>
        <w:tc>
          <w:tcPr>
            <w:tcW w:type="dxa" w:w="2268"/>
            <w:vAlign w:val="center"/>
          </w:tcPr>
          <w:p>
            <w:pPr>
              <w:spacing w:after="30"/>
            </w:pPr>
            <w:r>
              <w:rPr>
                <w:rFonts w:ascii="Times New Roman" w:hAnsi="Times New Roman" w:cs="Times New Roman" w:eastAsia="Times New Roman"/>
                <w:b w:val="0"/>
                <w:sz w:val="17"/>
              </w:rPr>
              <w:t>Profils, identification et corrélations courantes</w:t>
            </w:r>
          </w:p>
        </w:tc>
        <w:tc>
          <w:tcPr>
            <w:tcW w:type="dxa" w:w="2268"/>
            <w:vAlign w:val="center"/>
          </w:tcPr>
          <w:p>
            <w:pPr>
              <w:spacing w:after="30"/>
            </w:pPr>
            <w:r>
              <w:rPr>
                <w:rFonts w:ascii="Times New Roman" w:hAnsi="Times New Roman" w:cs="Times New Roman" w:eastAsia="Times New Roman"/>
                <w:b w:val="0"/>
                <w:sz w:val="17"/>
              </w:rPr>
              <w:t>Énergie, forage, tiges, sols graveleux et argiles très molles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CPT</w:t>
            </w:r>
          </w:p>
        </w:tc>
        <w:tc>
          <w:tcPr>
            <w:tcW w:type="dxa" w:w="2268"/>
            <w:vAlign w:val="center"/>
            <w:shd w:fill="F3F6F8"/>
          </w:tcPr>
          <w:p>
            <w:pPr>
              <w:spacing w:after="30"/>
            </w:pPr>
            <w:r>
              <w:rPr>
                <w:rFonts w:ascii="Times New Roman" w:hAnsi="Times New Roman" w:cs="Times New Roman" w:eastAsia="Times New Roman"/>
                <w:b w:val="0"/>
                <w:sz w:val="17"/>
              </w:rPr>
              <w:t>qc et fs en profil continu</w:t>
            </w:r>
          </w:p>
        </w:tc>
        <w:tc>
          <w:tcPr>
            <w:tcW w:type="dxa" w:w="2268"/>
            <w:vAlign w:val="center"/>
            <w:shd w:fill="F3F6F8"/>
          </w:tcPr>
          <w:p>
            <w:pPr>
              <w:spacing w:after="30"/>
            </w:pPr>
            <w:r>
              <w:rPr>
                <w:rFonts w:ascii="Times New Roman" w:hAnsi="Times New Roman" w:cs="Times New Roman" w:eastAsia="Times New Roman"/>
                <w:b w:val="0"/>
                <w:sz w:val="17"/>
              </w:rPr>
              <w:t>Détection des couches et hétérogénéités</w:t>
            </w:r>
          </w:p>
        </w:tc>
        <w:tc>
          <w:tcPr>
            <w:tcW w:type="dxa" w:w="2268"/>
            <w:vAlign w:val="center"/>
            <w:shd w:fill="F3F6F8"/>
          </w:tcPr>
          <w:p>
            <w:pPr>
              <w:spacing w:after="30"/>
            </w:pPr>
            <w:r>
              <w:rPr>
                <w:rFonts w:ascii="Times New Roman" w:hAnsi="Times New Roman" w:cs="Times New Roman" w:eastAsia="Times New Roman"/>
                <w:b w:val="0"/>
                <w:sz w:val="17"/>
              </w:rPr>
              <w:t>Pas d’échantillon, refus et interprétation indirecte</w:t>
            </w:r>
          </w:p>
        </w:tc>
      </w:tr>
      <w:tr>
        <w:trPr>
          <w:cantSplit/>
        </w:trPr>
        <w:tc>
          <w:tcPr>
            <w:tcW w:type="dxa" w:w="2268"/>
            <w:vAlign w:val="center"/>
          </w:tcPr>
          <w:p>
            <w:pPr>
              <w:spacing w:after="30"/>
            </w:pPr>
            <w:r>
              <w:rPr>
                <w:rFonts w:ascii="Times New Roman" w:hAnsi="Times New Roman" w:cs="Times New Roman" w:eastAsia="Times New Roman"/>
                <w:b w:val="0"/>
                <w:sz w:val="17"/>
              </w:rPr>
              <w:t>CPTu</w:t>
            </w:r>
          </w:p>
        </w:tc>
        <w:tc>
          <w:tcPr>
            <w:tcW w:type="dxa" w:w="2268"/>
            <w:vAlign w:val="center"/>
          </w:tcPr>
          <w:p>
            <w:pPr>
              <w:spacing w:after="30"/>
            </w:pPr>
            <w:r>
              <w:rPr>
                <w:rFonts w:ascii="Times New Roman" w:hAnsi="Times New Roman" w:cs="Times New Roman" w:eastAsia="Times New Roman"/>
                <w:b w:val="0"/>
                <w:sz w:val="17"/>
              </w:rPr>
              <w:t>qc, fs, u₂ et dissipation</w:t>
            </w:r>
          </w:p>
        </w:tc>
        <w:tc>
          <w:tcPr>
            <w:tcW w:type="dxa" w:w="2268"/>
            <w:vAlign w:val="center"/>
          </w:tcPr>
          <w:p>
            <w:pPr>
              <w:spacing w:after="30"/>
            </w:pPr>
            <w:r>
              <w:rPr>
                <w:rFonts w:ascii="Times New Roman" w:hAnsi="Times New Roman" w:cs="Times New Roman" w:eastAsia="Times New Roman"/>
                <w:b w:val="0"/>
                <w:sz w:val="17"/>
              </w:rPr>
              <w:t>Stratigraphie et réponse hydromécanique</w:t>
            </w:r>
          </w:p>
        </w:tc>
        <w:tc>
          <w:tcPr>
            <w:tcW w:type="dxa" w:w="2268"/>
            <w:vAlign w:val="center"/>
          </w:tcPr>
          <w:p>
            <w:pPr>
              <w:spacing w:after="30"/>
            </w:pPr>
            <w:r>
              <w:rPr>
                <w:rFonts w:ascii="Times New Roman" w:hAnsi="Times New Roman" w:cs="Times New Roman" w:eastAsia="Times New Roman"/>
                <w:b w:val="0"/>
                <w:sz w:val="17"/>
              </w:rPr>
              <w:t>Saturation, zéro, correction qt et modèle de dissipation</w:t>
            </w:r>
          </w:p>
        </w:tc>
      </w:tr>
      <w:tr>
        <w:trPr>
          <w:cantSplit/>
        </w:trPr>
        <w:tc>
          <w:tcPr>
            <w:tcW w:type="dxa" w:w="2268"/>
            <w:vAlign w:val="center"/>
            <w:shd w:fill="F3F6F8"/>
          </w:tcPr>
          <w:p>
            <w:pPr>
              <w:spacing w:after="30"/>
            </w:pPr>
            <w:r>
              <w:rPr>
                <w:rFonts w:ascii="Times New Roman" w:hAnsi="Times New Roman" w:cs="Times New Roman" w:eastAsia="Times New Roman"/>
                <w:b w:val="0"/>
                <w:sz w:val="17"/>
              </w:rPr>
              <w:t>PMT</w:t>
            </w:r>
          </w:p>
        </w:tc>
        <w:tc>
          <w:tcPr>
            <w:tcW w:type="dxa" w:w="2268"/>
            <w:vAlign w:val="center"/>
            <w:shd w:fill="F3F6F8"/>
          </w:tcPr>
          <w:p>
            <w:pPr>
              <w:spacing w:after="30"/>
            </w:pPr>
            <w:r>
              <w:rPr>
                <w:rFonts w:ascii="Times New Roman" w:hAnsi="Times New Roman" w:cs="Times New Roman" w:eastAsia="Times New Roman"/>
                <w:b w:val="0"/>
                <w:sz w:val="17"/>
              </w:rPr>
              <w:t>Courbe pression–volume</w:t>
            </w:r>
          </w:p>
        </w:tc>
        <w:tc>
          <w:tcPr>
            <w:tcW w:type="dxa" w:w="2268"/>
            <w:vAlign w:val="center"/>
            <w:shd w:fill="F3F6F8"/>
          </w:tcPr>
          <w:p>
            <w:pPr>
              <w:spacing w:after="30"/>
            </w:pPr>
            <w:r>
              <w:rPr>
                <w:rFonts w:ascii="Times New Roman" w:hAnsi="Times New Roman" w:cs="Times New Roman" w:eastAsia="Times New Roman"/>
                <w:b w:val="0"/>
                <w:sz w:val="17"/>
              </w:rPr>
              <w:t>Déformation et pression limite dans un forage</w:t>
            </w:r>
          </w:p>
        </w:tc>
        <w:tc>
          <w:tcPr>
            <w:tcW w:type="dxa" w:w="2268"/>
            <w:vAlign w:val="center"/>
            <w:shd w:fill="F3F6F8"/>
          </w:tcPr>
          <w:p>
            <w:pPr>
              <w:spacing w:after="30"/>
            </w:pPr>
            <w:r>
              <w:rPr>
                <w:rFonts w:ascii="Times New Roman" w:hAnsi="Times New Roman" w:cs="Times New Roman" w:eastAsia="Times New Roman"/>
                <w:b w:val="0"/>
                <w:sz w:val="17"/>
              </w:rPr>
              <w:t>Qualité du forage, corrections et règles de calcul spécifiques</w:t>
            </w:r>
          </w:p>
        </w:tc>
      </w:tr>
      <w:tr>
        <w:trPr>
          <w:cantSplit/>
        </w:trPr>
        <w:tc>
          <w:tcPr>
            <w:tcW w:type="dxa" w:w="2268"/>
            <w:vAlign w:val="center"/>
          </w:tcPr>
          <w:p>
            <w:pPr>
              <w:spacing w:after="30"/>
            </w:pPr>
            <w:r>
              <w:rPr>
                <w:rFonts w:ascii="Times New Roman" w:hAnsi="Times New Roman" w:cs="Times New Roman" w:eastAsia="Times New Roman"/>
                <w:b w:val="0"/>
                <w:sz w:val="17"/>
              </w:rPr>
              <w:t>Scissomètre</w:t>
            </w:r>
          </w:p>
        </w:tc>
        <w:tc>
          <w:tcPr>
            <w:tcW w:type="dxa" w:w="2268"/>
            <w:vAlign w:val="center"/>
          </w:tcPr>
          <w:p>
            <w:pPr>
              <w:spacing w:after="30"/>
            </w:pPr>
            <w:r>
              <w:rPr>
                <w:rFonts w:ascii="Times New Roman" w:hAnsi="Times New Roman" w:cs="Times New Roman" w:eastAsia="Times New Roman"/>
                <w:b w:val="0"/>
                <w:sz w:val="17"/>
              </w:rPr>
              <w:t>Couple de rotation</w:t>
            </w:r>
          </w:p>
        </w:tc>
        <w:tc>
          <w:tcPr>
            <w:tcW w:type="dxa" w:w="2268"/>
            <w:vAlign w:val="center"/>
          </w:tcPr>
          <w:p>
            <w:pPr>
              <w:spacing w:after="30"/>
            </w:pPr>
            <w:r>
              <w:rPr>
                <w:rFonts w:ascii="Times New Roman" w:hAnsi="Times New Roman" w:cs="Times New Roman" w:eastAsia="Times New Roman"/>
                <w:b w:val="0"/>
                <w:sz w:val="17"/>
              </w:rPr>
              <w:t>Résistance non drainée des argiles adaptées</w:t>
            </w:r>
          </w:p>
        </w:tc>
        <w:tc>
          <w:tcPr>
            <w:tcW w:type="dxa" w:w="2268"/>
            <w:vAlign w:val="center"/>
          </w:tcPr>
          <w:p>
            <w:pPr>
              <w:spacing w:after="30"/>
            </w:pPr>
            <w:r>
              <w:rPr>
                <w:rFonts w:ascii="Times New Roman" w:hAnsi="Times New Roman" w:cs="Times New Roman" w:eastAsia="Times New Roman"/>
                <w:b w:val="0"/>
                <w:sz w:val="17"/>
              </w:rPr>
              <w:t>Géométrie, vitesse, anisotrope et remaniement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DMT</w:t>
            </w:r>
          </w:p>
        </w:tc>
        <w:tc>
          <w:tcPr>
            <w:tcW w:type="dxa" w:w="2268"/>
            <w:vAlign w:val="center"/>
            <w:shd w:fill="F3F6F8"/>
          </w:tcPr>
          <w:p>
            <w:pPr>
              <w:spacing w:after="30"/>
            </w:pPr>
            <w:r>
              <w:rPr>
                <w:rFonts w:ascii="Times New Roman" w:hAnsi="Times New Roman" w:cs="Times New Roman" w:eastAsia="Times New Roman"/>
                <w:b w:val="0"/>
                <w:sz w:val="17"/>
              </w:rPr>
              <w:t>Pressions de membrane et indices</w:t>
            </w:r>
          </w:p>
        </w:tc>
        <w:tc>
          <w:tcPr>
            <w:tcW w:type="dxa" w:w="2268"/>
            <w:vAlign w:val="center"/>
            <w:shd w:fill="F3F6F8"/>
          </w:tcPr>
          <w:p>
            <w:pPr>
              <w:spacing w:after="30"/>
            </w:pPr>
            <w:r>
              <w:rPr>
                <w:rFonts w:ascii="Times New Roman" w:hAnsi="Times New Roman" w:cs="Times New Roman" w:eastAsia="Times New Roman"/>
                <w:b w:val="0"/>
                <w:sz w:val="17"/>
              </w:rPr>
              <w:t>Profil et estimations de déformabilité</w:t>
            </w:r>
          </w:p>
        </w:tc>
        <w:tc>
          <w:tcPr>
            <w:tcW w:type="dxa" w:w="2268"/>
            <w:vAlign w:val="center"/>
            <w:shd w:fill="F3F6F8"/>
          </w:tcPr>
          <w:p>
            <w:pPr>
              <w:spacing w:after="30"/>
            </w:pPr>
            <w:r>
              <w:rPr>
                <w:rFonts w:ascii="Times New Roman" w:hAnsi="Times New Roman" w:cs="Times New Roman" w:eastAsia="Times New Roman"/>
                <w:b w:val="0"/>
                <w:sz w:val="17"/>
              </w:rPr>
              <w:t>Installation, corrélations et domaine du sol</w:t>
            </w:r>
          </w:p>
        </w:tc>
      </w:tr>
      <w:tr>
        <w:trPr>
          <w:cantSplit/>
        </w:trPr>
        <w:tc>
          <w:tcPr>
            <w:tcW w:type="dxa" w:w="2268"/>
            <w:vAlign w:val="center"/>
          </w:tcPr>
          <w:p>
            <w:pPr>
              <w:spacing w:after="30"/>
            </w:pPr>
            <w:r>
              <w:rPr>
                <w:rFonts w:ascii="Times New Roman" w:hAnsi="Times New Roman" w:cs="Times New Roman" w:eastAsia="Times New Roman"/>
                <w:b w:val="0"/>
                <w:sz w:val="17"/>
              </w:rPr>
              <w:t>Pénétromètre dynamique</w:t>
            </w:r>
          </w:p>
        </w:tc>
        <w:tc>
          <w:tcPr>
            <w:tcW w:type="dxa" w:w="2268"/>
            <w:vAlign w:val="center"/>
          </w:tcPr>
          <w:p>
            <w:pPr>
              <w:spacing w:after="30"/>
            </w:pPr>
            <w:r>
              <w:rPr>
                <w:rFonts w:ascii="Times New Roman" w:hAnsi="Times New Roman" w:cs="Times New Roman" w:eastAsia="Times New Roman"/>
                <w:b w:val="0"/>
                <w:sz w:val="17"/>
              </w:rPr>
              <w:t>Résistance au battage</w:t>
            </w:r>
          </w:p>
        </w:tc>
        <w:tc>
          <w:tcPr>
            <w:tcW w:type="dxa" w:w="2268"/>
            <w:vAlign w:val="center"/>
          </w:tcPr>
          <w:p>
            <w:pPr>
              <w:spacing w:after="30"/>
            </w:pPr>
            <w:r>
              <w:rPr>
                <w:rFonts w:ascii="Times New Roman" w:hAnsi="Times New Roman" w:cs="Times New Roman" w:eastAsia="Times New Roman"/>
                <w:b w:val="0"/>
                <w:sz w:val="17"/>
              </w:rPr>
              <w:t>Reconnaissance rapide et continuité</w:t>
            </w:r>
          </w:p>
        </w:tc>
        <w:tc>
          <w:tcPr>
            <w:tcW w:type="dxa" w:w="2268"/>
            <w:vAlign w:val="center"/>
          </w:tcPr>
          <w:p>
            <w:pPr>
              <w:spacing w:after="30"/>
            </w:pPr>
            <w:r>
              <w:rPr>
                <w:rFonts w:ascii="Times New Roman" w:hAnsi="Times New Roman" w:cs="Times New Roman" w:eastAsia="Times New Roman"/>
                <w:b w:val="0"/>
                <w:sz w:val="17"/>
              </w:rPr>
              <w:t>Énergie, frottement des tiges, obstacles et calibration</w:t>
            </w:r>
          </w:p>
        </w:tc>
      </w:tr>
    </w:tbl>
    <w:p>
      <w:pPr>
        <w:spacing w:after="20"/>
      </w:pPr>
    </w:p>
    <w:p>
      <w:pPr>
        <w:pStyle w:val="Heading2"/>
      </w:pPr>
      <w:r>
        <w:rPr>
          <w:rFonts w:ascii="Times New Roman" w:hAnsi="Times New Roman" w:cs="Times New Roman" w:eastAsia="Times New Roman"/>
          <w:b/>
          <w:color w:val="1F4E79"/>
          <w:sz w:val="24"/>
        </w:rPr>
        <w:t>III.8 Essais de laboratoire</w:t>
      </w:r>
    </w:p>
    <w:p>
      <w:pPr>
        <w:pStyle w:val="Heading3"/>
      </w:pPr>
      <w:r>
        <w:rPr>
          <w:rFonts w:ascii="Times New Roman" w:hAnsi="Times New Roman" w:cs="Times New Roman" w:eastAsia="Times New Roman"/>
          <w:b/>
          <w:color w:val="233741"/>
          <w:sz w:val="24"/>
        </w:rPr>
        <w:t>III.8.1 Identification et classification</w:t>
      </w:r>
    </w:p>
    <w:p>
      <w:pPr>
        <w:jc w:val="both"/>
      </w:pPr>
      <w:r>
        <w:rPr>
          <w:rFonts w:ascii="Times New Roman" w:hAnsi="Times New Roman" w:cs="Times New Roman" w:eastAsia="Times New Roman"/>
          <w:b w:val="0"/>
          <w:sz w:val="24"/>
        </w:rPr>
        <w:t>Les essais d’identification comprennent notamment la teneur en eau, la granulométrie, les limites d’Atterberg, la masse volumique et la composition minéralogique. Ils permettent de relier les échantillons aux unités du modèle et de choisir les essais mécaniques.</w:t>
      </w:r>
    </w:p>
    <w:p>
      <w:pPr>
        <w:jc w:val="both"/>
      </w:pPr>
      <w:r>
        <w:rPr>
          <w:rFonts w:ascii="Times New Roman" w:hAnsi="Times New Roman" w:cs="Times New Roman" w:eastAsia="Times New Roman"/>
          <w:b w:val="0"/>
          <w:sz w:val="24"/>
        </w:rPr>
        <w:t>La représentativité est centrale. Quelques échantillons ne décrivent pas une couche hétérogène sans une stratégie de prélèvement et une comparaison avec les profils in situ. Les résultats doivent être examinés en distribution et non uniquement en moyenne.</w:t>
      </w:r>
    </w:p>
    <w:p>
      <w:pPr>
        <w:jc w:val="both"/>
      </w:pPr>
      <w:r>
        <w:rPr>
          <w:rFonts w:ascii="Times New Roman" w:hAnsi="Times New Roman" w:cs="Times New Roman" w:eastAsia="Times New Roman"/>
          <w:b w:val="0"/>
          <w:sz w:val="24"/>
        </w:rPr>
        <w:t>La colonne de tamis, les masses retenues et la perte de fines doivent être consignées pour qu’une courbe granulométrique soit reproductible. Les tamis photographiés illustrent le matériel ; ils ne constituent pas, à eux seuls, un résultat d’analyse.</w:t>
      </w:r>
    </w:p>
    <w:p>
      <w:pPr>
        <w:keepNext/>
        <w:jc w:val="center"/>
      </w:pPr>
      <w:r>
        <w:drawing>
          <wp:inline xmlns:a="http://schemas.openxmlformats.org/drawingml/2006/main" xmlns:pic="http://schemas.openxmlformats.org/drawingml/2006/picture">
            <wp:extent cx="4156363" cy="3117272"/>
            <wp:docPr id="28" name="Picture 28"/>
            <wp:cNvGraphicFramePr>
              <a:graphicFrameLocks noChangeAspect="1"/>
            </wp:cNvGraphicFramePr>
            <a:graphic>
              <a:graphicData uri="http://schemas.openxmlformats.org/drawingml/2006/picture">
                <pic:pic>
                  <pic:nvPicPr>
                    <pic:cNvPr id="0" name="photo_lab_sieves.png"/>
                    <pic:cNvPicPr/>
                  </pic:nvPicPr>
                  <pic:blipFill>
                    <a:blip r:embed="rId54"/>
                    <a:stretch>
                      <a:fillRect/>
                    </a:stretch>
                  </pic:blipFill>
                  <pic:spPr>
                    <a:xfrm>
                      <a:off x="0" y="0"/>
                      <a:ext cx="4156363" cy="3117272"/>
                    </a:xfrm>
                    <a:prstGeom prst="rect"/>
                  </pic:spPr>
                </pic:pic>
              </a:graphicData>
            </a:graphic>
          </wp:inline>
        </w:drawing>
      </w:r>
    </w:p>
    <w:p>
      <w:bookmarkStart w:id="55" w:name="BM_FIGIII_4"/>
      <w:pPr>
        <w:jc w:val="center"/>
      </w:pPr>
      <w:r>
        <w:rPr>
          <w:rFonts w:ascii="Times New Roman" w:hAnsi="Times New Roman" w:cs="Times New Roman" w:eastAsia="Times New Roman"/>
          <w:b/>
          <w:sz w:val="20"/>
        </w:rPr>
        <w:t>Figure III.4 — Tamis de laboratoire de 1 700, 500 et 250 µm utilisés pour le fractionnement granulométrique</w:t>
      </w:r>
      <w:bookmarkEnd w:id="55"/>
    </w:p>
    <w:p>
      <w:pPr>
        <w:jc w:val="right"/>
      </w:pPr>
      <w:r>
        <w:rPr>
          <w:rFonts w:ascii="Times New Roman" w:hAnsi="Times New Roman" w:cs="Times New Roman" w:eastAsia="Times New Roman"/>
          <w:b w:val="0"/>
          <w:color w:val="59636B"/>
          <w:sz w:val="20"/>
        </w:rPr>
        <w:t>Source : BMK, « Laboratory sieves », Wikimedia Commons, CC BY-SA 3.0.</w:t>
      </w:r>
    </w:p>
    <w:p>
      <w:pPr>
        <w:jc w:val="both"/>
      </w:pPr>
      <w:r>
        <w:rPr>
          <w:rFonts w:ascii="Times New Roman" w:hAnsi="Times New Roman" w:cs="Times New Roman" w:eastAsia="Times New Roman"/>
          <w:b w:val="0"/>
          <w:sz w:val="24"/>
        </w:rPr>
        <w:t>Pour les limites d’Atterberg, la préparation de la pâte et la géométrie du sillon influencent la répétabilité. La coupelle de Casagrande ci-dessous montre une étape matérielle de l’essai, sans dispenser du protocole ni du compte des coups.</w:t>
      </w:r>
    </w:p>
    <w:p>
      <w:pPr>
        <w:keepNext/>
        <w:jc w:val="center"/>
      </w:pPr>
      <w:r>
        <w:drawing>
          <wp:inline xmlns:a="http://schemas.openxmlformats.org/drawingml/2006/main" xmlns:pic="http://schemas.openxmlformats.org/drawingml/2006/picture">
            <wp:extent cx="3913043" cy="5219999"/>
            <wp:docPr id="29" name="Picture 29"/>
            <wp:cNvGraphicFramePr>
              <a:graphicFrameLocks noChangeAspect="1"/>
            </wp:cNvGraphicFramePr>
            <a:graphic>
              <a:graphicData uri="http://schemas.openxmlformats.org/drawingml/2006/picture">
                <pic:pic>
                  <pic:nvPicPr>
                    <pic:cNvPr id="0" name="photo_casagrande_cup.png"/>
                    <pic:cNvPicPr/>
                  </pic:nvPicPr>
                  <pic:blipFill>
                    <a:blip r:embed="rId55"/>
                    <a:stretch>
                      <a:fillRect/>
                    </a:stretch>
                  </pic:blipFill>
                  <pic:spPr>
                    <a:xfrm>
                      <a:off x="0" y="0"/>
                      <a:ext cx="3913043" cy="5219999"/>
                    </a:xfrm>
                    <a:prstGeom prst="rect"/>
                  </pic:spPr>
                </pic:pic>
              </a:graphicData>
            </a:graphic>
          </wp:inline>
        </w:drawing>
      </w:r>
    </w:p>
    <w:p>
      <w:bookmarkStart w:id="56" w:name="BM_FIGIII_5"/>
      <w:pPr>
        <w:jc w:val="center"/>
      </w:pPr>
      <w:r>
        <w:rPr>
          <w:rFonts w:ascii="Times New Roman" w:hAnsi="Times New Roman" w:cs="Times New Roman" w:eastAsia="Times New Roman"/>
          <w:b/>
          <w:sz w:val="20"/>
        </w:rPr>
        <w:t>Figure III.5 — Coupelle de Casagrande et sillon dans la pâte de sol pour la détermination de la limite de liquidité</w:t>
      </w:r>
      <w:bookmarkEnd w:id="56"/>
    </w:p>
    <w:p>
      <w:pPr>
        <w:jc w:val="right"/>
      </w:pPr>
      <w:r>
        <w:rPr>
          <w:rFonts w:ascii="Times New Roman" w:hAnsi="Times New Roman" w:cs="Times New Roman" w:eastAsia="Times New Roman"/>
          <w:b w:val="0"/>
          <w:color w:val="59636B"/>
          <w:sz w:val="20"/>
        </w:rPr>
        <w:t>Source : E smith2000, « Atterberg limits 02 », Wikimedia Commons, domaine public.</w:t>
      </w:r>
    </w:p>
    <w:p>
      <w:pPr>
        <w:pStyle w:val="Heading3"/>
      </w:pPr>
      <w:r>
        <w:rPr>
          <w:rFonts w:ascii="Times New Roman" w:hAnsi="Times New Roman" w:cs="Times New Roman" w:eastAsia="Times New Roman"/>
          <w:b/>
          <w:color w:val="233741"/>
          <w:sz w:val="24"/>
        </w:rPr>
        <w:t>III.8.2 Compressibilité et consolidation</w:t>
      </w:r>
    </w:p>
    <w:p>
      <w:pPr>
        <w:jc w:val="both"/>
      </w:pPr>
      <w:r>
        <w:rPr>
          <w:rFonts w:ascii="Times New Roman" w:hAnsi="Times New Roman" w:cs="Times New Roman" w:eastAsia="Times New Roman"/>
          <w:b w:val="0"/>
          <w:sz w:val="24"/>
        </w:rPr>
        <w:t>L’essai œdométrique mesure la déformation d’un échantillon sous chargement vertical avec confinement latéral. Il permet d’étudier la compressibilité et, dans les conditions adaptées, la consolidation. La relation simple fondée sur l’indice de compression Cc ne décrit que la partie vierge normalement consolidée de la courbe.</w:t>
      </w:r>
    </w:p>
    <w:p>
      <w:pPr>
        <w:jc w:val="both"/>
      </w:pPr>
      <w:r>
        <w:rPr>
          <w:rFonts w:ascii="Times New Roman" w:hAnsi="Times New Roman" w:cs="Times New Roman" w:eastAsia="Times New Roman"/>
          <w:b w:val="0"/>
          <w:sz w:val="24"/>
        </w:rPr>
        <w:t>Pour un sol surconsolidé, le calcul doit distinguer la zone de recompression et le dépassement de la contrainte de préconsolidation. Une expression générale par couche peut être écrite :</w:t>
      </w:r>
    </w:p>
    <w:p>
      <w:pPr>
        <w:jc w:val="center"/>
      </w:pPr>
      <w:r>
        <w:rPr>
          <w:rFonts w:ascii="Times New Roman" w:hAnsi="Times New Roman" w:cs="Times New Roman" w:eastAsia="Times New Roman"/>
          <w:b w:val="0"/>
          <w:sz w:val="24"/>
        </w:rPr>
        <w:t>s = Σ [Hᵢ/(1+e₀,ᵢ)] · Δeᵢ</w:t>
      </w:r>
    </w:p>
    <w:p>
      <w:pPr>
        <w:jc w:val="both"/>
      </w:pPr>
      <w:r>
        <w:rPr>
          <w:rFonts w:ascii="Times New Roman" w:hAnsi="Times New Roman" w:cs="Times New Roman" w:eastAsia="Times New Roman"/>
          <w:b w:val="0"/>
          <w:sz w:val="24"/>
        </w:rPr>
        <w:t>où Hᵢ est l’épaisseur de la couche, e₀,ᵢ son indice des vides initial et Δeᵢ la variation calculée à partir du chemin de contrainte. Cette écriture évite d’appliquer une seule pente à toute la courbe.</w:t>
      </w:r>
    </w:p>
    <w:p>
      <w:pPr>
        <w:jc w:val="both"/>
      </w:pPr>
      <w:r>
        <w:rPr>
          <w:rFonts w:ascii="Times New Roman" w:hAnsi="Times New Roman" w:cs="Times New Roman" w:eastAsia="Times New Roman"/>
          <w:b w:val="0"/>
          <w:sz w:val="24"/>
        </w:rPr>
        <w:t>Les montages œdométriques suivants illustrent le chargement vertical et le confinement de l’éprouvette. La lecture des tassements, les paliers et le temps de consolidation restent indispensables : une photographie de l’appareil ne remplace aucune courbe d’essai.</w:t>
      </w:r>
    </w:p>
    <w:p>
      <w:pPr>
        <w:keepNext/>
        <w:jc w:val="center"/>
      </w:pPr>
      <w:r>
        <w:drawing>
          <wp:inline xmlns:a="http://schemas.openxmlformats.org/drawingml/2006/main" xmlns:pic="http://schemas.openxmlformats.org/drawingml/2006/picture">
            <wp:extent cx="5760000" cy="2496000"/>
            <wp:docPr id="30" name="Picture 30"/>
            <wp:cNvGraphicFramePr>
              <a:graphicFrameLocks noChangeAspect="1"/>
            </wp:cNvGraphicFramePr>
            <a:graphic>
              <a:graphicData uri="http://schemas.openxmlformats.org/drawingml/2006/picture">
                <pic:pic>
                  <pic:nvPicPr>
                    <pic:cNvPr id="0" name="photo_oedometers.png"/>
                    <pic:cNvPicPr/>
                  </pic:nvPicPr>
                  <pic:blipFill>
                    <a:blip r:embed="rId56"/>
                    <a:stretch>
                      <a:fillRect/>
                    </a:stretch>
                  </pic:blipFill>
                  <pic:spPr>
                    <a:xfrm>
                      <a:off x="0" y="0"/>
                      <a:ext cx="5760000" cy="2496000"/>
                    </a:xfrm>
                    <a:prstGeom prst="rect"/>
                  </pic:spPr>
                </pic:pic>
              </a:graphicData>
            </a:graphic>
          </wp:inline>
        </w:drawing>
      </w:r>
    </w:p>
    <w:p>
      <w:bookmarkStart w:id="57" w:name="BM_FIGIII_6"/>
      <w:pPr>
        <w:jc w:val="center"/>
      </w:pPr>
      <w:r>
        <w:rPr>
          <w:rFonts w:ascii="Times New Roman" w:hAnsi="Times New Roman" w:cs="Times New Roman" w:eastAsia="Times New Roman"/>
          <w:b/>
          <w:sz w:val="20"/>
        </w:rPr>
        <w:t>Figure III.6 — Matériel œdométrique : (a) deux appareils à l’Université de Cambridge ; (b) cadre de mesure de la compressibilité uniaxiale</w:t>
      </w:r>
      <w:bookmarkEnd w:id="57"/>
    </w:p>
    <w:p>
      <w:pPr>
        <w:jc w:val="right"/>
      </w:pPr>
      <w:r>
        <w:rPr>
          <w:rFonts w:ascii="Times New Roman" w:hAnsi="Times New Roman" w:cs="Times New Roman" w:eastAsia="Times New Roman"/>
          <w:b w:val="0"/>
          <w:color w:val="59636B"/>
          <w:sz w:val="20"/>
        </w:rPr>
        <w:t>Source : (a) Deryck Chan, Wikimedia Commons, CC BY-SA 4.0 ; (b) Michal Šobr, Wikimedia Commons, CC0.</w:t>
      </w:r>
    </w:p>
    <w:p>
      <w:pPr>
        <w:pStyle w:val="Heading3"/>
      </w:pPr>
      <w:r>
        <w:rPr>
          <w:rFonts w:ascii="Times New Roman" w:hAnsi="Times New Roman" w:cs="Times New Roman" w:eastAsia="Times New Roman"/>
          <w:b/>
          <w:color w:val="233741"/>
          <w:sz w:val="24"/>
        </w:rPr>
        <w:t>III.8.3 Résistance au cisaillement</w:t>
      </w:r>
    </w:p>
    <w:p>
      <w:pPr>
        <w:jc w:val="both"/>
      </w:pPr>
      <w:r>
        <w:rPr>
          <w:rFonts w:ascii="Times New Roman" w:hAnsi="Times New Roman" w:cs="Times New Roman" w:eastAsia="Times New Roman"/>
          <w:b w:val="0"/>
          <w:sz w:val="24"/>
        </w:rPr>
        <w:t>Le choix entre conditions drainées et non drainées dépend du chargement, de la perméabilité et de la vitesse de dissipation. Les essais triaxiaux permettent de contrôler le confinement et, selon le protocole, le drainage et la mesure de pression interstitielle. Un essai consolidé drainé et un essai consolidé non drainé avec mesure de u ne répondent pas à la même question.</w:t>
      </w:r>
    </w:p>
    <w:p>
      <w:pPr>
        <w:jc w:val="both"/>
      </w:pPr>
      <w:r>
        <w:rPr>
          <w:rFonts w:ascii="Times New Roman" w:hAnsi="Times New Roman" w:cs="Times New Roman" w:eastAsia="Times New Roman"/>
          <w:b w:val="0"/>
          <w:sz w:val="24"/>
        </w:rPr>
        <w:t>La boîte de cisaillement impose un plan de déformation et peut convenir à certains matériaux et interfaces. Elle ne doit pas être décrite comme équivalente à tous les chemins triaxiaux. Les paramètres sont interprétés avec les contraintes normales, la densité, la saturation et le remaniement.</w:t>
      </w:r>
    </w:p>
    <w:p>
      <w:pPr>
        <w:pStyle w:val="Heading3"/>
      </w:pPr>
      <w:r>
        <w:rPr>
          <w:rFonts w:ascii="Times New Roman" w:hAnsi="Times New Roman" w:cs="Times New Roman" w:eastAsia="Times New Roman"/>
          <w:b/>
          <w:color w:val="233741"/>
          <w:sz w:val="24"/>
        </w:rPr>
        <w:t>III.8.4 Essais spécifiques</w:t>
      </w:r>
    </w:p>
    <w:p>
      <w:pPr>
        <w:jc w:val="both"/>
      </w:pPr>
      <w:r>
        <w:rPr>
          <w:rFonts w:ascii="Times New Roman" w:hAnsi="Times New Roman" w:cs="Times New Roman" w:eastAsia="Times New Roman"/>
          <w:b w:val="0"/>
          <w:sz w:val="24"/>
        </w:rPr>
        <w:t>Les sols gonflants, affaissables, dispersifs ou potentiellement liquéfiables nécessitent des protocoles adaptés. Les essais de gonflement doivent préciser le confinement et l’humidification ; ceux de collapse reproduisent un chargement et une imbibition ; les analyses d’érosion examinent la compatibilité des matériaux et de l’écoulement.</w:t>
      </w:r>
    </w:p>
    <w:p>
      <w:pPr>
        <w:jc w:val="both"/>
      </w:pPr>
      <w:r>
        <w:rPr>
          <w:rFonts w:ascii="Times New Roman" w:hAnsi="Times New Roman" w:cs="Times New Roman" w:eastAsia="Times New Roman"/>
          <w:b w:val="0"/>
          <w:sz w:val="24"/>
        </w:rPr>
        <w:t>Les essais chimiques sur le sol et l’eau sont reliés aux classes d’exposition et aux matériaux. Une analyse sans condition de prélèvement ni référentiel ne permet pas de prescrire un ciment ou un enrobage.</w:t>
      </w:r>
    </w:p>
    <w:p>
      <w:pPr>
        <w:jc w:val="both"/>
      </w:pPr>
      <w:r>
        <w:rPr>
          <w:rFonts w:ascii="Times New Roman" w:hAnsi="Times New Roman" w:cs="Times New Roman" w:eastAsia="Times New Roman"/>
          <w:b w:val="0"/>
          <w:sz w:val="24"/>
        </w:rPr>
        <w:t>La mesure de pH ci-dessous est un exemple de caractérisation chimique. Elle doit être complétée, selon la question de durabilité, par les autres analyses et par les conditions d’exposition ; elle ne suffit pas à attribuer une classe d’agressivité.</w:t>
      </w:r>
    </w:p>
    <w:p>
      <w:pPr>
        <w:keepNext/>
        <w:jc w:val="center"/>
      </w:pPr>
      <w:r>
        <w:drawing>
          <wp:inline xmlns:a="http://schemas.openxmlformats.org/drawingml/2006/main" xmlns:pic="http://schemas.openxmlformats.org/drawingml/2006/picture">
            <wp:extent cx="4156363" cy="2793076"/>
            <wp:docPr id="31" name="Picture 31"/>
            <wp:cNvGraphicFramePr>
              <a:graphicFrameLocks noChangeAspect="1"/>
            </wp:cNvGraphicFramePr>
            <a:graphic>
              <a:graphicData uri="http://schemas.openxmlformats.org/drawingml/2006/picture">
                <pic:pic>
                  <pic:nvPicPr>
                    <pic:cNvPr id="0" name="photo_soil_ph_csiro.png"/>
                    <pic:cNvPicPr/>
                  </pic:nvPicPr>
                  <pic:blipFill>
                    <a:blip r:embed="rId57"/>
                    <a:stretch>
                      <a:fillRect/>
                    </a:stretch>
                  </pic:blipFill>
                  <pic:spPr>
                    <a:xfrm>
                      <a:off x="0" y="0"/>
                      <a:ext cx="4156363" cy="2793076"/>
                    </a:xfrm>
                    <a:prstGeom prst="rect"/>
                  </pic:spPr>
                </pic:pic>
              </a:graphicData>
            </a:graphic>
          </wp:inline>
        </w:drawing>
      </w:r>
    </w:p>
    <w:p>
      <w:bookmarkStart w:id="58" w:name="BM_FIGIII_7"/>
      <w:pPr>
        <w:jc w:val="center"/>
      </w:pPr>
      <w:r>
        <w:rPr>
          <w:rFonts w:ascii="Times New Roman" w:hAnsi="Times New Roman" w:cs="Times New Roman" w:eastAsia="Times New Roman"/>
          <w:b/>
          <w:sz w:val="20"/>
        </w:rPr>
        <w:t>Figure III.7 — Détermination du pH d’un échantillon de sol par comparaison colorimétrique au CSIRO</w:t>
      </w:r>
      <w:bookmarkEnd w:id="58"/>
    </w:p>
    <w:p>
      <w:pPr>
        <w:jc w:val="right"/>
      </w:pPr>
      <w:r>
        <w:rPr>
          <w:rFonts w:ascii="Times New Roman" w:hAnsi="Times New Roman" w:cs="Times New Roman" w:eastAsia="Times New Roman"/>
          <w:b w:val="0"/>
          <w:color w:val="59636B"/>
          <w:sz w:val="20"/>
        </w:rPr>
        <w:t>Source : CSIRO Forestry and Forest Products, « Testing soil pH », Wikimedia Commons, CC BY 3.0.</w:t>
      </w:r>
    </w:p>
    <w:p>
      <w:bookmarkStart w:id="59" w:name="BM_TABIII_4"/>
      <w:pPr>
        <w:keepNext/>
        <w:jc w:val="center"/>
      </w:pPr>
      <w:r>
        <w:rPr>
          <w:rFonts w:ascii="Times New Roman" w:hAnsi="Times New Roman" w:cs="Times New Roman" w:eastAsia="Times New Roman"/>
          <w:b/>
          <w:sz w:val="20"/>
        </w:rPr>
        <w:t>Tableau III.4 — Essais de laboratoire et paramètres recherchés</w:t>
      </w:r>
      <w:bookmarkEnd w:id="59"/>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Essai</w:t>
            </w:r>
          </w:p>
        </w:tc>
        <w:tc>
          <w:tcPr>
            <w:tcW w:type="dxa" w:w="2268"/>
            <w:vAlign w:val="center"/>
            <w:shd w:fill="1F4E79"/>
          </w:tcPr>
          <w:p>
            <w:pPr>
              <w:spacing w:after="30"/>
            </w:pPr>
            <w:r>
              <w:rPr>
                <w:rFonts w:ascii="Times New Roman" w:hAnsi="Times New Roman" w:cs="Times New Roman" w:eastAsia="Times New Roman"/>
                <w:b/>
                <w:color w:val="FFFFFF"/>
                <w:sz w:val="17"/>
              </w:rPr>
              <w:t>Résultat principal</w:t>
            </w:r>
          </w:p>
        </w:tc>
        <w:tc>
          <w:tcPr>
            <w:tcW w:type="dxa" w:w="2268"/>
            <w:vAlign w:val="center"/>
            <w:shd w:fill="1F4E79"/>
          </w:tcPr>
          <w:p>
            <w:pPr>
              <w:spacing w:after="30"/>
            </w:pPr>
            <w:r>
              <w:rPr>
                <w:rFonts w:ascii="Times New Roman" w:hAnsi="Times New Roman" w:cs="Times New Roman" w:eastAsia="Times New Roman"/>
                <w:b/>
                <w:color w:val="FFFFFF"/>
                <w:sz w:val="17"/>
              </w:rPr>
              <w:t>Utilisation pour le projet</w:t>
            </w:r>
          </w:p>
        </w:tc>
        <w:tc>
          <w:tcPr>
            <w:tcW w:type="dxa" w:w="2268"/>
            <w:vAlign w:val="center"/>
            <w:shd w:fill="1F4E79"/>
          </w:tcPr>
          <w:p>
            <w:pPr>
              <w:spacing w:after="30"/>
            </w:pPr>
            <w:r>
              <w:rPr>
                <w:rFonts w:ascii="Times New Roman" w:hAnsi="Times New Roman" w:cs="Times New Roman" w:eastAsia="Times New Roman"/>
                <w:b/>
                <w:color w:val="FFFFFF"/>
                <w:sz w:val="17"/>
              </w:rPr>
              <w:t>Précaution dominante</w:t>
            </w:r>
          </w:p>
        </w:tc>
      </w:tr>
      <w:tr>
        <w:trPr>
          <w:cantSplit/>
        </w:trPr>
        <w:tc>
          <w:tcPr>
            <w:tcW w:type="dxa" w:w="2268"/>
            <w:vAlign w:val="center"/>
          </w:tcPr>
          <w:p>
            <w:pPr>
              <w:spacing w:after="30"/>
            </w:pPr>
            <w:r>
              <w:rPr>
                <w:rFonts w:ascii="Times New Roman" w:hAnsi="Times New Roman" w:cs="Times New Roman" w:eastAsia="Times New Roman"/>
                <w:b w:val="0"/>
                <w:sz w:val="17"/>
              </w:rPr>
              <w:t>Granulométrie et classification</w:t>
            </w:r>
          </w:p>
        </w:tc>
        <w:tc>
          <w:tcPr>
            <w:tcW w:type="dxa" w:w="2268"/>
            <w:vAlign w:val="center"/>
          </w:tcPr>
          <w:p>
            <w:pPr>
              <w:spacing w:after="30"/>
            </w:pPr>
            <w:r>
              <w:rPr>
                <w:rFonts w:ascii="Times New Roman" w:hAnsi="Times New Roman" w:cs="Times New Roman" w:eastAsia="Times New Roman"/>
                <w:b w:val="0"/>
                <w:sz w:val="17"/>
              </w:rPr>
              <w:t>Distribution des particules et comportement indicatif</w:t>
            </w:r>
          </w:p>
        </w:tc>
        <w:tc>
          <w:tcPr>
            <w:tcW w:type="dxa" w:w="2268"/>
            <w:vAlign w:val="center"/>
          </w:tcPr>
          <w:p>
            <w:pPr>
              <w:spacing w:after="30"/>
            </w:pPr>
            <w:r>
              <w:rPr>
                <w:rFonts w:ascii="Times New Roman" w:hAnsi="Times New Roman" w:cs="Times New Roman" w:eastAsia="Times New Roman"/>
                <w:b w:val="0"/>
                <w:sz w:val="17"/>
              </w:rPr>
              <w:t>Unités de sol, érodabilité, filtres et choix d’essais</w:t>
            </w:r>
          </w:p>
        </w:tc>
        <w:tc>
          <w:tcPr>
            <w:tcW w:type="dxa" w:w="2268"/>
            <w:vAlign w:val="center"/>
          </w:tcPr>
          <w:p>
            <w:pPr>
              <w:spacing w:after="30"/>
            </w:pPr>
            <w:r>
              <w:rPr>
                <w:rFonts w:ascii="Times New Roman" w:hAnsi="Times New Roman" w:cs="Times New Roman" w:eastAsia="Times New Roman"/>
                <w:b w:val="0"/>
                <w:sz w:val="17"/>
              </w:rPr>
              <w:t>Représentativité et perte des fines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Limites d’Atterberg</w:t>
            </w:r>
          </w:p>
        </w:tc>
        <w:tc>
          <w:tcPr>
            <w:tcW w:type="dxa" w:w="2268"/>
            <w:vAlign w:val="center"/>
            <w:shd w:fill="F3F6F8"/>
          </w:tcPr>
          <w:p>
            <w:pPr>
              <w:spacing w:after="30"/>
            </w:pPr>
            <w:r>
              <w:rPr>
                <w:rFonts w:ascii="Times New Roman" w:hAnsi="Times New Roman" w:cs="Times New Roman" w:eastAsia="Times New Roman"/>
                <w:b w:val="0"/>
                <w:sz w:val="17"/>
              </w:rPr>
              <w:t>Consistance et plasticité</w:t>
            </w:r>
          </w:p>
        </w:tc>
        <w:tc>
          <w:tcPr>
            <w:tcW w:type="dxa" w:w="2268"/>
            <w:vAlign w:val="center"/>
            <w:shd w:fill="F3F6F8"/>
          </w:tcPr>
          <w:p>
            <w:pPr>
              <w:spacing w:after="30"/>
            </w:pPr>
            <w:r>
              <w:rPr>
                <w:rFonts w:ascii="Times New Roman" w:hAnsi="Times New Roman" w:cs="Times New Roman" w:eastAsia="Times New Roman"/>
                <w:b w:val="0"/>
                <w:sz w:val="17"/>
              </w:rPr>
              <w:t>Classification et dépistage de certains comportements</w:t>
            </w:r>
          </w:p>
        </w:tc>
        <w:tc>
          <w:tcPr>
            <w:tcW w:type="dxa" w:w="2268"/>
            <w:vAlign w:val="center"/>
            <w:shd w:fill="F3F6F8"/>
          </w:tcPr>
          <w:p>
            <w:pPr>
              <w:spacing w:after="30"/>
            </w:pPr>
            <w:r>
              <w:rPr>
                <w:rFonts w:ascii="Times New Roman" w:hAnsi="Times New Roman" w:cs="Times New Roman" w:eastAsia="Times New Roman"/>
                <w:b w:val="0"/>
                <w:sz w:val="17"/>
              </w:rPr>
              <w:t>Ne mesure pas directement gonflement ou résistance</w:t>
            </w:r>
          </w:p>
        </w:tc>
      </w:tr>
      <w:tr>
        <w:trPr>
          <w:cantSplit/>
        </w:trPr>
        <w:tc>
          <w:tcPr>
            <w:tcW w:type="dxa" w:w="2268"/>
            <w:vAlign w:val="center"/>
          </w:tcPr>
          <w:p>
            <w:pPr>
              <w:spacing w:after="30"/>
            </w:pPr>
            <w:r>
              <w:rPr>
                <w:rFonts w:ascii="Times New Roman" w:hAnsi="Times New Roman" w:cs="Times New Roman" w:eastAsia="Times New Roman"/>
                <w:b w:val="0"/>
                <w:sz w:val="17"/>
              </w:rPr>
              <w:t>Œdomètre</w:t>
            </w:r>
          </w:p>
        </w:tc>
        <w:tc>
          <w:tcPr>
            <w:tcW w:type="dxa" w:w="2268"/>
            <w:vAlign w:val="center"/>
          </w:tcPr>
          <w:p>
            <w:pPr>
              <w:spacing w:after="30"/>
            </w:pPr>
            <w:r>
              <w:rPr>
                <w:rFonts w:ascii="Times New Roman" w:hAnsi="Times New Roman" w:cs="Times New Roman" w:eastAsia="Times New Roman"/>
                <w:b w:val="0"/>
                <w:sz w:val="17"/>
              </w:rPr>
              <w:t>Compressibilité et consolidation</w:t>
            </w:r>
          </w:p>
        </w:tc>
        <w:tc>
          <w:tcPr>
            <w:tcW w:type="dxa" w:w="2268"/>
            <w:vAlign w:val="center"/>
          </w:tcPr>
          <w:p>
            <w:pPr>
              <w:spacing w:after="30"/>
            </w:pPr>
            <w:r>
              <w:rPr>
                <w:rFonts w:ascii="Times New Roman" w:hAnsi="Times New Roman" w:cs="Times New Roman" w:eastAsia="Times New Roman"/>
                <w:b w:val="0"/>
                <w:sz w:val="17"/>
              </w:rPr>
              <w:t>Tassements et évolution différée</w:t>
            </w:r>
          </w:p>
        </w:tc>
        <w:tc>
          <w:tcPr>
            <w:tcW w:type="dxa" w:w="2268"/>
            <w:vAlign w:val="center"/>
          </w:tcPr>
          <w:p>
            <w:pPr>
              <w:spacing w:after="30"/>
            </w:pPr>
            <w:r>
              <w:rPr>
                <w:rFonts w:ascii="Times New Roman" w:hAnsi="Times New Roman" w:cs="Times New Roman" w:eastAsia="Times New Roman"/>
                <w:b w:val="0"/>
                <w:sz w:val="17"/>
              </w:rPr>
              <w:t>Chemin de contrainte, surconsolidation et qualité d’échantillon</w:t>
            </w:r>
          </w:p>
        </w:tc>
      </w:tr>
      <w:tr>
        <w:trPr>
          <w:cantSplit/>
        </w:trPr>
        <w:tc>
          <w:tcPr>
            <w:tcW w:type="dxa" w:w="2268"/>
            <w:vAlign w:val="center"/>
            <w:shd w:fill="F3F6F8"/>
          </w:tcPr>
          <w:p>
            <w:pPr>
              <w:spacing w:after="30"/>
            </w:pPr>
            <w:r>
              <w:rPr>
                <w:rFonts w:ascii="Times New Roman" w:hAnsi="Times New Roman" w:cs="Times New Roman" w:eastAsia="Times New Roman"/>
                <w:b w:val="0"/>
                <w:sz w:val="17"/>
              </w:rPr>
              <w:t>Triaxial drainé ou non drainé</w:t>
            </w:r>
          </w:p>
        </w:tc>
        <w:tc>
          <w:tcPr>
            <w:tcW w:type="dxa" w:w="2268"/>
            <w:vAlign w:val="center"/>
            <w:shd w:fill="F3F6F8"/>
          </w:tcPr>
          <w:p>
            <w:pPr>
              <w:spacing w:after="30"/>
            </w:pPr>
            <w:r>
              <w:rPr>
                <w:rFonts w:ascii="Times New Roman" w:hAnsi="Times New Roman" w:cs="Times New Roman" w:eastAsia="Times New Roman"/>
                <w:b w:val="0"/>
                <w:sz w:val="17"/>
              </w:rPr>
              <w:t>Résistance et réponse hydromécanique</w:t>
            </w:r>
          </w:p>
        </w:tc>
        <w:tc>
          <w:tcPr>
            <w:tcW w:type="dxa" w:w="2268"/>
            <w:vAlign w:val="center"/>
            <w:shd w:fill="F3F6F8"/>
          </w:tcPr>
          <w:p>
            <w:pPr>
              <w:spacing w:after="30"/>
            </w:pPr>
            <w:r>
              <w:rPr>
                <w:rFonts w:ascii="Times New Roman" w:hAnsi="Times New Roman" w:cs="Times New Roman" w:eastAsia="Times New Roman"/>
                <w:b w:val="0"/>
                <w:sz w:val="17"/>
              </w:rPr>
              <w:t>Stabilité, portance et comportement selon drainage</w:t>
            </w:r>
          </w:p>
        </w:tc>
        <w:tc>
          <w:tcPr>
            <w:tcW w:type="dxa" w:w="2268"/>
            <w:vAlign w:val="center"/>
            <w:shd w:fill="F3F6F8"/>
          </w:tcPr>
          <w:p>
            <w:pPr>
              <w:spacing w:after="30"/>
            </w:pPr>
            <w:r>
              <w:rPr>
                <w:rFonts w:ascii="Times New Roman" w:hAnsi="Times New Roman" w:cs="Times New Roman" w:eastAsia="Times New Roman"/>
                <w:b w:val="0"/>
                <w:sz w:val="17"/>
              </w:rPr>
              <w:t>Saturation, consolidation, mesure de u et chemin de contrainte</w:t>
            </w:r>
          </w:p>
        </w:tc>
      </w:tr>
      <w:tr>
        <w:trPr>
          <w:cantSplit/>
        </w:trPr>
        <w:tc>
          <w:tcPr>
            <w:tcW w:type="dxa" w:w="2268"/>
            <w:vAlign w:val="center"/>
          </w:tcPr>
          <w:p>
            <w:pPr>
              <w:spacing w:after="30"/>
            </w:pPr>
            <w:r>
              <w:rPr>
                <w:rFonts w:ascii="Times New Roman" w:hAnsi="Times New Roman" w:cs="Times New Roman" w:eastAsia="Times New Roman"/>
                <w:b w:val="0"/>
                <w:sz w:val="17"/>
              </w:rPr>
              <w:t>Cisaillement direct</w:t>
            </w:r>
          </w:p>
        </w:tc>
        <w:tc>
          <w:tcPr>
            <w:tcW w:type="dxa" w:w="2268"/>
            <w:vAlign w:val="center"/>
          </w:tcPr>
          <w:p>
            <w:pPr>
              <w:spacing w:after="30"/>
            </w:pPr>
            <w:r>
              <w:rPr>
                <w:rFonts w:ascii="Times New Roman" w:hAnsi="Times New Roman" w:cs="Times New Roman" w:eastAsia="Times New Roman"/>
                <w:b w:val="0"/>
                <w:sz w:val="17"/>
              </w:rPr>
              <w:t>Résistance sur plan imposé</w:t>
            </w:r>
          </w:p>
        </w:tc>
        <w:tc>
          <w:tcPr>
            <w:tcW w:type="dxa" w:w="2268"/>
            <w:vAlign w:val="center"/>
          </w:tcPr>
          <w:p>
            <w:pPr>
              <w:spacing w:after="30"/>
            </w:pPr>
            <w:r>
              <w:rPr>
                <w:rFonts w:ascii="Times New Roman" w:hAnsi="Times New Roman" w:cs="Times New Roman" w:eastAsia="Times New Roman"/>
                <w:b w:val="0"/>
                <w:sz w:val="17"/>
              </w:rPr>
              <w:t>Paramètres de sol ou d’interface</w:t>
            </w:r>
          </w:p>
        </w:tc>
        <w:tc>
          <w:tcPr>
            <w:tcW w:type="dxa" w:w="2268"/>
            <w:vAlign w:val="center"/>
          </w:tcPr>
          <w:p>
            <w:pPr>
              <w:spacing w:after="30"/>
            </w:pPr>
            <w:r>
              <w:rPr>
                <w:rFonts w:ascii="Times New Roman" w:hAnsi="Times New Roman" w:cs="Times New Roman" w:eastAsia="Times New Roman"/>
                <w:b w:val="0"/>
                <w:sz w:val="17"/>
              </w:rPr>
              <w:t>Conditions de drainage et déplacement imposé</w:t>
            </w:r>
          </w:p>
        </w:tc>
      </w:tr>
      <w:tr>
        <w:trPr>
          <w:cantSplit/>
        </w:trPr>
        <w:tc>
          <w:tcPr>
            <w:tcW w:type="dxa" w:w="2268"/>
            <w:vAlign w:val="center"/>
            <w:shd w:fill="F3F6F8"/>
          </w:tcPr>
          <w:p>
            <w:pPr>
              <w:spacing w:after="30"/>
            </w:pPr>
            <w:r>
              <w:rPr>
                <w:rFonts w:ascii="Times New Roman" w:hAnsi="Times New Roman" w:cs="Times New Roman" w:eastAsia="Times New Roman"/>
                <w:b w:val="0"/>
                <w:sz w:val="17"/>
              </w:rPr>
              <w:t>Gonflement / collapse</w:t>
            </w:r>
          </w:p>
        </w:tc>
        <w:tc>
          <w:tcPr>
            <w:tcW w:type="dxa" w:w="2268"/>
            <w:vAlign w:val="center"/>
            <w:shd w:fill="F3F6F8"/>
          </w:tcPr>
          <w:p>
            <w:pPr>
              <w:spacing w:after="30"/>
            </w:pPr>
            <w:r>
              <w:rPr>
                <w:rFonts w:ascii="Times New Roman" w:hAnsi="Times New Roman" w:cs="Times New Roman" w:eastAsia="Times New Roman"/>
                <w:b w:val="0"/>
                <w:sz w:val="17"/>
              </w:rPr>
              <w:t>Déformation ou pression selon protocole</w:t>
            </w:r>
          </w:p>
        </w:tc>
        <w:tc>
          <w:tcPr>
            <w:tcW w:type="dxa" w:w="2268"/>
            <w:vAlign w:val="center"/>
            <w:shd w:fill="F3F6F8"/>
          </w:tcPr>
          <w:p>
            <w:pPr>
              <w:spacing w:after="30"/>
            </w:pPr>
            <w:r>
              <w:rPr>
                <w:rFonts w:ascii="Times New Roman" w:hAnsi="Times New Roman" w:cs="Times New Roman" w:eastAsia="Times New Roman"/>
                <w:b w:val="0"/>
                <w:sz w:val="17"/>
              </w:rPr>
              <w:t>Sols à variation de volume</w:t>
            </w:r>
          </w:p>
        </w:tc>
        <w:tc>
          <w:tcPr>
            <w:tcW w:type="dxa" w:w="2268"/>
            <w:vAlign w:val="center"/>
            <w:shd w:fill="F3F6F8"/>
          </w:tcPr>
          <w:p>
            <w:pPr>
              <w:spacing w:after="30"/>
            </w:pPr>
            <w:r>
              <w:rPr>
                <w:rFonts w:ascii="Times New Roman" w:hAnsi="Times New Roman" w:cs="Times New Roman" w:eastAsia="Times New Roman"/>
                <w:b w:val="0"/>
                <w:sz w:val="17"/>
              </w:rPr>
              <w:t>Humidification, confinement et extension au massif</w:t>
            </w:r>
          </w:p>
        </w:tc>
      </w:tr>
      <w:tr>
        <w:trPr>
          <w:cantSplit/>
        </w:trPr>
        <w:tc>
          <w:tcPr>
            <w:tcW w:type="dxa" w:w="2268"/>
            <w:vAlign w:val="center"/>
          </w:tcPr>
          <w:p>
            <w:pPr>
              <w:spacing w:after="30"/>
            </w:pPr>
            <w:r>
              <w:rPr>
                <w:rFonts w:ascii="Times New Roman" w:hAnsi="Times New Roman" w:cs="Times New Roman" w:eastAsia="Times New Roman"/>
                <w:b w:val="0"/>
                <w:sz w:val="17"/>
              </w:rPr>
              <w:t>Chimie sol–eau</w:t>
            </w:r>
          </w:p>
        </w:tc>
        <w:tc>
          <w:tcPr>
            <w:tcW w:type="dxa" w:w="2268"/>
            <w:vAlign w:val="center"/>
          </w:tcPr>
          <w:p>
            <w:pPr>
              <w:spacing w:after="30"/>
            </w:pPr>
            <w:r>
              <w:rPr>
                <w:rFonts w:ascii="Times New Roman" w:hAnsi="Times New Roman" w:cs="Times New Roman" w:eastAsia="Times New Roman"/>
                <w:b w:val="0"/>
                <w:sz w:val="17"/>
              </w:rPr>
              <w:t>Agents et conditions d’exposition</w:t>
            </w:r>
          </w:p>
        </w:tc>
        <w:tc>
          <w:tcPr>
            <w:tcW w:type="dxa" w:w="2268"/>
            <w:vAlign w:val="center"/>
          </w:tcPr>
          <w:p>
            <w:pPr>
              <w:spacing w:after="30"/>
            </w:pPr>
            <w:r>
              <w:rPr>
                <w:rFonts w:ascii="Times New Roman" w:hAnsi="Times New Roman" w:cs="Times New Roman" w:eastAsia="Times New Roman"/>
                <w:b w:val="0"/>
                <w:sz w:val="17"/>
              </w:rPr>
              <w:t>Durabilité et protection</w:t>
            </w:r>
          </w:p>
        </w:tc>
        <w:tc>
          <w:tcPr>
            <w:tcW w:type="dxa" w:w="2268"/>
            <w:vAlign w:val="center"/>
          </w:tcPr>
          <w:p>
            <w:pPr>
              <w:spacing w:after="30"/>
            </w:pPr>
            <w:r>
              <w:rPr>
                <w:rFonts w:ascii="Times New Roman" w:hAnsi="Times New Roman" w:cs="Times New Roman" w:eastAsia="Times New Roman"/>
                <w:b w:val="0"/>
                <w:sz w:val="17"/>
              </w:rPr>
              <w:t>Prélèvement, conservation et référentiel d’interprétation</w:t>
            </w:r>
          </w:p>
        </w:tc>
      </w:tr>
    </w:tbl>
    <w:p>
      <w:pPr>
        <w:spacing w:after="20"/>
      </w:pPr>
    </w:p>
    <w:p>
      <w:pPr>
        <w:pStyle w:val="Heading2"/>
      </w:pPr>
      <w:r>
        <w:rPr>
          <w:rFonts w:ascii="Times New Roman" w:hAnsi="Times New Roman" w:cs="Times New Roman" w:eastAsia="Times New Roman"/>
          <w:b/>
          <w:color w:val="1F4E79"/>
          <w:sz w:val="24"/>
        </w:rPr>
        <w:t>III.9 Géophysique appliquée à la reconnaissance des ponts</w:t>
      </w:r>
    </w:p>
    <w:p>
      <w:pPr>
        <w:pStyle w:val="Heading3"/>
      </w:pPr>
      <w:r>
        <w:rPr>
          <w:rFonts w:ascii="Times New Roman" w:hAnsi="Times New Roman" w:cs="Times New Roman" w:eastAsia="Times New Roman"/>
          <w:b/>
          <w:color w:val="233741"/>
          <w:sz w:val="24"/>
        </w:rPr>
        <w:t>III.9.1 Apport et non-unicité</w:t>
      </w:r>
    </w:p>
    <w:p>
      <w:pPr>
        <w:jc w:val="both"/>
      </w:pPr>
      <w:r>
        <w:rPr>
          <w:rFonts w:ascii="Times New Roman" w:hAnsi="Times New Roman" w:cs="Times New Roman" w:eastAsia="Times New Roman"/>
          <w:b w:val="0"/>
          <w:sz w:val="24"/>
        </w:rPr>
        <w:t>La géophysique mesure des propriétés physiques indirectes et leurs contrastes. Elle peut couvrir rapidement des zones difficiles d’accès, orienter les sondages et repérer des variations latérales. Elle ne fournit pas une image littérale du sous-sol.</w:t>
      </w:r>
    </w:p>
    <w:p>
      <w:pPr>
        <w:jc w:val="both"/>
      </w:pPr>
      <w:r>
        <w:rPr>
          <w:rFonts w:ascii="Times New Roman" w:hAnsi="Times New Roman" w:cs="Times New Roman" w:eastAsia="Times New Roman"/>
          <w:b w:val="0"/>
          <w:sz w:val="24"/>
        </w:rPr>
        <w:t>L’inversion et l’interprétation dépendent du modèle, de la topographie, du bruit, de la couverture et des hypothèses. Une même anomalie peut avoir plusieurs explications. Le calibrage par des observations directes est donc une composante de la méthode, non une option secondaire.</w:t>
      </w:r>
    </w:p>
    <w:p>
      <w:pPr>
        <w:pStyle w:val="Heading3"/>
      </w:pPr>
      <w:r>
        <w:rPr>
          <w:rFonts w:ascii="Times New Roman" w:hAnsi="Times New Roman" w:cs="Times New Roman" w:eastAsia="Times New Roman"/>
          <w:b/>
          <w:color w:val="233741"/>
          <w:sz w:val="24"/>
        </w:rPr>
        <w:t>III.9.2 Tomographie de résistivité électrique — ERT</w:t>
      </w:r>
    </w:p>
    <w:p>
      <w:pPr>
        <w:jc w:val="both"/>
      </w:pPr>
      <w:r>
        <w:rPr>
          <w:rFonts w:ascii="Times New Roman" w:hAnsi="Times New Roman" w:cs="Times New Roman" w:eastAsia="Times New Roman"/>
          <w:b w:val="0"/>
          <w:sz w:val="24"/>
        </w:rPr>
        <w:t>L’ERT estime la distribution de résistivité à partir de mesures de courant et de potentiel. Elle peut être utile pour des variations de lithologie, d’eau ou d’altération. Les argiles, la salinité et l’eau influencent fortement les valeurs.</w:t>
      </w:r>
    </w:p>
    <w:p>
      <w:pPr>
        <w:jc w:val="both"/>
      </w:pPr>
      <w:r>
        <w:rPr>
          <w:rFonts w:ascii="Times New Roman" w:hAnsi="Times New Roman" w:cs="Times New Roman" w:eastAsia="Times New Roman"/>
          <w:b w:val="0"/>
          <w:sz w:val="24"/>
        </w:rPr>
        <w:t>Le dispositif et la longueur des profils déterminent la couverture et la sensibilité. Les profondeurs obtenues dans une étude locale ne constituent pas une prescription pour un autre site. La topographie et les cultures doivent être intégrées à l’interprétation.</w:t>
      </w:r>
    </w:p>
    <w:p>
      <w:pPr>
        <w:pStyle w:val="Heading3"/>
      </w:pPr>
      <w:r>
        <w:rPr>
          <w:rFonts w:ascii="Times New Roman" w:hAnsi="Times New Roman" w:cs="Times New Roman" w:eastAsia="Times New Roman"/>
          <w:b/>
          <w:color w:val="233741"/>
          <w:sz w:val="24"/>
        </w:rPr>
        <w:t>III.9.3 Géoradar — GPR</w:t>
      </w:r>
    </w:p>
    <w:p>
      <w:pPr>
        <w:jc w:val="both"/>
      </w:pPr>
      <w:r>
        <w:rPr>
          <w:rFonts w:ascii="Times New Roman" w:hAnsi="Times New Roman" w:cs="Times New Roman" w:eastAsia="Times New Roman"/>
          <w:b w:val="0"/>
          <w:sz w:val="24"/>
        </w:rPr>
        <w:t>Le GPR utilise la propagation d’ondes électromagnétiques. Il peut détecter des contrastes diélectriques et des structures peu profondes dans des matériaux favorables. Les argiles conductrices et l’eau peuvent atténuer fortement le signal.</w:t>
      </w:r>
    </w:p>
    <w:p>
      <w:pPr>
        <w:jc w:val="both"/>
      </w:pPr>
      <w:r>
        <w:rPr>
          <w:rFonts w:ascii="Times New Roman" w:hAnsi="Times New Roman" w:cs="Times New Roman" w:eastAsia="Times New Roman"/>
          <w:b w:val="0"/>
          <w:sz w:val="24"/>
        </w:rPr>
        <w:t>Une réflexion ou une diffraction n’est pas automatiquement une cavité. La vitesse de propagation, le traitement et le calibrage sont nécessaires pour convertir les temps en profondeurs. Les résultats doivent être présentés avec leurs limites de résolution.</w:t>
      </w:r>
    </w:p>
    <w:p>
      <w:pPr>
        <w:jc w:val="both"/>
      </w:pPr>
      <w:r>
        <w:rPr>
          <w:rFonts w:ascii="Times New Roman" w:hAnsi="Times New Roman" w:cs="Times New Roman" w:eastAsia="Times New Roman"/>
          <w:b w:val="0"/>
          <w:sz w:val="24"/>
        </w:rPr>
        <w:t>Les deux configurations suivantes montrent le déplacement de l’antenne et l’acquisition au sol. Elles proviennent de campagnes externes, dont une au Wadi Ramm en Jordanie, et ne sont pas des investigations de ponts réalisées pour cette révision.</w:t>
      </w:r>
    </w:p>
    <w:p>
      <w:pPr>
        <w:keepNext/>
        <w:jc w:val="center"/>
      </w:pPr>
      <w:r>
        <w:drawing>
          <wp:inline xmlns:a="http://schemas.openxmlformats.org/drawingml/2006/main" xmlns:pic="http://schemas.openxmlformats.org/drawingml/2006/picture">
            <wp:extent cx="5760000" cy="2496000"/>
            <wp:docPr id="32" name="Picture 32"/>
            <wp:cNvGraphicFramePr>
              <a:graphicFrameLocks noChangeAspect="1"/>
            </wp:cNvGraphicFramePr>
            <a:graphic>
              <a:graphicData uri="http://schemas.openxmlformats.org/drawingml/2006/picture">
                <pic:pic>
                  <pic:nvPicPr>
                    <pic:cNvPr id="0" name="photo_gpr_field.png"/>
                    <pic:cNvPicPr/>
                  </pic:nvPicPr>
                  <pic:blipFill>
                    <a:blip r:embed="rId58"/>
                    <a:stretch>
                      <a:fillRect/>
                    </a:stretch>
                  </pic:blipFill>
                  <pic:spPr>
                    <a:xfrm>
                      <a:off x="0" y="0"/>
                      <a:ext cx="5760000" cy="2496000"/>
                    </a:xfrm>
                    <a:prstGeom prst="rect"/>
                  </pic:spPr>
                </pic:pic>
              </a:graphicData>
            </a:graphic>
          </wp:inline>
        </w:drawing>
      </w:r>
    </w:p>
    <w:p>
      <w:bookmarkStart w:id="60" w:name="BM_FIGIII_8"/>
      <w:pPr>
        <w:jc w:val="center"/>
      </w:pPr>
      <w:r>
        <w:rPr>
          <w:rFonts w:ascii="Times New Roman" w:hAnsi="Times New Roman" w:cs="Times New Roman" w:eastAsia="Times New Roman"/>
          <w:b/>
          <w:sz w:val="20"/>
        </w:rPr>
        <w:t>Figure III.8 — Acquisition géoradar : (a) unité GPR mobile en prospection terrestre ; (b) levé GPR au Wadi Ramm (Jordanie, 2005)</w:t>
      </w:r>
      <w:bookmarkEnd w:id="60"/>
    </w:p>
    <w:p>
      <w:pPr>
        <w:jc w:val="right"/>
      </w:pPr>
      <w:r>
        <w:rPr>
          <w:rFonts w:ascii="Times New Roman" w:hAnsi="Times New Roman" w:cs="Times New Roman" w:eastAsia="Times New Roman"/>
          <w:b w:val="0"/>
          <w:color w:val="59636B"/>
          <w:sz w:val="20"/>
        </w:rPr>
        <w:t>Source : (a) The Charles Machine Works, CC BY-SA 2.0 ; (b) Archaeo-Physics LLC, domaine public, via Wikimedia Commons.</w:t>
      </w:r>
    </w:p>
    <w:p>
      <w:pPr>
        <w:pStyle w:val="Heading3"/>
      </w:pPr>
      <w:r>
        <w:rPr>
          <w:rFonts w:ascii="Times New Roman" w:hAnsi="Times New Roman" w:cs="Times New Roman" w:eastAsia="Times New Roman"/>
          <w:b/>
          <w:color w:val="233741"/>
          <w:sz w:val="24"/>
        </w:rPr>
        <w:t>III.9.4 Méthodes sismiques</w:t>
      </w:r>
    </w:p>
    <w:p>
      <w:pPr>
        <w:jc w:val="both"/>
      </w:pPr>
      <w:r>
        <w:rPr>
          <w:rFonts w:ascii="Times New Roman" w:hAnsi="Times New Roman" w:cs="Times New Roman" w:eastAsia="Times New Roman"/>
          <w:b w:val="0"/>
          <w:sz w:val="24"/>
        </w:rPr>
        <w:t>La réfraction et la réflexion sismiques analysent la propagation des ondes pour estimer des géométries et des vitesses. Les ondes P renseignent Vp ; elles ne fournissent pas directement Vs. Pour les paramètres de cisaillement, des méthodes telles que MASW, SASW, cross-hole ou down-hole peuvent être envisagées selon le site et le niveau de preuve requis.</w:t>
      </w:r>
    </w:p>
    <w:p>
      <w:pPr>
        <w:jc w:val="both"/>
      </w:pPr>
      <w:r>
        <w:rPr>
          <w:rFonts w:ascii="Times New Roman" w:hAnsi="Times New Roman" w:cs="Times New Roman" w:eastAsia="Times New Roman"/>
          <w:b w:val="0"/>
          <w:sz w:val="24"/>
        </w:rPr>
        <w:t>Vs est particulièrement utile pour la réponse dynamique du site, mais la conversion d’un profil de vitesse en paramètres de calcul dépend de la masse volumique, de la gamme de déformation et du modèle adopté.</w:t>
      </w:r>
    </w:p>
    <w:p>
      <w:pPr>
        <w:jc w:val="both"/>
      </w:pPr>
      <w:r>
        <w:rPr>
          <w:rFonts w:ascii="Times New Roman" w:hAnsi="Times New Roman" w:cs="Times New Roman" w:eastAsia="Times New Roman"/>
          <w:b w:val="0"/>
          <w:sz w:val="24"/>
        </w:rPr>
        <w:t>La source marteau–plaque et l’alignement des récepteurs doivent être documentés avec les distances et les conditions de bruit. Les photographies EPA/USGS illustrent des acquisitions de réfraction et de réflexion ; elles ne prouvent pas l’identification d’un réflecteur sans leurs enregistrements et leur interprétation.</w:t>
      </w:r>
    </w:p>
    <w:p>
      <w:pPr>
        <w:keepNext/>
        <w:jc w:val="center"/>
      </w:pPr>
      <w:r>
        <w:drawing>
          <wp:inline xmlns:a="http://schemas.openxmlformats.org/drawingml/2006/main" xmlns:pic="http://schemas.openxmlformats.org/drawingml/2006/picture">
            <wp:extent cx="5760000" cy="2496000"/>
            <wp:docPr id="33" name="Picture 33"/>
            <wp:cNvGraphicFramePr>
              <a:graphicFrameLocks noChangeAspect="1"/>
            </wp:cNvGraphicFramePr>
            <a:graphic>
              <a:graphicData uri="http://schemas.openxmlformats.org/drawingml/2006/picture">
                <pic:pic>
                  <pic:nvPicPr>
                    <pic:cNvPr id="0" name="photo_seismic_field.png"/>
                    <pic:cNvPicPr/>
                  </pic:nvPicPr>
                  <pic:blipFill>
                    <a:blip r:embed="rId59"/>
                    <a:stretch>
                      <a:fillRect/>
                    </a:stretch>
                  </pic:blipFill>
                  <pic:spPr>
                    <a:xfrm>
                      <a:off x="0" y="0"/>
                      <a:ext cx="5760000" cy="2496000"/>
                    </a:xfrm>
                    <a:prstGeom prst="rect"/>
                  </pic:spPr>
                </pic:pic>
              </a:graphicData>
            </a:graphic>
          </wp:inline>
        </w:drawing>
      </w:r>
    </w:p>
    <w:p>
      <w:bookmarkStart w:id="61" w:name="BM_FIGIII_9"/>
      <w:pPr>
        <w:jc w:val="center"/>
      </w:pPr>
      <w:r>
        <w:rPr>
          <w:rFonts w:ascii="Times New Roman" w:hAnsi="Times New Roman" w:cs="Times New Roman" w:eastAsia="Times New Roman"/>
          <w:b/>
          <w:sz w:val="20"/>
        </w:rPr>
        <w:t>Figure III.9 — Méthodes sismiques en surface : (a) source marteau–plaque pour la réfraction ; (b) équipe USGS en acquisition pour la réflexion</w:t>
      </w:r>
      <w:bookmarkEnd w:id="61"/>
    </w:p>
    <w:p>
      <w:pPr>
        <w:jc w:val="right"/>
      </w:pPr>
      <w:r>
        <w:rPr>
          <w:rFonts w:ascii="Times New Roman" w:hAnsi="Times New Roman" w:cs="Times New Roman" w:eastAsia="Times New Roman"/>
          <w:b w:val="0"/>
          <w:color w:val="59636B"/>
          <w:sz w:val="20"/>
        </w:rPr>
        <w:t>Source : US EPA, « Seismic Refraction » et « Seismic Reflection » ; photographies USGS indiquées par l’EPA.</w:t>
      </w:r>
    </w:p>
    <w:p>
      <w:pPr>
        <w:keepNext/>
        <w:jc w:val="center"/>
      </w:pPr>
      <w:r>
        <w:drawing>
          <wp:inline xmlns:a="http://schemas.openxmlformats.org/drawingml/2006/main" xmlns:pic="http://schemas.openxmlformats.org/drawingml/2006/picture">
            <wp:extent cx="5760000" cy="2870926"/>
            <wp:docPr id="34" name="Picture 34"/>
            <wp:cNvGraphicFramePr>
              <a:graphicFrameLocks noChangeAspect="1"/>
            </wp:cNvGraphicFramePr>
            <a:graphic>
              <a:graphicData uri="http://schemas.openxmlformats.org/drawingml/2006/picture">
                <pic:pic>
                  <pic:nvPicPr>
                    <pic:cNvPr id="0" name="geophysics_calibration.png"/>
                    <pic:cNvPicPr/>
                  </pic:nvPicPr>
                  <pic:blipFill>
                    <a:blip r:embed="rId60"/>
                    <a:stretch>
                      <a:fillRect/>
                    </a:stretch>
                  </pic:blipFill>
                  <pic:spPr>
                    <a:xfrm>
                      <a:off x="0" y="0"/>
                      <a:ext cx="5760000" cy="2870926"/>
                    </a:xfrm>
                    <a:prstGeom prst="rect"/>
                  </pic:spPr>
                </pic:pic>
              </a:graphicData>
            </a:graphic>
          </wp:inline>
        </w:drawing>
      </w:r>
    </w:p>
    <w:p>
      <w:bookmarkStart w:id="62" w:name="BM_FIGIII_10"/>
      <w:pPr>
        <w:jc w:val="center"/>
      </w:pPr>
      <w:r>
        <w:rPr>
          <w:rFonts w:ascii="Times New Roman" w:hAnsi="Times New Roman" w:cs="Times New Roman" w:eastAsia="Times New Roman"/>
          <w:b/>
          <w:sz w:val="20"/>
        </w:rPr>
        <w:t>Figure III.10 — Principe de calibrage d’une anomalie géophysique par des investigations directes</w:t>
      </w:r>
      <w:bookmarkEnd w:id="62"/>
    </w:p>
    <w:p>
      <w:pPr>
        <w:jc w:val="right"/>
      </w:pPr>
      <w:r>
        <w:rPr>
          <w:rFonts w:ascii="Times New Roman" w:hAnsi="Times New Roman" w:cs="Times New Roman" w:eastAsia="Times New Roman"/>
          <w:b w:val="0"/>
          <w:color w:val="59636B"/>
          <w:sz w:val="20"/>
        </w:rPr>
        <w:t>Source : schéma original ; l’anomalie représentée n’est pas une preuve de cavité.</w:t>
      </w:r>
    </w:p>
    <w:p>
      <w:bookmarkStart w:id="63" w:name="BM_TABIII_5"/>
      <w:pPr>
        <w:keepNext/>
        <w:jc w:val="center"/>
      </w:pPr>
      <w:r>
        <w:rPr>
          <w:rFonts w:ascii="Times New Roman" w:hAnsi="Times New Roman" w:cs="Times New Roman" w:eastAsia="Times New Roman"/>
          <w:b/>
          <w:sz w:val="20"/>
        </w:rPr>
        <w:t>Tableau III.5 — Méthodes géophysiques — apports et limites pour un site de pont</w:t>
      </w:r>
      <w:bookmarkEnd w:id="63"/>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Méthode</w:t>
            </w:r>
          </w:p>
        </w:tc>
        <w:tc>
          <w:tcPr>
            <w:tcW w:type="dxa" w:w="2268"/>
            <w:vAlign w:val="center"/>
            <w:shd w:fill="1F4E79"/>
          </w:tcPr>
          <w:p>
            <w:pPr>
              <w:spacing w:after="30"/>
            </w:pPr>
            <w:r>
              <w:rPr>
                <w:rFonts w:ascii="Times New Roman" w:hAnsi="Times New Roman" w:cs="Times New Roman" w:eastAsia="Times New Roman"/>
                <w:b/>
                <w:color w:val="FFFFFF"/>
                <w:sz w:val="17"/>
              </w:rPr>
              <w:t>Grandeur ou contraste</w:t>
            </w:r>
          </w:p>
        </w:tc>
        <w:tc>
          <w:tcPr>
            <w:tcW w:type="dxa" w:w="2268"/>
            <w:vAlign w:val="center"/>
            <w:shd w:fill="1F4E79"/>
          </w:tcPr>
          <w:p>
            <w:pPr>
              <w:spacing w:after="30"/>
            </w:pPr>
            <w:r>
              <w:rPr>
                <w:rFonts w:ascii="Times New Roman" w:hAnsi="Times New Roman" w:cs="Times New Roman" w:eastAsia="Times New Roman"/>
                <w:b/>
                <w:color w:val="FFFFFF"/>
                <w:sz w:val="17"/>
              </w:rPr>
              <w:t>Apport potentiel</w:t>
            </w:r>
          </w:p>
        </w:tc>
        <w:tc>
          <w:tcPr>
            <w:tcW w:type="dxa" w:w="2268"/>
            <w:vAlign w:val="center"/>
            <w:shd w:fill="1F4E79"/>
          </w:tcPr>
          <w:p>
            <w:pPr>
              <w:spacing w:after="30"/>
            </w:pPr>
            <w:r>
              <w:rPr>
                <w:rFonts w:ascii="Times New Roman" w:hAnsi="Times New Roman" w:cs="Times New Roman" w:eastAsia="Times New Roman"/>
                <w:b/>
                <w:color w:val="FFFFFF"/>
                <w:sz w:val="17"/>
              </w:rPr>
              <w:t>Limites et vérifications</w:t>
            </w:r>
          </w:p>
        </w:tc>
      </w:tr>
      <w:tr>
        <w:trPr>
          <w:cantSplit/>
        </w:trPr>
        <w:tc>
          <w:tcPr>
            <w:tcW w:type="dxa" w:w="2268"/>
            <w:vAlign w:val="center"/>
          </w:tcPr>
          <w:p>
            <w:pPr>
              <w:spacing w:after="30"/>
            </w:pPr>
            <w:r>
              <w:rPr>
                <w:rFonts w:ascii="Times New Roman" w:hAnsi="Times New Roman" w:cs="Times New Roman" w:eastAsia="Times New Roman"/>
                <w:b w:val="0"/>
                <w:sz w:val="17"/>
              </w:rPr>
              <w:t>ERT</w:t>
            </w:r>
          </w:p>
        </w:tc>
        <w:tc>
          <w:tcPr>
            <w:tcW w:type="dxa" w:w="2268"/>
            <w:vAlign w:val="center"/>
          </w:tcPr>
          <w:p>
            <w:pPr>
              <w:spacing w:after="30"/>
            </w:pPr>
            <w:r>
              <w:rPr>
                <w:rFonts w:ascii="Times New Roman" w:hAnsi="Times New Roman" w:cs="Times New Roman" w:eastAsia="Times New Roman"/>
                <w:b w:val="0"/>
                <w:sz w:val="17"/>
              </w:rPr>
              <w:t>Résistivité électrique</w:t>
            </w:r>
          </w:p>
        </w:tc>
        <w:tc>
          <w:tcPr>
            <w:tcW w:type="dxa" w:w="2268"/>
            <w:vAlign w:val="center"/>
          </w:tcPr>
          <w:p>
            <w:pPr>
              <w:spacing w:after="30"/>
            </w:pPr>
            <w:r>
              <w:rPr>
                <w:rFonts w:ascii="Times New Roman" w:hAnsi="Times New Roman" w:cs="Times New Roman" w:eastAsia="Times New Roman"/>
                <w:b w:val="0"/>
                <w:sz w:val="17"/>
              </w:rPr>
              <w:t>Variations latérales, altération, eau et zones anormales</w:t>
            </w:r>
          </w:p>
        </w:tc>
        <w:tc>
          <w:tcPr>
            <w:tcW w:type="dxa" w:w="2268"/>
            <w:vAlign w:val="center"/>
          </w:tcPr>
          <w:p>
            <w:pPr>
              <w:spacing w:after="30"/>
            </w:pPr>
            <w:r>
              <w:rPr>
                <w:rFonts w:ascii="Times New Roman" w:hAnsi="Times New Roman" w:cs="Times New Roman" w:eastAsia="Times New Roman"/>
                <w:b w:val="0"/>
                <w:sz w:val="17"/>
              </w:rPr>
              <w:t>Inversion non unique, topographie, argiles et calibrage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GPR</w:t>
            </w:r>
          </w:p>
        </w:tc>
        <w:tc>
          <w:tcPr>
            <w:tcW w:type="dxa" w:w="2268"/>
            <w:vAlign w:val="center"/>
            <w:shd w:fill="F3F6F8"/>
          </w:tcPr>
          <w:p>
            <w:pPr>
              <w:spacing w:after="30"/>
            </w:pPr>
            <w:r>
              <w:rPr>
                <w:rFonts w:ascii="Times New Roman" w:hAnsi="Times New Roman" w:cs="Times New Roman" w:eastAsia="Times New Roman"/>
                <w:b w:val="0"/>
                <w:sz w:val="17"/>
              </w:rPr>
              <w:t>Contraste diélectrique et réflexions</w:t>
            </w:r>
          </w:p>
        </w:tc>
        <w:tc>
          <w:tcPr>
            <w:tcW w:type="dxa" w:w="2268"/>
            <w:vAlign w:val="center"/>
            <w:shd w:fill="F3F6F8"/>
          </w:tcPr>
          <w:p>
            <w:pPr>
              <w:spacing w:after="30"/>
            </w:pPr>
            <w:r>
              <w:rPr>
                <w:rFonts w:ascii="Times New Roman" w:hAnsi="Times New Roman" w:cs="Times New Roman" w:eastAsia="Times New Roman"/>
                <w:b w:val="0"/>
                <w:sz w:val="17"/>
              </w:rPr>
              <w:t>Structures peu profondes et anomalies localisées</w:t>
            </w:r>
          </w:p>
        </w:tc>
        <w:tc>
          <w:tcPr>
            <w:tcW w:type="dxa" w:w="2268"/>
            <w:vAlign w:val="center"/>
            <w:shd w:fill="F3F6F8"/>
          </w:tcPr>
          <w:p>
            <w:pPr>
              <w:spacing w:after="30"/>
            </w:pPr>
            <w:r>
              <w:rPr>
                <w:rFonts w:ascii="Times New Roman" w:hAnsi="Times New Roman" w:cs="Times New Roman" w:eastAsia="Times New Roman"/>
                <w:b w:val="0"/>
                <w:sz w:val="17"/>
              </w:rPr>
              <w:t>Atténuation, vitesse, traitement et contrôle direct</w:t>
            </w:r>
          </w:p>
        </w:tc>
      </w:tr>
      <w:tr>
        <w:trPr>
          <w:cantSplit/>
        </w:trPr>
        <w:tc>
          <w:tcPr>
            <w:tcW w:type="dxa" w:w="2268"/>
            <w:vAlign w:val="center"/>
          </w:tcPr>
          <w:p>
            <w:pPr>
              <w:spacing w:after="30"/>
            </w:pPr>
            <w:r>
              <w:rPr>
                <w:rFonts w:ascii="Times New Roman" w:hAnsi="Times New Roman" w:cs="Times New Roman" w:eastAsia="Times New Roman"/>
                <w:b w:val="0"/>
                <w:sz w:val="17"/>
              </w:rPr>
              <w:t>Réfraction / réflexion P</w:t>
            </w:r>
          </w:p>
        </w:tc>
        <w:tc>
          <w:tcPr>
            <w:tcW w:type="dxa" w:w="2268"/>
            <w:vAlign w:val="center"/>
          </w:tcPr>
          <w:p>
            <w:pPr>
              <w:spacing w:after="30"/>
            </w:pPr>
            <w:r>
              <w:rPr>
                <w:rFonts w:ascii="Times New Roman" w:hAnsi="Times New Roman" w:cs="Times New Roman" w:eastAsia="Times New Roman"/>
                <w:b w:val="0"/>
                <w:sz w:val="17"/>
              </w:rPr>
              <w:t>Propagation des ondes de compression</w:t>
            </w:r>
          </w:p>
        </w:tc>
        <w:tc>
          <w:tcPr>
            <w:tcW w:type="dxa" w:w="2268"/>
            <w:vAlign w:val="center"/>
          </w:tcPr>
          <w:p>
            <w:pPr>
              <w:spacing w:after="30"/>
            </w:pPr>
            <w:r>
              <w:rPr>
                <w:rFonts w:ascii="Times New Roman" w:hAnsi="Times New Roman" w:cs="Times New Roman" w:eastAsia="Times New Roman"/>
                <w:b w:val="0"/>
                <w:sz w:val="17"/>
              </w:rPr>
              <w:t>Géométrie et Vp selon les conditions</w:t>
            </w:r>
          </w:p>
        </w:tc>
        <w:tc>
          <w:tcPr>
            <w:tcW w:type="dxa" w:w="2268"/>
            <w:vAlign w:val="center"/>
          </w:tcPr>
          <w:p>
            <w:pPr>
              <w:spacing w:after="30"/>
            </w:pPr>
            <w:r>
              <w:rPr>
                <w:rFonts w:ascii="Times New Roman" w:hAnsi="Times New Roman" w:cs="Times New Roman" w:eastAsia="Times New Roman"/>
                <w:b w:val="0"/>
                <w:sz w:val="17"/>
              </w:rPr>
              <w:t>Ne fournit pas directement Vs ; modèle de couches et couverture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MASW / SASW</w:t>
            </w:r>
          </w:p>
        </w:tc>
        <w:tc>
          <w:tcPr>
            <w:tcW w:type="dxa" w:w="2268"/>
            <w:vAlign w:val="center"/>
            <w:shd w:fill="F3F6F8"/>
          </w:tcPr>
          <w:p>
            <w:pPr>
              <w:spacing w:after="30"/>
            </w:pPr>
            <w:r>
              <w:rPr>
                <w:rFonts w:ascii="Times New Roman" w:hAnsi="Times New Roman" w:cs="Times New Roman" w:eastAsia="Times New Roman"/>
                <w:b w:val="0"/>
                <w:sz w:val="17"/>
              </w:rPr>
              <w:t>Ondes de surface</w:t>
            </w:r>
          </w:p>
        </w:tc>
        <w:tc>
          <w:tcPr>
            <w:tcW w:type="dxa" w:w="2268"/>
            <w:vAlign w:val="center"/>
            <w:shd w:fill="F3F6F8"/>
          </w:tcPr>
          <w:p>
            <w:pPr>
              <w:spacing w:after="30"/>
            </w:pPr>
            <w:r>
              <w:rPr>
                <w:rFonts w:ascii="Times New Roman" w:hAnsi="Times New Roman" w:cs="Times New Roman" w:eastAsia="Times New Roman"/>
                <w:b w:val="0"/>
                <w:sz w:val="17"/>
              </w:rPr>
              <w:t>Profil de Vs pour la réponse du site</w:t>
            </w:r>
          </w:p>
        </w:tc>
        <w:tc>
          <w:tcPr>
            <w:tcW w:type="dxa" w:w="2268"/>
            <w:vAlign w:val="center"/>
            <w:shd w:fill="F3F6F8"/>
          </w:tcPr>
          <w:p>
            <w:pPr>
              <w:spacing w:after="30"/>
            </w:pPr>
            <w:r>
              <w:rPr>
                <w:rFonts w:ascii="Times New Roman" w:hAnsi="Times New Roman" w:cs="Times New Roman" w:eastAsia="Times New Roman"/>
                <w:b w:val="0"/>
                <w:sz w:val="17"/>
              </w:rPr>
              <w:t>Inversion, résolution et hypothèses de dispersion</w:t>
            </w:r>
          </w:p>
        </w:tc>
      </w:tr>
      <w:tr>
        <w:trPr>
          <w:cantSplit/>
        </w:trPr>
        <w:tc>
          <w:tcPr>
            <w:tcW w:type="dxa" w:w="2268"/>
            <w:vAlign w:val="center"/>
          </w:tcPr>
          <w:p>
            <w:pPr>
              <w:spacing w:after="30"/>
            </w:pPr>
            <w:r>
              <w:rPr>
                <w:rFonts w:ascii="Times New Roman" w:hAnsi="Times New Roman" w:cs="Times New Roman" w:eastAsia="Times New Roman"/>
                <w:b w:val="0"/>
                <w:sz w:val="17"/>
              </w:rPr>
              <w:t>Cross-hole / down-hole</w:t>
            </w:r>
          </w:p>
        </w:tc>
        <w:tc>
          <w:tcPr>
            <w:tcW w:type="dxa" w:w="2268"/>
            <w:vAlign w:val="center"/>
          </w:tcPr>
          <w:p>
            <w:pPr>
              <w:spacing w:after="30"/>
            </w:pPr>
            <w:r>
              <w:rPr>
                <w:rFonts w:ascii="Times New Roman" w:hAnsi="Times New Roman" w:cs="Times New Roman" w:eastAsia="Times New Roman"/>
                <w:b w:val="0"/>
                <w:sz w:val="17"/>
              </w:rPr>
              <w:t>Temps de propagation entre points</w:t>
            </w:r>
          </w:p>
        </w:tc>
        <w:tc>
          <w:tcPr>
            <w:tcW w:type="dxa" w:w="2268"/>
            <w:vAlign w:val="center"/>
          </w:tcPr>
          <w:p>
            <w:pPr>
              <w:spacing w:after="30"/>
            </w:pPr>
            <w:r>
              <w:rPr>
                <w:rFonts w:ascii="Times New Roman" w:hAnsi="Times New Roman" w:cs="Times New Roman" w:eastAsia="Times New Roman"/>
                <w:b w:val="0"/>
                <w:sz w:val="17"/>
              </w:rPr>
              <w:t>Vp et Vs selon le dispositif</w:t>
            </w:r>
          </w:p>
        </w:tc>
        <w:tc>
          <w:tcPr>
            <w:tcW w:type="dxa" w:w="2268"/>
            <w:vAlign w:val="center"/>
          </w:tcPr>
          <w:p>
            <w:pPr>
              <w:spacing w:after="30"/>
            </w:pPr>
            <w:r>
              <w:rPr>
                <w:rFonts w:ascii="Times New Roman" w:hAnsi="Times New Roman" w:cs="Times New Roman" w:eastAsia="Times New Roman"/>
                <w:b w:val="0"/>
                <w:sz w:val="17"/>
              </w:rPr>
              <w:t>Forages, couplage, distance et qualité des mesures</w:t>
            </w:r>
          </w:p>
        </w:tc>
      </w:tr>
    </w:tbl>
    <w:p>
      <w:pPr>
        <w:spacing w:after="20"/>
      </w:pPr>
    </w:p>
    <w:p>
      <w:pPr>
        <w:pStyle w:val="Heading3"/>
      </w:pPr>
      <w:r>
        <w:rPr>
          <w:rFonts w:ascii="Times New Roman" w:hAnsi="Times New Roman" w:cs="Times New Roman" w:eastAsia="Times New Roman"/>
          <w:b/>
          <w:color w:val="233741"/>
          <w:sz w:val="24"/>
        </w:rPr>
        <w:t>III.9.5 Deux exemples réellement appliqués aux ponts</w:t>
      </w:r>
    </w:p>
    <w:p>
      <w:pPr>
        <w:jc w:val="both"/>
      </w:pPr>
      <w:r>
        <w:rPr>
          <w:rFonts w:ascii="Times New Roman" w:hAnsi="Times New Roman" w:cs="Times New Roman" w:eastAsia="Times New Roman"/>
          <w:b w:val="0"/>
          <w:sz w:val="24"/>
        </w:rPr>
        <w:t>ARJWECH et al. (2013) ont évalué l’imagerie de résistivité électrique pour estimer la géométrie de fondations de ponts connues ou inconnues, sur plusieurs sites routiers et ferroviaires. Leur étude montre une meilleure résolution pour les fondations de plus grandes dimensions et des limites pour les éléments plus petits. Dans leurs conditions, l’acquisition tridimensionnelle n’a pas apporté un bénéfice pratique suffisant par rapport à la méthode bidimensionnelle. Cet exemple justifie une évaluation préalable du contraste et de la taille de la cible ; il ne fait pas de l’ERT une mesure universelle de profondeur de pieu.</w:t>
      </w:r>
    </w:p>
    <w:p>
      <w:pPr>
        <w:jc w:val="both"/>
      </w:pPr>
      <w:r>
        <w:rPr>
          <w:rFonts w:ascii="Times New Roman" w:hAnsi="Times New Roman" w:cs="Times New Roman" w:eastAsia="Times New Roman"/>
          <w:b w:val="0"/>
          <w:sz w:val="24"/>
        </w:rPr>
        <w:t>FORDE et al. (1999) ont étudié le géoradar pour la bathymétrie et les structures sous le lit en eau douce peu profonde autour de piles et de culées. Les auteurs indiquent que la méthode peut être utile avec un matériel et une procédure adaptés, notamment lorsque d’anciennes cuvettes d’affouillement comblées sont recherchées. Ils ne la recommandent pas comme premier choix pour toute inspection. L’exemple montre donc le lien entre question, milieu de propagation et interprétation, au lieu de transposer au pont une campagne de cavité sans rapport avec l’ouvrage.</w:t>
      </w:r>
    </w:p>
    <w:p>
      <w:pPr>
        <w:pStyle w:val="Heading2"/>
      </w:pPr>
      <w:r>
        <w:rPr>
          <w:rFonts w:ascii="Times New Roman" w:hAnsi="Times New Roman" w:cs="Times New Roman" w:eastAsia="Times New Roman"/>
          <w:b/>
          <w:color w:val="1F4E79"/>
          <w:sz w:val="24"/>
        </w:rPr>
        <w:t>III.10 Hydrométrie, bathymétrie et instrumentation</w:t>
      </w:r>
    </w:p>
    <w:p>
      <w:pPr>
        <w:jc w:val="both"/>
      </w:pPr>
      <w:r>
        <w:rPr>
          <w:rFonts w:ascii="Times New Roman" w:hAnsi="Times New Roman" w:cs="Times New Roman" w:eastAsia="Times New Roman"/>
          <w:b w:val="0"/>
          <w:sz w:val="24"/>
        </w:rPr>
        <w:t>La reconnaissance du terrain doit être complétée par les mesures du cours d’eau. Les cotes du lit, les profils bathymétriques et les niveaux d’eau fournissent la géométrie initiale et les références pour détecter une évolution. Leur date et leurs conditions hydrologiques sont consignées.</w:t>
      </w:r>
    </w:p>
    <w:p>
      <w:pPr>
        <w:jc w:val="both"/>
      </w:pPr>
      <w:r>
        <w:rPr>
          <w:rFonts w:ascii="Times New Roman" w:hAnsi="Times New Roman" w:cs="Times New Roman" w:eastAsia="Times New Roman"/>
          <w:b w:val="0"/>
          <w:sz w:val="24"/>
        </w:rPr>
        <w:t>Les piézomètres, capteurs de niveau, extensomètres, inclinomètres ou systèmes de suivi de l’affouillement sont choisis selon les mécanismes redoutés. L’instrumentation n’est utile que si les mesures peuvent être interprétées et si des actions sont prévues en cas d’écart.</w:t>
      </w:r>
    </w:p>
    <w:p>
      <w:pPr>
        <w:pStyle w:val="Heading2"/>
      </w:pPr>
      <w:r>
        <w:rPr>
          <w:rFonts w:ascii="Times New Roman" w:hAnsi="Times New Roman" w:cs="Times New Roman" w:eastAsia="Times New Roman"/>
          <w:b/>
          <w:color w:val="1F4E79"/>
          <w:sz w:val="24"/>
        </w:rPr>
        <w:t>III.11 Assurance qualité et traçabilité</w:t>
      </w:r>
    </w:p>
    <w:p>
      <w:pPr>
        <w:jc w:val="both"/>
      </w:pPr>
      <w:r>
        <w:rPr>
          <w:rFonts w:ascii="Times New Roman" w:hAnsi="Times New Roman" w:cs="Times New Roman" w:eastAsia="Times New Roman"/>
          <w:b w:val="0"/>
          <w:sz w:val="24"/>
        </w:rPr>
        <w:t>La qualité repose sur des opérations vérifiables : coordonnées et altitudes contrôlées, équipements étalonnés, données brutes conservées, essais décrits, échantillons identifiés et résultats revus. Les conversions et corrections doivent être reproductibles.</w:t>
      </w:r>
    </w:p>
    <w:p>
      <w:pPr>
        <w:jc w:val="both"/>
      </w:pPr>
      <w:r>
        <w:rPr>
          <w:rFonts w:ascii="Times New Roman" w:hAnsi="Times New Roman" w:cs="Times New Roman" w:eastAsia="Times New Roman"/>
          <w:b w:val="0"/>
          <w:sz w:val="24"/>
        </w:rPr>
        <w:t>Une table de synthèse ne remplace pas les données brutes. Le rapport distingue la mesure, la valeur corrigée, le paramètre interprété et la valeur de calcul. Les valeurs aberrantes sont examinées plutôt que supprimées automatiquement.</w:t>
      </w:r>
    </w:p>
    <w:p>
      <w:bookmarkStart w:id="64" w:name="BM_TABIII_6"/>
      <w:pPr>
        <w:keepNext/>
        <w:jc w:val="center"/>
      </w:pPr>
      <w:r>
        <w:rPr>
          <w:rFonts w:ascii="Times New Roman" w:hAnsi="Times New Roman" w:cs="Times New Roman" w:eastAsia="Times New Roman"/>
          <w:b/>
          <w:sz w:val="20"/>
        </w:rPr>
        <w:t>Tableau III.6 — Contrôles qualité à joindre aux résultats</w:t>
      </w:r>
      <w:bookmarkEnd w:id="6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Étape</w:t>
            </w:r>
          </w:p>
        </w:tc>
        <w:tc>
          <w:tcPr>
            <w:tcW w:type="dxa" w:w="3628"/>
            <w:vAlign w:val="center"/>
            <w:shd w:fill="1F4E79"/>
          </w:tcPr>
          <w:p>
            <w:pPr>
              <w:spacing w:after="30"/>
            </w:pPr>
            <w:r>
              <w:rPr>
                <w:rFonts w:ascii="Times New Roman" w:hAnsi="Times New Roman" w:cs="Times New Roman" w:eastAsia="Times New Roman"/>
                <w:b/>
                <w:color w:val="FFFFFF"/>
                <w:sz w:val="17"/>
              </w:rPr>
              <w:t>Contrôle attendu</w:t>
            </w:r>
          </w:p>
        </w:tc>
        <w:tc>
          <w:tcPr>
            <w:tcW w:type="dxa" w:w="3628"/>
            <w:vAlign w:val="center"/>
            <w:shd w:fill="1F4E79"/>
          </w:tcPr>
          <w:p>
            <w:pPr>
              <w:spacing w:after="30"/>
            </w:pPr>
            <w:r>
              <w:rPr>
                <w:rFonts w:ascii="Times New Roman" w:hAnsi="Times New Roman" w:cs="Times New Roman" w:eastAsia="Times New Roman"/>
                <w:b/>
                <w:color w:val="FFFFFF"/>
                <w:sz w:val="17"/>
              </w:rPr>
              <w:t>Preuve à conserver</w:t>
            </w:r>
          </w:p>
        </w:tc>
      </w:tr>
      <w:tr>
        <w:trPr>
          <w:cantSplit/>
        </w:trPr>
        <w:tc>
          <w:tcPr>
            <w:tcW w:type="dxa" w:w="1814"/>
            <w:vAlign w:val="center"/>
          </w:tcPr>
          <w:p>
            <w:pPr>
              <w:spacing w:after="30"/>
            </w:pPr>
            <w:r>
              <w:rPr>
                <w:rFonts w:ascii="Times New Roman" w:hAnsi="Times New Roman" w:cs="Times New Roman" w:eastAsia="Times New Roman"/>
                <w:b w:val="0"/>
                <w:sz w:val="17"/>
              </w:rPr>
              <w:t>Implantation</w:t>
            </w:r>
          </w:p>
        </w:tc>
        <w:tc>
          <w:tcPr>
            <w:tcW w:type="dxa" w:w="3628"/>
            <w:vAlign w:val="center"/>
          </w:tcPr>
          <w:p>
            <w:pPr>
              <w:spacing w:after="30"/>
            </w:pPr>
            <w:r>
              <w:rPr>
                <w:rFonts w:ascii="Times New Roman" w:hAnsi="Times New Roman" w:cs="Times New Roman" w:eastAsia="Times New Roman"/>
                <w:b w:val="0"/>
                <w:sz w:val="17"/>
              </w:rPr>
              <w:t>Position, altitude et accessibilité</w:t>
            </w:r>
          </w:p>
        </w:tc>
        <w:tc>
          <w:tcPr>
            <w:tcW w:type="dxa" w:w="3628"/>
            <w:vAlign w:val="center"/>
          </w:tcPr>
          <w:p>
            <w:pPr>
              <w:spacing w:after="30"/>
            </w:pPr>
            <w:r>
              <w:rPr>
                <w:rFonts w:ascii="Times New Roman" w:hAnsi="Times New Roman" w:cs="Times New Roman" w:eastAsia="Times New Roman"/>
                <w:b w:val="0"/>
                <w:sz w:val="17"/>
              </w:rPr>
              <w:t>Levé, système de coordonnées et notes de site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Exécution</w:t>
            </w:r>
          </w:p>
        </w:tc>
        <w:tc>
          <w:tcPr>
            <w:tcW w:type="dxa" w:w="3628"/>
            <w:vAlign w:val="center"/>
            <w:shd w:fill="F3F6F8"/>
          </w:tcPr>
          <w:p>
            <w:pPr>
              <w:spacing w:after="30"/>
            </w:pPr>
            <w:r>
              <w:rPr>
                <w:rFonts w:ascii="Times New Roman" w:hAnsi="Times New Roman" w:cs="Times New Roman" w:eastAsia="Times New Roman"/>
                <w:b w:val="0"/>
                <w:sz w:val="17"/>
              </w:rPr>
              <w:t>Méthode, équipement, incidents et conditions</w:t>
            </w:r>
          </w:p>
        </w:tc>
        <w:tc>
          <w:tcPr>
            <w:tcW w:type="dxa" w:w="3628"/>
            <w:vAlign w:val="center"/>
            <w:shd w:fill="F3F6F8"/>
          </w:tcPr>
          <w:p>
            <w:pPr>
              <w:spacing w:after="30"/>
            </w:pPr>
            <w:r>
              <w:rPr>
                <w:rFonts w:ascii="Times New Roman" w:hAnsi="Times New Roman" w:cs="Times New Roman" w:eastAsia="Times New Roman"/>
                <w:b w:val="0"/>
                <w:sz w:val="17"/>
              </w:rPr>
              <w:t>Journal de forage ou d’essai et enregistrements bruts</w:t>
            </w:r>
          </w:p>
        </w:tc>
      </w:tr>
      <w:tr>
        <w:trPr>
          <w:cantSplit/>
        </w:trPr>
        <w:tc>
          <w:tcPr>
            <w:tcW w:type="dxa" w:w="1814"/>
            <w:vAlign w:val="center"/>
          </w:tcPr>
          <w:p>
            <w:pPr>
              <w:spacing w:after="30"/>
            </w:pPr>
            <w:r>
              <w:rPr>
                <w:rFonts w:ascii="Times New Roman" w:hAnsi="Times New Roman" w:cs="Times New Roman" w:eastAsia="Times New Roman"/>
                <w:b w:val="0"/>
                <w:sz w:val="17"/>
              </w:rPr>
              <w:t>Étalonnage</w:t>
            </w:r>
          </w:p>
        </w:tc>
        <w:tc>
          <w:tcPr>
            <w:tcW w:type="dxa" w:w="3628"/>
            <w:vAlign w:val="center"/>
          </w:tcPr>
          <w:p>
            <w:pPr>
              <w:spacing w:after="30"/>
            </w:pPr>
            <w:r>
              <w:rPr>
                <w:rFonts w:ascii="Times New Roman" w:hAnsi="Times New Roman" w:cs="Times New Roman" w:eastAsia="Times New Roman"/>
                <w:b w:val="0"/>
                <w:sz w:val="17"/>
              </w:rPr>
              <w:t>Validité des capteurs et corrections</w:t>
            </w:r>
          </w:p>
        </w:tc>
        <w:tc>
          <w:tcPr>
            <w:tcW w:type="dxa" w:w="3628"/>
            <w:vAlign w:val="center"/>
          </w:tcPr>
          <w:p>
            <w:pPr>
              <w:spacing w:after="30"/>
            </w:pPr>
            <w:r>
              <w:rPr>
                <w:rFonts w:ascii="Times New Roman" w:hAnsi="Times New Roman" w:cs="Times New Roman" w:eastAsia="Times New Roman"/>
                <w:b w:val="0"/>
                <w:sz w:val="17"/>
              </w:rPr>
              <w:t>Certificats, zéros et vérifications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Échantillons</w:t>
            </w:r>
          </w:p>
        </w:tc>
        <w:tc>
          <w:tcPr>
            <w:tcW w:type="dxa" w:w="3628"/>
            <w:vAlign w:val="center"/>
            <w:shd w:fill="F3F6F8"/>
          </w:tcPr>
          <w:p>
            <w:pPr>
              <w:spacing w:after="30"/>
            </w:pPr>
            <w:r>
              <w:rPr>
                <w:rFonts w:ascii="Times New Roman" w:hAnsi="Times New Roman" w:cs="Times New Roman" w:eastAsia="Times New Roman"/>
                <w:b w:val="0"/>
                <w:sz w:val="17"/>
              </w:rPr>
              <w:t>Identifiant, profondeur, état et conservation</w:t>
            </w:r>
          </w:p>
        </w:tc>
        <w:tc>
          <w:tcPr>
            <w:tcW w:type="dxa" w:w="3628"/>
            <w:vAlign w:val="center"/>
            <w:shd w:fill="F3F6F8"/>
          </w:tcPr>
          <w:p>
            <w:pPr>
              <w:spacing w:after="30"/>
            </w:pPr>
            <w:r>
              <w:rPr>
                <w:rFonts w:ascii="Times New Roman" w:hAnsi="Times New Roman" w:cs="Times New Roman" w:eastAsia="Times New Roman"/>
                <w:b w:val="0"/>
                <w:sz w:val="17"/>
              </w:rPr>
              <w:t>Chaîne de traçabilité et photographies si utiles</w:t>
            </w:r>
          </w:p>
        </w:tc>
      </w:tr>
      <w:tr>
        <w:trPr>
          <w:cantSplit/>
        </w:trPr>
        <w:tc>
          <w:tcPr>
            <w:tcW w:type="dxa" w:w="1814"/>
            <w:vAlign w:val="center"/>
          </w:tcPr>
          <w:p>
            <w:pPr>
              <w:spacing w:after="30"/>
            </w:pPr>
            <w:r>
              <w:rPr>
                <w:rFonts w:ascii="Times New Roman" w:hAnsi="Times New Roman" w:cs="Times New Roman" w:eastAsia="Times New Roman"/>
                <w:b w:val="0"/>
                <w:sz w:val="17"/>
              </w:rPr>
              <w:t>Interprétation</w:t>
            </w:r>
          </w:p>
        </w:tc>
        <w:tc>
          <w:tcPr>
            <w:tcW w:type="dxa" w:w="3628"/>
            <w:vAlign w:val="center"/>
          </w:tcPr>
          <w:p>
            <w:pPr>
              <w:spacing w:after="30"/>
            </w:pPr>
            <w:r>
              <w:rPr>
                <w:rFonts w:ascii="Times New Roman" w:hAnsi="Times New Roman" w:cs="Times New Roman" w:eastAsia="Times New Roman"/>
                <w:b w:val="0"/>
                <w:sz w:val="17"/>
              </w:rPr>
              <w:t>Formules, hypothèses, corrections et corrélations</w:t>
            </w:r>
          </w:p>
        </w:tc>
        <w:tc>
          <w:tcPr>
            <w:tcW w:type="dxa" w:w="3628"/>
            <w:vAlign w:val="center"/>
          </w:tcPr>
          <w:p>
            <w:pPr>
              <w:spacing w:after="30"/>
            </w:pPr>
            <w:r>
              <w:rPr>
                <w:rFonts w:ascii="Times New Roman" w:hAnsi="Times New Roman" w:cs="Times New Roman" w:eastAsia="Times New Roman"/>
                <w:b w:val="0"/>
                <w:sz w:val="17"/>
              </w:rPr>
              <w:t>Feuilles de calcul reproductibles et références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Synthèse</w:t>
            </w:r>
          </w:p>
        </w:tc>
        <w:tc>
          <w:tcPr>
            <w:tcW w:type="dxa" w:w="3628"/>
            <w:vAlign w:val="center"/>
            <w:shd w:fill="F3F6F8"/>
          </w:tcPr>
          <w:p>
            <w:pPr>
              <w:spacing w:after="30"/>
            </w:pPr>
            <w:r>
              <w:rPr>
                <w:rFonts w:ascii="Times New Roman" w:hAnsi="Times New Roman" w:cs="Times New Roman" w:eastAsia="Times New Roman"/>
                <w:b w:val="0"/>
                <w:sz w:val="17"/>
              </w:rPr>
              <w:t>Cohérence entre méthodes et incertitudes</w:t>
            </w:r>
          </w:p>
        </w:tc>
        <w:tc>
          <w:tcPr>
            <w:tcW w:type="dxa" w:w="3628"/>
            <w:vAlign w:val="center"/>
            <w:shd w:fill="F3F6F8"/>
          </w:tcPr>
          <w:p>
            <w:pPr>
              <w:spacing w:after="30"/>
            </w:pPr>
            <w:r>
              <w:rPr>
                <w:rFonts w:ascii="Times New Roman" w:hAnsi="Times New Roman" w:cs="Times New Roman" w:eastAsia="Times New Roman"/>
                <w:b w:val="0"/>
                <w:sz w:val="17"/>
              </w:rPr>
              <w:t>Tableau de revue et décisions documentées</w:t>
            </w:r>
          </w:p>
        </w:tc>
      </w:tr>
    </w:tbl>
    <w:p>
      <w:pPr>
        <w:spacing w:after="20"/>
      </w:pPr>
    </w:p>
    <w:p>
      <w:pPr>
        <w:jc w:val="both"/>
      </w:pPr>
      <w:r>
        <w:rPr>
          <w:rFonts w:ascii="Times New Roman" w:hAnsi="Times New Roman" w:cs="Times New Roman" w:eastAsia="Times New Roman"/>
          <w:b w:val="0"/>
          <w:sz w:val="24"/>
        </w:rPr>
        <w:t>Les photographies suivantes complètent la figure III.3 par des équipements réels. Elles illustrent les conditions d’exécution à consigner, sans documenter une campagne réalisée pour cette révision.</w:t>
      </w:r>
    </w:p>
    <w:p>
      <w:pPr>
        <w:keepNext/>
        <w:jc w:val="center"/>
      </w:pPr>
      <w:r>
        <w:drawing>
          <wp:inline xmlns:a="http://schemas.openxmlformats.org/drawingml/2006/main" xmlns:pic="http://schemas.openxmlformats.org/drawingml/2006/picture">
            <wp:extent cx="5760000" cy="1817600"/>
            <wp:docPr id="35" name="Picture 35"/>
            <wp:cNvGraphicFramePr>
              <a:graphicFrameLocks noChangeAspect="1"/>
            </wp:cNvGraphicFramePr>
            <a:graphic>
              <a:graphicData uri="http://schemas.openxmlformats.org/drawingml/2006/picture">
                <pic:pic>
                  <pic:nvPicPr>
                    <pic:cNvPr id="0" name="photo_spt_equipment.png"/>
                    <pic:cNvPicPr/>
                  </pic:nvPicPr>
                  <pic:blipFill>
                    <a:blip r:embed="rId61"/>
                    <a:stretch>
                      <a:fillRect/>
                    </a:stretch>
                  </pic:blipFill>
                  <pic:spPr>
                    <a:xfrm>
                      <a:off x="0" y="0"/>
                      <a:ext cx="5760000" cy="1817600"/>
                    </a:xfrm>
                    <a:prstGeom prst="rect"/>
                  </pic:spPr>
                </pic:pic>
              </a:graphicData>
            </a:graphic>
          </wp:inline>
        </w:drawing>
      </w:r>
    </w:p>
    <w:p>
      <w:bookmarkStart w:id="65" w:name="BM_FIGIII_11"/>
      <w:pPr>
        <w:jc w:val="center"/>
      </w:pPr>
      <w:r>
        <w:rPr>
          <w:rFonts w:ascii="Times New Roman" w:hAnsi="Times New Roman" w:cs="Times New Roman" w:eastAsia="Times New Roman"/>
          <w:b/>
          <w:sz w:val="20"/>
        </w:rPr>
        <w:t>Figure III.11 — Deux configurations de matériel de forage équipé pour des essais SPT</w:t>
      </w:r>
      <w:bookmarkEnd w:id="65"/>
    </w:p>
    <w:p>
      <w:pPr>
        <w:jc w:val="right"/>
      </w:pPr>
      <w:r>
        <w:rPr>
          <w:rFonts w:ascii="Times New Roman" w:hAnsi="Times New Roman" w:cs="Times New Roman" w:eastAsia="Times New Roman"/>
          <w:b w:val="0"/>
          <w:color w:val="59636B"/>
          <w:sz w:val="20"/>
        </w:rPr>
        <w:t>Source : Engineering LibreTexts, « The Standard Penetration Test », figure 1.15 ; Geoengineering.org, reproduction autorisée indiquée par la source.</w:t>
      </w:r>
    </w:p>
    <w:p>
      <w:pPr>
        <w:keepNext/>
        <w:jc w:val="center"/>
      </w:pPr>
      <w:r>
        <w:drawing>
          <wp:inline xmlns:a="http://schemas.openxmlformats.org/drawingml/2006/main" xmlns:pic="http://schemas.openxmlformats.org/drawingml/2006/picture">
            <wp:extent cx="5760000" cy="4320000"/>
            <wp:docPr id="36" name="Picture 36"/>
            <wp:cNvGraphicFramePr>
              <a:graphicFrameLocks noChangeAspect="1"/>
            </wp:cNvGraphicFramePr>
            <a:graphic>
              <a:graphicData uri="http://schemas.openxmlformats.org/drawingml/2006/picture">
                <pic:pic>
                  <pic:nvPicPr>
                    <pic:cNvPr id="0" name="photo_cpt_truck.png"/>
                    <pic:cNvPicPr/>
                  </pic:nvPicPr>
                  <pic:blipFill>
                    <a:blip r:embed="rId62"/>
                    <a:stretch>
                      <a:fillRect/>
                    </a:stretch>
                  </pic:blipFill>
                  <pic:spPr>
                    <a:xfrm>
                      <a:off x="0" y="0"/>
                      <a:ext cx="5760000" cy="4320000"/>
                    </a:xfrm>
                    <a:prstGeom prst="rect"/>
                  </pic:spPr>
                </pic:pic>
              </a:graphicData>
            </a:graphic>
          </wp:inline>
        </w:drawing>
      </w:r>
    </w:p>
    <w:p>
      <w:bookmarkStart w:id="66" w:name="BM_FIGIII_12"/>
      <w:pPr>
        <w:jc w:val="center"/>
      </w:pPr>
      <w:r>
        <w:rPr>
          <w:rFonts w:ascii="Times New Roman" w:hAnsi="Times New Roman" w:cs="Times New Roman" w:eastAsia="Times New Roman"/>
          <w:b/>
          <w:sz w:val="20"/>
        </w:rPr>
        <w:t>Figure III.12 — Unité de pénétration statique CPT montée sur camion</w:t>
      </w:r>
      <w:bookmarkEnd w:id="66"/>
    </w:p>
    <w:p>
      <w:pPr>
        <w:jc w:val="right"/>
      </w:pPr>
      <w:r>
        <w:rPr>
          <w:rFonts w:ascii="Times New Roman" w:hAnsi="Times New Roman" w:cs="Times New Roman" w:eastAsia="Times New Roman"/>
          <w:b w:val="0"/>
          <w:color w:val="59636B"/>
          <w:sz w:val="20"/>
        </w:rPr>
        <w:t>Source : photographie AMDRILL, Inc., « Cone Penetration Testing / CPT », 2023.</w:t>
      </w:r>
    </w:p>
    <w:p>
      <w:pPr>
        <w:jc w:val="both"/>
      </w:pPr>
      <w:r>
        <w:rPr>
          <w:rFonts w:ascii="Times New Roman" w:hAnsi="Times New Roman" w:cs="Times New Roman" w:eastAsia="Times New Roman"/>
          <w:b w:val="0"/>
          <w:sz w:val="24"/>
        </w:rPr>
        <w:t>Les méthodes électriques se déclinent aussi selon le milieu d’acquisition. Les vues suivantes documentent un dispositif terrestre et un profilage continu sur l’eau ; elles ne constituent pas une campagne géophysique réalisée sur un pont pour ce mémoire.</w:t>
      </w:r>
    </w:p>
    <w:p>
      <w:pPr>
        <w:keepNext/>
        <w:jc w:val="center"/>
      </w:pPr>
      <w:r>
        <w:drawing>
          <wp:inline xmlns:a="http://schemas.openxmlformats.org/drawingml/2006/main" xmlns:pic="http://schemas.openxmlformats.org/drawingml/2006/picture">
            <wp:extent cx="5760000" cy="2496000"/>
            <wp:docPr id="37" name="Picture 37"/>
            <wp:cNvGraphicFramePr>
              <a:graphicFrameLocks noChangeAspect="1"/>
            </wp:cNvGraphicFramePr>
            <a:graphic>
              <a:graphicData uri="http://schemas.openxmlformats.org/drawingml/2006/picture">
                <pic:pic>
                  <pic:nvPicPr>
                    <pic:cNvPr id="0" name="photo_ert_land_water.png"/>
                    <pic:cNvPicPr/>
                  </pic:nvPicPr>
                  <pic:blipFill>
                    <a:blip r:embed="rId63"/>
                    <a:stretch>
                      <a:fillRect/>
                    </a:stretch>
                  </pic:blipFill>
                  <pic:spPr>
                    <a:xfrm>
                      <a:off x="0" y="0"/>
                      <a:ext cx="5760000" cy="2496000"/>
                    </a:xfrm>
                    <a:prstGeom prst="rect"/>
                  </pic:spPr>
                </pic:pic>
              </a:graphicData>
            </a:graphic>
          </wp:inline>
        </w:drawing>
      </w:r>
    </w:p>
    <w:p>
      <w:bookmarkStart w:id="67" w:name="BM_FIGIII_13"/>
      <w:pPr>
        <w:jc w:val="center"/>
      </w:pPr>
      <w:r>
        <w:rPr>
          <w:rFonts w:ascii="Times New Roman" w:hAnsi="Times New Roman" w:cs="Times New Roman" w:eastAsia="Times New Roman"/>
          <w:b/>
          <w:sz w:val="20"/>
        </w:rPr>
        <w:t>Figure III.13 — Acquisition de résistivité électrique : (a) dispositif ERT terrestre ; (b) profilage continu CRP avec électrodes remorquées</w:t>
      </w:r>
      <w:bookmarkEnd w:id="67"/>
    </w:p>
    <w:p>
      <w:pPr>
        <w:jc w:val="right"/>
      </w:pPr>
      <w:r>
        <w:rPr>
          <w:rFonts w:ascii="Times New Roman" w:hAnsi="Times New Roman" w:cs="Times New Roman" w:eastAsia="Times New Roman"/>
          <w:b w:val="0"/>
          <w:color w:val="59636B"/>
          <w:sz w:val="20"/>
        </w:rPr>
        <w:t>Source : US EPA, « Electrical Resistivity » et « Continuous Resistivity Profiling » ; photographies USGS indiquées par l’EPA.</w:t>
      </w:r>
    </w:p>
    <w:p>
      <w:pPr>
        <w:jc w:val="both"/>
      </w:pPr>
      <w:r>
        <w:rPr>
          <w:rFonts w:ascii="Times New Roman" w:hAnsi="Times New Roman" w:cs="Times New Roman" w:eastAsia="Times New Roman"/>
          <w:b w:val="0"/>
          <w:sz w:val="24"/>
        </w:rPr>
        <w:t>Au laboratoire, la cellule, les circuits de pression et la mesure interstitielle conditionnent l’interprétation de l’essai. Les photographies montrent le matériel et ne dispensent pas de consigner le chemin de contrainte, le drainage et la saturation.</w:t>
      </w:r>
    </w:p>
    <w:p>
      <w:pPr>
        <w:keepNext/>
        <w:jc w:val="center"/>
      </w:pPr>
      <w:r>
        <w:drawing>
          <wp:inline xmlns:a="http://schemas.openxmlformats.org/drawingml/2006/main" xmlns:pic="http://schemas.openxmlformats.org/drawingml/2006/picture">
            <wp:extent cx="5760000" cy="2496000"/>
            <wp:docPr id="38" name="Picture 38"/>
            <wp:cNvGraphicFramePr>
              <a:graphicFrameLocks noChangeAspect="1"/>
            </wp:cNvGraphicFramePr>
            <a:graphic>
              <a:graphicData uri="http://schemas.openxmlformats.org/drawingml/2006/picture">
                <pic:pic>
                  <pic:nvPicPr>
                    <pic:cNvPr id="0" name="photo_triaxial_lab.png"/>
                    <pic:cNvPicPr/>
                  </pic:nvPicPr>
                  <pic:blipFill>
                    <a:blip r:embed="rId64"/>
                    <a:stretch>
                      <a:fillRect/>
                    </a:stretch>
                  </pic:blipFill>
                  <pic:spPr>
                    <a:xfrm>
                      <a:off x="0" y="0"/>
                      <a:ext cx="5760000" cy="2496000"/>
                    </a:xfrm>
                    <a:prstGeom prst="rect"/>
                  </pic:spPr>
                </pic:pic>
              </a:graphicData>
            </a:graphic>
          </wp:inline>
        </w:drawing>
      </w:r>
    </w:p>
    <w:p>
      <w:bookmarkStart w:id="68" w:name="BM_FIGIII_14"/>
      <w:pPr>
        <w:jc w:val="center"/>
      </w:pPr>
      <w:r>
        <w:rPr>
          <w:rFonts w:ascii="Times New Roman" w:hAnsi="Times New Roman" w:cs="Times New Roman" w:eastAsia="Times New Roman"/>
          <w:b/>
          <w:sz w:val="20"/>
        </w:rPr>
        <w:t>Figure III.14 — Essais triaxiaux : (a) éprouvette pendant un essai cyclique ; (b) mesure de pression interstitielle</w:t>
      </w:r>
      <w:bookmarkEnd w:id="68"/>
    </w:p>
    <w:p>
      <w:pPr>
        <w:jc w:val="right"/>
      </w:pPr>
      <w:r>
        <w:rPr>
          <w:rFonts w:ascii="Times New Roman" w:hAnsi="Times New Roman" w:cs="Times New Roman" w:eastAsia="Times New Roman"/>
          <w:b w:val="0"/>
          <w:color w:val="59636B"/>
          <w:sz w:val="20"/>
        </w:rPr>
        <w:t>Source : (a) TomasSab, Wikimedia Commons, CC BY-SA 4.0 ; (b) Ayratayrat, Wikimedia Commons, CC BY-SA 4.0.</w:t>
      </w:r>
    </w:p>
    <w:p>
      <w:pPr>
        <w:jc w:val="both"/>
      </w:pPr>
      <w:r>
        <w:rPr>
          <w:rFonts w:ascii="Times New Roman" w:hAnsi="Times New Roman" w:cs="Times New Roman" w:eastAsia="Times New Roman"/>
          <w:b w:val="0"/>
          <w:sz w:val="24"/>
        </w:rPr>
        <w:t>Pour les éprouvettes rocheuses, des cellules spécifiques permettent des confinements élevés. Cet équipement illustre la différence de matériel ; il ne justifie pas de transposer une corrélation de résistance sans connaître les conditions de l’essai.</w:t>
      </w:r>
    </w:p>
    <w:p>
      <w:pPr>
        <w:keepNext/>
        <w:jc w:val="center"/>
      </w:pPr>
      <w:r>
        <w:drawing>
          <wp:inline xmlns:a="http://schemas.openxmlformats.org/drawingml/2006/main" xmlns:pic="http://schemas.openxmlformats.org/drawingml/2006/picture">
            <wp:extent cx="3466135" cy="5219999"/>
            <wp:docPr id="39" name="Picture 39"/>
            <wp:cNvGraphicFramePr>
              <a:graphicFrameLocks noChangeAspect="1"/>
            </wp:cNvGraphicFramePr>
            <a:graphic>
              <a:graphicData uri="http://schemas.openxmlformats.org/drawingml/2006/picture">
                <pic:pic>
                  <pic:nvPicPr>
                    <pic:cNvPr id="0" name="photo_triaxial_rock_csiro.png"/>
                    <pic:cNvPicPr/>
                  </pic:nvPicPr>
                  <pic:blipFill>
                    <a:blip r:embed="rId65"/>
                    <a:stretch>
                      <a:fillRect/>
                    </a:stretch>
                  </pic:blipFill>
                  <pic:spPr>
                    <a:xfrm>
                      <a:off x="0" y="0"/>
                      <a:ext cx="3466135" cy="5219999"/>
                    </a:xfrm>
                    <a:prstGeom prst="rect"/>
                  </pic:spPr>
                </pic:pic>
              </a:graphicData>
            </a:graphic>
          </wp:inline>
        </w:drawing>
      </w:r>
    </w:p>
    <w:p>
      <w:bookmarkStart w:id="69" w:name="BM_FIGIII_15"/>
      <w:pPr>
        <w:jc w:val="center"/>
      </w:pPr>
      <w:r>
        <w:rPr>
          <w:rFonts w:ascii="Times New Roman" w:hAnsi="Times New Roman" w:cs="Times New Roman" w:eastAsia="Times New Roman"/>
          <w:b/>
          <w:sz w:val="20"/>
        </w:rPr>
        <w:t>Figure III.15 — Cellule triaxiale haute pression pour la mesure de la résistance du rocher au laboratoire CSIRO</w:t>
      </w:r>
      <w:bookmarkEnd w:id="69"/>
    </w:p>
    <w:p>
      <w:pPr>
        <w:jc w:val="right"/>
      </w:pPr>
      <w:r>
        <w:rPr>
          <w:rFonts w:ascii="Times New Roman" w:hAnsi="Times New Roman" w:cs="Times New Roman" w:eastAsia="Times New Roman"/>
          <w:b w:val="0"/>
          <w:color w:val="59636B"/>
          <w:sz w:val="20"/>
        </w:rPr>
        <w:t>Source : Darryl Peroni, CSIRO, Wikimedia Commons, CC BY 3.0.</w:t>
      </w:r>
    </w:p>
    <w:p>
      <w:pPr>
        <w:pStyle w:val="Heading2"/>
      </w:pPr>
      <w:r>
        <w:rPr>
          <w:rFonts w:ascii="Times New Roman" w:hAnsi="Times New Roman" w:cs="Times New Roman" w:eastAsia="Times New Roman"/>
          <w:b/>
          <w:color w:val="1F4E79"/>
          <w:sz w:val="24"/>
        </w:rPr>
        <w:t>III.12 Construction du programme final</w:t>
      </w:r>
    </w:p>
    <w:p>
      <w:pPr>
        <w:jc w:val="both"/>
      </w:pPr>
      <w:r>
        <w:rPr>
          <w:rFonts w:ascii="Times New Roman" w:hAnsi="Times New Roman" w:cs="Times New Roman" w:eastAsia="Times New Roman"/>
          <w:b w:val="0"/>
          <w:sz w:val="24"/>
        </w:rPr>
        <w:t>Le programme final présente, pour chaque opération, la question posée, la localisation, la méthode, la profondeur ou l’étendue visée, les critères d’adaptation et le livrable attendu. Il indique aussi les conditions de sécurité, d’accès et de protection du milieu.</w:t>
      </w:r>
    </w:p>
    <w:p>
      <w:pPr>
        <w:jc w:val="both"/>
      </w:pPr>
      <w:r>
        <w:rPr>
          <w:rFonts w:ascii="Times New Roman" w:hAnsi="Times New Roman" w:cs="Times New Roman" w:eastAsia="Times New Roman"/>
          <w:b w:val="0"/>
          <w:sz w:val="24"/>
        </w:rPr>
        <w:t>Un tableau de couverture relie ensuite les appuis et les mécanismes aux investigations. Les cases vides ne sont pas nécessairement des défauts : elles doivent être justifiées par la représentativité des données voisines ou par l’absence du mécanisme. Inversement, une anomalie non résolue ne peut pas être écartée uniquement parce que le nombre prévu d’essais a été atteint.</w:t>
      </w:r>
    </w:p>
    <w:p>
      <w:bookmarkStart w:id="70" w:name="BM_TABIII_7"/>
      <w:pPr>
        <w:keepNext/>
        <w:jc w:val="center"/>
      </w:pPr>
      <w:r>
        <w:rPr>
          <w:rFonts w:ascii="Times New Roman" w:hAnsi="Times New Roman" w:cs="Times New Roman" w:eastAsia="Times New Roman"/>
          <w:b/>
          <w:sz w:val="20"/>
        </w:rPr>
        <w:t>Tableau III.7 — Exemple de matrice de justification — à compléter pour un projet réel</w:t>
      </w:r>
      <w:bookmarkEnd w:id="70"/>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Appui ou zone</w:t>
            </w:r>
          </w:p>
        </w:tc>
        <w:tc>
          <w:tcPr>
            <w:tcW w:type="dxa" w:w="3628"/>
            <w:vAlign w:val="center"/>
            <w:shd w:fill="1F4E79"/>
          </w:tcPr>
          <w:p>
            <w:pPr>
              <w:spacing w:after="30"/>
            </w:pPr>
            <w:r>
              <w:rPr>
                <w:rFonts w:ascii="Times New Roman" w:hAnsi="Times New Roman" w:cs="Times New Roman" w:eastAsia="Times New Roman"/>
                <w:b/>
                <w:color w:val="FFFFFF"/>
                <w:sz w:val="17"/>
              </w:rPr>
              <w:t>Incertitude gouvernante</w:t>
            </w:r>
          </w:p>
        </w:tc>
        <w:tc>
          <w:tcPr>
            <w:tcW w:type="dxa" w:w="3628"/>
            <w:vAlign w:val="center"/>
            <w:shd w:fill="1F4E79"/>
          </w:tcPr>
          <w:p>
            <w:pPr>
              <w:spacing w:after="30"/>
            </w:pPr>
            <w:r>
              <w:rPr>
                <w:rFonts w:ascii="Times New Roman" w:hAnsi="Times New Roman" w:cs="Times New Roman" w:eastAsia="Times New Roman"/>
                <w:b/>
                <w:color w:val="FFFFFF"/>
                <w:sz w:val="17"/>
              </w:rPr>
              <w:t>Réponse du programme et critère de clôture</w:t>
            </w:r>
          </w:p>
        </w:tc>
      </w:tr>
      <w:tr>
        <w:trPr>
          <w:cantSplit/>
        </w:trPr>
        <w:tc>
          <w:tcPr>
            <w:tcW w:type="dxa" w:w="1814"/>
            <w:vAlign w:val="center"/>
          </w:tcPr>
          <w:p>
            <w:pPr>
              <w:spacing w:after="30"/>
            </w:pPr>
            <w:r>
              <w:rPr>
                <w:rFonts w:ascii="Times New Roman" w:hAnsi="Times New Roman" w:cs="Times New Roman" w:eastAsia="Times New Roman"/>
                <w:b w:val="0"/>
                <w:sz w:val="17"/>
              </w:rPr>
              <w:t>Pile en chenal</w:t>
            </w:r>
          </w:p>
        </w:tc>
        <w:tc>
          <w:tcPr>
            <w:tcW w:type="dxa" w:w="3628"/>
            <w:vAlign w:val="center"/>
          </w:tcPr>
          <w:p>
            <w:pPr>
              <w:spacing w:after="30"/>
            </w:pPr>
            <w:r>
              <w:rPr>
                <w:rFonts w:ascii="Times New Roman" w:hAnsi="Times New Roman" w:cs="Times New Roman" w:eastAsia="Times New Roman"/>
                <w:b w:val="0"/>
                <w:sz w:val="17"/>
              </w:rPr>
              <w:t>Mobilité du lit et résistance après affouillement</w:t>
            </w:r>
          </w:p>
        </w:tc>
        <w:tc>
          <w:tcPr>
            <w:tcW w:type="dxa" w:w="3628"/>
            <w:vAlign w:val="center"/>
          </w:tcPr>
          <w:p>
            <w:pPr>
              <w:spacing w:after="30"/>
            </w:pPr>
            <w:r>
              <w:rPr>
                <w:rFonts w:ascii="Times New Roman" w:hAnsi="Times New Roman" w:cs="Times New Roman" w:eastAsia="Times New Roman"/>
                <w:b w:val="0"/>
                <w:sz w:val="17"/>
              </w:rPr>
              <w:t>Investigations de fondation et modèle hydraulique/morphodynamique cohérents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Culée en remblai</w:t>
            </w:r>
          </w:p>
        </w:tc>
        <w:tc>
          <w:tcPr>
            <w:tcW w:type="dxa" w:w="3628"/>
            <w:vAlign w:val="center"/>
            <w:shd w:fill="F3F6F8"/>
          </w:tcPr>
          <w:p>
            <w:pPr>
              <w:spacing w:after="30"/>
            </w:pPr>
            <w:r>
              <w:rPr>
                <w:rFonts w:ascii="Times New Roman" w:hAnsi="Times New Roman" w:cs="Times New Roman" w:eastAsia="Times New Roman"/>
                <w:b w:val="0"/>
                <w:sz w:val="17"/>
              </w:rPr>
              <w:t>Compressibilité et drainage</w:t>
            </w:r>
          </w:p>
        </w:tc>
        <w:tc>
          <w:tcPr>
            <w:tcW w:type="dxa" w:w="3628"/>
            <w:vAlign w:val="center"/>
            <w:shd w:fill="F3F6F8"/>
          </w:tcPr>
          <w:p>
            <w:pPr>
              <w:spacing w:after="30"/>
            </w:pPr>
            <w:r>
              <w:rPr>
                <w:rFonts w:ascii="Times New Roman" w:hAnsi="Times New Roman" w:cs="Times New Roman" w:eastAsia="Times New Roman"/>
                <w:b w:val="0"/>
                <w:sz w:val="17"/>
              </w:rPr>
              <w:t>Échantillons et essais représentatifs, scénario de tassement et drainage vérifié</w:t>
            </w:r>
          </w:p>
        </w:tc>
      </w:tr>
      <w:tr>
        <w:trPr>
          <w:cantSplit/>
        </w:trPr>
        <w:tc>
          <w:tcPr>
            <w:tcW w:type="dxa" w:w="1814"/>
            <w:vAlign w:val="center"/>
          </w:tcPr>
          <w:p>
            <w:pPr>
              <w:spacing w:after="30"/>
            </w:pPr>
            <w:r>
              <w:rPr>
                <w:rFonts w:ascii="Times New Roman" w:hAnsi="Times New Roman" w:cs="Times New Roman" w:eastAsia="Times New Roman"/>
                <w:b w:val="0"/>
                <w:sz w:val="17"/>
              </w:rPr>
              <w:t>Appui sur rocher</w:t>
            </w:r>
          </w:p>
        </w:tc>
        <w:tc>
          <w:tcPr>
            <w:tcW w:type="dxa" w:w="3628"/>
            <w:vAlign w:val="center"/>
          </w:tcPr>
          <w:p>
            <w:pPr>
              <w:spacing w:after="30"/>
            </w:pPr>
            <w:r>
              <w:rPr>
                <w:rFonts w:ascii="Times New Roman" w:hAnsi="Times New Roman" w:cs="Times New Roman" w:eastAsia="Times New Roman"/>
                <w:b w:val="0"/>
                <w:sz w:val="17"/>
              </w:rPr>
              <w:t>Discontinuités et altération</w:t>
            </w:r>
          </w:p>
        </w:tc>
        <w:tc>
          <w:tcPr>
            <w:tcW w:type="dxa" w:w="3628"/>
            <w:vAlign w:val="center"/>
          </w:tcPr>
          <w:p>
            <w:pPr>
              <w:spacing w:after="30"/>
            </w:pPr>
            <w:r>
              <w:rPr>
                <w:rFonts w:ascii="Times New Roman" w:hAnsi="Times New Roman" w:cs="Times New Roman" w:eastAsia="Times New Roman"/>
                <w:b w:val="0"/>
                <w:sz w:val="17"/>
              </w:rPr>
              <w:t>Carottage, description structurale et contrôle de l’horizon d’ancrage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Zone d’anomalie</w:t>
            </w:r>
          </w:p>
        </w:tc>
        <w:tc>
          <w:tcPr>
            <w:tcW w:type="dxa" w:w="3628"/>
            <w:vAlign w:val="center"/>
            <w:shd w:fill="F3F6F8"/>
          </w:tcPr>
          <w:p>
            <w:pPr>
              <w:spacing w:after="30"/>
            </w:pPr>
            <w:r>
              <w:rPr>
                <w:rFonts w:ascii="Times New Roman" w:hAnsi="Times New Roman" w:cs="Times New Roman" w:eastAsia="Times New Roman"/>
                <w:b w:val="0"/>
                <w:sz w:val="17"/>
              </w:rPr>
              <w:t>Nature de l’anomalie géophysique</w:t>
            </w:r>
          </w:p>
        </w:tc>
        <w:tc>
          <w:tcPr>
            <w:tcW w:type="dxa" w:w="3628"/>
            <w:vAlign w:val="center"/>
            <w:shd w:fill="F3F6F8"/>
          </w:tcPr>
          <w:p>
            <w:pPr>
              <w:spacing w:after="30"/>
            </w:pPr>
            <w:r>
              <w:rPr>
                <w:rFonts w:ascii="Times New Roman" w:hAnsi="Times New Roman" w:cs="Times New Roman" w:eastAsia="Times New Roman"/>
                <w:b w:val="0"/>
                <w:sz w:val="17"/>
              </w:rPr>
              <w:t>Recoupement direct ou justification d’un scénario conservateur explicite</w:t>
            </w:r>
          </w:p>
        </w:tc>
      </w:tr>
      <w:tr>
        <w:trPr>
          <w:cantSplit/>
        </w:trPr>
        <w:tc>
          <w:tcPr>
            <w:tcW w:type="dxa" w:w="1814"/>
            <w:vAlign w:val="center"/>
          </w:tcPr>
          <w:p>
            <w:pPr>
              <w:spacing w:after="30"/>
            </w:pPr>
            <w:r>
              <w:rPr>
                <w:rFonts w:ascii="Times New Roman" w:hAnsi="Times New Roman" w:cs="Times New Roman" w:eastAsia="Times New Roman"/>
                <w:b w:val="0"/>
                <w:sz w:val="17"/>
              </w:rPr>
              <w:t>Accès et emprises</w:t>
            </w:r>
          </w:p>
        </w:tc>
        <w:tc>
          <w:tcPr>
            <w:tcW w:type="dxa" w:w="3628"/>
            <w:vAlign w:val="center"/>
          </w:tcPr>
          <w:p>
            <w:pPr>
              <w:spacing w:after="30"/>
            </w:pPr>
            <w:r>
              <w:rPr>
                <w:rFonts w:ascii="Times New Roman" w:hAnsi="Times New Roman" w:cs="Times New Roman" w:eastAsia="Times New Roman"/>
                <w:b w:val="0"/>
                <w:sz w:val="17"/>
              </w:rPr>
              <w:t>Variabilité et impact des travaux</w:t>
            </w:r>
          </w:p>
        </w:tc>
        <w:tc>
          <w:tcPr>
            <w:tcW w:type="dxa" w:w="3628"/>
            <w:vAlign w:val="center"/>
          </w:tcPr>
          <w:p>
            <w:pPr>
              <w:spacing w:after="30"/>
            </w:pPr>
            <w:r>
              <w:rPr>
                <w:rFonts w:ascii="Times New Roman" w:hAnsi="Times New Roman" w:cs="Times New Roman" w:eastAsia="Times New Roman"/>
                <w:b w:val="0"/>
                <w:sz w:val="17"/>
              </w:rPr>
              <w:t>Extension du modèle aux zones influencées par les remblais et installations</w:t>
            </w:r>
          </w:p>
        </w:tc>
      </w:tr>
    </w:tbl>
    <w:p>
      <w:pPr>
        <w:spacing w:after="20"/>
      </w:pPr>
    </w:p>
    <w:p>
      <w:pPr>
        <w:pStyle w:val="Heading2"/>
      </w:pPr>
      <w:r>
        <w:rPr>
          <w:rFonts w:ascii="Times New Roman" w:hAnsi="Times New Roman" w:cs="Times New Roman" w:eastAsia="Times New Roman"/>
          <w:b/>
          <w:color w:val="1F4E79"/>
          <w:sz w:val="24"/>
        </w:rPr>
        <w:t>III.13 Conclusion du chapitre</w:t>
      </w:r>
    </w:p>
    <w:p>
      <w:pPr>
        <w:jc w:val="both"/>
      </w:pPr>
      <w:r>
        <w:rPr>
          <w:rFonts w:ascii="Times New Roman" w:hAnsi="Times New Roman" w:cs="Times New Roman" w:eastAsia="Times New Roman"/>
          <w:b w:val="0"/>
          <w:sz w:val="24"/>
        </w:rPr>
        <w:t>Le choix des investigations repose sur une correspondance entre question, mesure et décision. Les sondages identifient et prélèvent ; les essais in situ décrivent des réponses à des sollicitations spécifiques ; le laboratoire contrôle des conditions de drainage et de contrainte ; la géophysique étend l’analyse spatiale avec des interprétations indirectes ; l’hydrométrie et l’instrumentation suivent les évolutions.</w:t>
      </w:r>
    </w:p>
    <w:p>
      <w:pPr>
        <w:jc w:val="both"/>
      </w:pPr>
      <w:r>
        <w:rPr>
          <w:rFonts w:ascii="Times New Roman" w:hAnsi="Times New Roman" w:cs="Times New Roman" w:eastAsia="Times New Roman"/>
          <w:b w:val="0"/>
          <w:sz w:val="24"/>
        </w:rPr>
        <w:t>La complémentarité n’est efficace que si les méthodes sont calibrées et si leurs désaccords sont examinés. Le programme reste adaptatif jusqu’à la résolution des incertitudes gouvernantes. Le chapitre IV utilise ces données pour analyser les mécanismes de risque et leurs interactions.</w:t>
      </w:r>
    </w:p>
    <w:p>
      <w:pPr>
        <w:sectPr>
          <w:headerReference w:type="default" r:id="rId47"/>
          <w:footerReference w:type="default" r:id="rId48"/>
          <w:headerReference w:type="first" r:id="rId49"/>
          <w:footerReference w:type="first" r:id="rId50"/>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IV — MÉCANISMES DE RISQUE ET VULNÉRABILITÉ DES PONTS</w:t>
      </w:r>
    </w:p>
    <w:p>
      <w:pPr>
        <w:pStyle w:val="Heading2"/>
      </w:pPr>
      <w:r>
        <w:rPr>
          <w:rFonts w:ascii="Times New Roman" w:hAnsi="Times New Roman" w:cs="Times New Roman" w:eastAsia="Times New Roman"/>
          <w:b/>
          <w:color w:val="1F4E79"/>
          <w:sz w:val="24"/>
        </w:rPr>
        <w:t>IV.1 Introduction</w:t>
      </w:r>
    </w:p>
    <w:p>
      <w:pPr>
        <w:jc w:val="both"/>
      </w:pPr>
      <w:r>
        <w:rPr>
          <w:rFonts w:ascii="Times New Roman" w:hAnsi="Times New Roman" w:cs="Times New Roman" w:eastAsia="Times New Roman"/>
          <w:b w:val="0"/>
          <w:sz w:val="24"/>
        </w:rPr>
        <w:t>Les risques géotechniques des ponts résultent de la rencontre entre un mécanisme physique, une vulnérabilité de l’ouvrage et des conséquences fonctionnelles ou structurelles. Il n’existe pas de classement universel qui placerait partout l’affouillement, la liquéfaction ou le karst au même niveau. La gravité dépend du site, de la configuration des fondations, des possibilités de détection et des mesures de protection.</w:t>
      </w:r>
    </w:p>
    <w:p>
      <w:pPr>
        <w:jc w:val="both"/>
      </w:pPr>
      <w:r>
        <w:rPr>
          <w:rFonts w:ascii="Times New Roman" w:hAnsi="Times New Roman" w:cs="Times New Roman" w:eastAsia="Times New Roman"/>
          <w:b w:val="0"/>
          <w:sz w:val="24"/>
        </w:rPr>
        <w:t>Cette approche évite deux répétitions fréquentes : présenter chaque risque comme « la première cause » de rupture et additionner des pourcentages issus de populations différentes. Le présent chapitre analyse les mécanismes, les données nécessaires et les interactions. Les valeurs de calcul ne sont retenues que lorsqu’une méthode et son domaine peuvent être définis.</w:t>
      </w:r>
    </w:p>
    <w:p>
      <w:pPr>
        <w:pStyle w:val="Heading2"/>
      </w:pPr>
      <w:r>
        <w:rPr>
          <w:rFonts w:ascii="Times New Roman" w:hAnsi="Times New Roman" w:cs="Times New Roman" w:eastAsia="Times New Roman"/>
          <w:b/>
          <w:color w:val="1F4E79"/>
          <w:sz w:val="24"/>
        </w:rPr>
        <w:t>IV.2 Cadre d’analyse du risque</w:t>
      </w:r>
    </w:p>
    <w:p>
      <w:pPr>
        <w:jc w:val="both"/>
      </w:pPr>
      <w:r>
        <w:rPr>
          <w:rFonts w:ascii="Times New Roman" w:hAnsi="Times New Roman" w:cs="Times New Roman" w:eastAsia="Times New Roman"/>
          <w:b w:val="0"/>
          <w:sz w:val="24"/>
        </w:rPr>
        <w:t>L’analyse suit une chaîne : danger ou processus, scénario, exposition de l’ouvrage, vulnérabilité, conséquences, incertitudes et mesures de maîtrise. Une même cavité peut avoir des conséquences très différentes selon sa position par rapport aux appuis ; une même crue peut être sans gravité pour une fondation protégée et critique pour une autre déjà partiellement dénudée.</w:t>
      </w:r>
    </w:p>
    <w:p>
      <w:pPr>
        <w:jc w:val="both"/>
      </w:pPr>
      <w:r>
        <w:rPr>
          <w:rFonts w:ascii="Times New Roman" w:hAnsi="Times New Roman" w:cs="Times New Roman" w:eastAsia="Times New Roman"/>
          <w:b w:val="0"/>
          <w:sz w:val="24"/>
        </w:rPr>
        <w:t>La connaissance disponible fait partie de l’évaluation. Un mécanisme possible mais mal documenté peut nécessiter une investigation avant de conclure. À l’inverse, une hypothèse conservatrice peut être adoptée temporairement si son coût et ses conséquences sont explicites.</w:t>
      </w:r>
    </w:p>
    <w:p>
      <w:pPr>
        <w:keepNext/>
        <w:jc w:val="center"/>
      </w:pPr>
      <w:r>
        <w:drawing>
          <wp:inline xmlns:a="http://schemas.openxmlformats.org/drawingml/2006/main" xmlns:pic="http://schemas.openxmlformats.org/drawingml/2006/picture">
            <wp:extent cx="5760000" cy="4343607"/>
            <wp:docPr id="40" name="Picture 40"/>
            <wp:cNvGraphicFramePr>
              <a:graphicFrameLocks noChangeAspect="1"/>
            </wp:cNvGraphicFramePr>
            <a:graphic>
              <a:graphicData uri="http://schemas.openxmlformats.org/drawingml/2006/picture">
                <pic:pic>
                  <pic:nvPicPr>
                    <pic:cNvPr id="0" name="risk_interactions.png"/>
                    <pic:cNvPicPr/>
                  </pic:nvPicPr>
                  <pic:blipFill>
                    <a:blip r:embed="rId70"/>
                    <a:stretch>
                      <a:fillRect/>
                    </a:stretch>
                  </pic:blipFill>
                  <pic:spPr>
                    <a:xfrm>
                      <a:off x="0" y="0"/>
                      <a:ext cx="5760000" cy="4343607"/>
                    </a:xfrm>
                    <a:prstGeom prst="rect"/>
                  </pic:spPr>
                </pic:pic>
              </a:graphicData>
            </a:graphic>
          </wp:inline>
        </w:drawing>
      </w:r>
    </w:p>
    <w:p>
      <w:bookmarkStart w:id="71" w:name="BM_FIGIV_1"/>
      <w:pPr>
        <w:jc w:val="center"/>
      </w:pPr>
      <w:r>
        <w:rPr>
          <w:rFonts w:ascii="Times New Roman" w:hAnsi="Times New Roman" w:cs="Times New Roman" w:eastAsia="Times New Roman"/>
          <w:b/>
          <w:sz w:val="20"/>
        </w:rPr>
        <w:t>Figure IV.1 — Interactions des principales familles de risques au niveau d’un appui</w:t>
      </w:r>
      <w:bookmarkEnd w:id="71"/>
    </w:p>
    <w:p>
      <w:pPr>
        <w:jc w:val="right"/>
      </w:pPr>
      <w:r>
        <w:rPr>
          <w:rFonts w:ascii="Times New Roman" w:hAnsi="Times New Roman" w:cs="Times New Roman" w:eastAsia="Times New Roman"/>
          <w:b w:val="0"/>
          <w:color w:val="59636B"/>
          <w:sz w:val="20"/>
        </w:rPr>
        <w:t>Source : schéma original de synthèse.</w:t>
      </w:r>
    </w:p>
    <w:p>
      <w:bookmarkStart w:id="72" w:name="BM_TABIV_1"/>
      <w:pPr>
        <w:keepNext/>
        <w:jc w:val="center"/>
      </w:pPr>
      <w:r>
        <w:rPr>
          <w:rFonts w:ascii="Times New Roman" w:hAnsi="Times New Roman" w:cs="Times New Roman" w:eastAsia="Times New Roman"/>
          <w:b/>
          <w:sz w:val="20"/>
        </w:rPr>
        <w:t>Tableau IV.1 — Structure d’un scénario de risque géotechnique</w:t>
      </w:r>
      <w:bookmarkEnd w:id="72"/>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Élément</w:t>
            </w:r>
          </w:p>
        </w:tc>
        <w:tc>
          <w:tcPr>
            <w:tcW w:type="dxa" w:w="3628"/>
            <w:vAlign w:val="center"/>
            <w:shd w:fill="1F4E79"/>
          </w:tcPr>
          <w:p>
            <w:pPr>
              <w:spacing w:after="30"/>
            </w:pPr>
            <w:r>
              <w:rPr>
                <w:rFonts w:ascii="Times New Roman" w:hAnsi="Times New Roman" w:cs="Times New Roman" w:eastAsia="Times New Roman"/>
                <w:b/>
                <w:color w:val="FFFFFF"/>
                <w:sz w:val="17"/>
              </w:rPr>
              <w:t>Question posée</w:t>
            </w:r>
          </w:p>
        </w:tc>
        <w:tc>
          <w:tcPr>
            <w:tcW w:type="dxa" w:w="3628"/>
            <w:vAlign w:val="center"/>
            <w:shd w:fill="1F4E79"/>
          </w:tcPr>
          <w:p>
            <w:pPr>
              <w:spacing w:after="30"/>
            </w:pPr>
            <w:r>
              <w:rPr>
                <w:rFonts w:ascii="Times New Roman" w:hAnsi="Times New Roman" w:cs="Times New Roman" w:eastAsia="Times New Roman"/>
                <w:b/>
                <w:color w:val="FFFFFF"/>
                <w:sz w:val="17"/>
              </w:rPr>
              <w:t>Exemple de preuve attendue</w:t>
            </w:r>
          </w:p>
        </w:tc>
      </w:tr>
      <w:tr>
        <w:trPr>
          <w:cantSplit/>
        </w:trPr>
        <w:tc>
          <w:tcPr>
            <w:tcW w:type="dxa" w:w="1814"/>
            <w:vAlign w:val="center"/>
          </w:tcPr>
          <w:p>
            <w:pPr>
              <w:spacing w:after="30"/>
            </w:pPr>
            <w:r>
              <w:rPr>
                <w:rFonts w:ascii="Times New Roman" w:hAnsi="Times New Roman" w:cs="Times New Roman" w:eastAsia="Times New Roman"/>
                <w:b w:val="0"/>
                <w:sz w:val="17"/>
              </w:rPr>
              <w:t>Mécanisme</w:t>
            </w:r>
          </w:p>
        </w:tc>
        <w:tc>
          <w:tcPr>
            <w:tcW w:type="dxa" w:w="3628"/>
            <w:vAlign w:val="center"/>
          </w:tcPr>
          <w:p>
            <w:pPr>
              <w:spacing w:after="30"/>
            </w:pPr>
            <w:r>
              <w:rPr>
                <w:rFonts w:ascii="Times New Roman" w:hAnsi="Times New Roman" w:cs="Times New Roman" w:eastAsia="Times New Roman"/>
                <w:b w:val="0"/>
                <w:sz w:val="17"/>
              </w:rPr>
              <w:t>Quel processus physique peut se produire ?</w:t>
            </w:r>
          </w:p>
        </w:tc>
        <w:tc>
          <w:tcPr>
            <w:tcW w:type="dxa" w:w="3628"/>
            <w:vAlign w:val="center"/>
          </w:tcPr>
          <w:p>
            <w:pPr>
              <w:spacing w:after="30"/>
            </w:pPr>
            <w:r>
              <w:rPr>
                <w:rFonts w:ascii="Times New Roman" w:hAnsi="Times New Roman" w:cs="Times New Roman" w:eastAsia="Times New Roman"/>
                <w:b w:val="0"/>
                <w:sz w:val="17"/>
              </w:rPr>
              <w:t>Modèle géologique, hydraulique ou hydromécanique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Scénario</w:t>
            </w:r>
          </w:p>
        </w:tc>
        <w:tc>
          <w:tcPr>
            <w:tcW w:type="dxa" w:w="3628"/>
            <w:vAlign w:val="center"/>
            <w:shd w:fill="F3F6F8"/>
          </w:tcPr>
          <w:p>
            <w:pPr>
              <w:spacing w:after="30"/>
            </w:pPr>
            <w:r>
              <w:rPr>
                <w:rFonts w:ascii="Times New Roman" w:hAnsi="Times New Roman" w:cs="Times New Roman" w:eastAsia="Times New Roman"/>
                <w:b w:val="0"/>
                <w:sz w:val="17"/>
              </w:rPr>
              <w:t>Dans quelles conditions se produit-il ?</w:t>
            </w:r>
          </w:p>
        </w:tc>
        <w:tc>
          <w:tcPr>
            <w:tcW w:type="dxa" w:w="3628"/>
            <w:vAlign w:val="center"/>
            <w:shd w:fill="F3F6F8"/>
          </w:tcPr>
          <w:p>
            <w:pPr>
              <w:spacing w:after="30"/>
            </w:pPr>
            <w:r>
              <w:rPr>
                <w:rFonts w:ascii="Times New Roman" w:hAnsi="Times New Roman" w:cs="Times New Roman" w:eastAsia="Times New Roman"/>
                <w:b w:val="0"/>
                <w:sz w:val="17"/>
              </w:rPr>
              <w:t>Crue, séisme, humidification, travaux ou évolution lente</w:t>
            </w:r>
          </w:p>
        </w:tc>
      </w:tr>
      <w:tr>
        <w:trPr>
          <w:cantSplit/>
        </w:trPr>
        <w:tc>
          <w:tcPr>
            <w:tcW w:type="dxa" w:w="1814"/>
            <w:vAlign w:val="center"/>
          </w:tcPr>
          <w:p>
            <w:pPr>
              <w:spacing w:after="30"/>
            </w:pPr>
            <w:r>
              <w:rPr>
                <w:rFonts w:ascii="Times New Roman" w:hAnsi="Times New Roman" w:cs="Times New Roman" w:eastAsia="Times New Roman"/>
                <w:b w:val="0"/>
                <w:sz w:val="17"/>
              </w:rPr>
              <w:t>Exposition</w:t>
            </w:r>
          </w:p>
        </w:tc>
        <w:tc>
          <w:tcPr>
            <w:tcW w:type="dxa" w:w="3628"/>
            <w:vAlign w:val="center"/>
          </w:tcPr>
          <w:p>
            <w:pPr>
              <w:spacing w:after="30"/>
            </w:pPr>
            <w:r>
              <w:rPr>
                <w:rFonts w:ascii="Times New Roman" w:hAnsi="Times New Roman" w:cs="Times New Roman" w:eastAsia="Times New Roman"/>
                <w:b w:val="0"/>
                <w:sz w:val="17"/>
              </w:rPr>
              <w:t>Quels appuis ou zones sont concernés ?</w:t>
            </w:r>
          </w:p>
        </w:tc>
        <w:tc>
          <w:tcPr>
            <w:tcW w:type="dxa" w:w="3628"/>
            <w:vAlign w:val="center"/>
          </w:tcPr>
          <w:p>
            <w:pPr>
              <w:spacing w:after="30"/>
            </w:pPr>
            <w:r>
              <w:rPr>
                <w:rFonts w:ascii="Times New Roman" w:hAnsi="Times New Roman" w:cs="Times New Roman" w:eastAsia="Times New Roman"/>
                <w:b w:val="0"/>
                <w:sz w:val="17"/>
              </w:rPr>
              <w:t>Localisation et géométrie du système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Vulnérabilité</w:t>
            </w:r>
          </w:p>
        </w:tc>
        <w:tc>
          <w:tcPr>
            <w:tcW w:type="dxa" w:w="3628"/>
            <w:vAlign w:val="center"/>
            <w:shd w:fill="F3F6F8"/>
          </w:tcPr>
          <w:p>
            <w:pPr>
              <w:spacing w:after="30"/>
            </w:pPr>
            <w:r>
              <w:rPr>
                <w:rFonts w:ascii="Times New Roman" w:hAnsi="Times New Roman" w:cs="Times New Roman" w:eastAsia="Times New Roman"/>
                <w:b w:val="0"/>
                <w:sz w:val="17"/>
              </w:rPr>
              <w:t>Comment l’ouvrage réagit-il ?</w:t>
            </w:r>
          </w:p>
        </w:tc>
        <w:tc>
          <w:tcPr>
            <w:tcW w:type="dxa" w:w="3628"/>
            <w:vAlign w:val="center"/>
            <w:shd w:fill="F3F6F8"/>
          </w:tcPr>
          <w:p>
            <w:pPr>
              <w:spacing w:after="30"/>
            </w:pPr>
            <w:r>
              <w:rPr>
                <w:rFonts w:ascii="Times New Roman" w:hAnsi="Times New Roman" w:cs="Times New Roman" w:eastAsia="Times New Roman"/>
                <w:b w:val="0"/>
                <w:sz w:val="17"/>
              </w:rPr>
              <w:t>Fondation, rigidité, appuis, état et redondance</w:t>
            </w:r>
          </w:p>
        </w:tc>
      </w:tr>
      <w:tr>
        <w:trPr>
          <w:cantSplit/>
        </w:trPr>
        <w:tc>
          <w:tcPr>
            <w:tcW w:type="dxa" w:w="1814"/>
            <w:vAlign w:val="center"/>
          </w:tcPr>
          <w:p>
            <w:pPr>
              <w:spacing w:after="30"/>
            </w:pPr>
            <w:r>
              <w:rPr>
                <w:rFonts w:ascii="Times New Roman" w:hAnsi="Times New Roman" w:cs="Times New Roman" w:eastAsia="Times New Roman"/>
                <w:b w:val="0"/>
                <w:sz w:val="17"/>
              </w:rPr>
              <w:t>Conséquences</w:t>
            </w:r>
          </w:p>
        </w:tc>
        <w:tc>
          <w:tcPr>
            <w:tcW w:type="dxa" w:w="3628"/>
            <w:vAlign w:val="center"/>
          </w:tcPr>
          <w:p>
            <w:pPr>
              <w:spacing w:after="30"/>
            </w:pPr>
            <w:r>
              <w:rPr>
                <w:rFonts w:ascii="Times New Roman" w:hAnsi="Times New Roman" w:cs="Times New Roman" w:eastAsia="Times New Roman"/>
                <w:b w:val="0"/>
                <w:sz w:val="17"/>
              </w:rPr>
              <w:t>Quelles fonctions ou marges sont affectées ?</w:t>
            </w:r>
          </w:p>
        </w:tc>
        <w:tc>
          <w:tcPr>
            <w:tcW w:type="dxa" w:w="3628"/>
            <w:vAlign w:val="center"/>
          </w:tcPr>
          <w:p>
            <w:pPr>
              <w:spacing w:after="30"/>
            </w:pPr>
            <w:r>
              <w:rPr>
                <w:rFonts w:ascii="Times New Roman" w:hAnsi="Times New Roman" w:cs="Times New Roman" w:eastAsia="Times New Roman"/>
                <w:b w:val="0"/>
                <w:sz w:val="17"/>
              </w:rPr>
              <w:t>Déplacements, perte d’appui, interruption ou réparation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Incertitudes</w:t>
            </w:r>
          </w:p>
        </w:tc>
        <w:tc>
          <w:tcPr>
            <w:tcW w:type="dxa" w:w="3628"/>
            <w:vAlign w:val="center"/>
            <w:shd w:fill="F3F6F8"/>
          </w:tcPr>
          <w:p>
            <w:pPr>
              <w:spacing w:after="30"/>
            </w:pPr>
            <w:r>
              <w:rPr>
                <w:rFonts w:ascii="Times New Roman" w:hAnsi="Times New Roman" w:cs="Times New Roman" w:eastAsia="Times New Roman"/>
                <w:b w:val="0"/>
                <w:sz w:val="17"/>
              </w:rPr>
              <w:t>Que sait-on et que suppose-t-on ?</w:t>
            </w:r>
          </w:p>
        </w:tc>
        <w:tc>
          <w:tcPr>
            <w:tcW w:type="dxa" w:w="3628"/>
            <w:vAlign w:val="center"/>
            <w:shd w:fill="F3F6F8"/>
          </w:tcPr>
          <w:p>
            <w:pPr>
              <w:spacing w:after="30"/>
            </w:pPr>
            <w:r>
              <w:rPr>
                <w:rFonts w:ascii="Times New Roman" w:hAnsi="Times New Roman" w:cs="Times New Roman" w:eastAsia="Times New Roman"/>
                <w:b w:val="0"/>
                <w:sz w:val="17"/>
              </w:rPr>
              <w:t>Qualité des données, sensibilité et hypothèses</w:t>
            </w:r>
          </w:p>
        </w:tc>
      </w:tr>
      <w:tr>
        <w:trPr>
          <w:cantSplit/>
        </w:trPr>
        <w:tc>
          <w:tcPr>
            <w:tcW w:type="dxa" w:w="1814"/>
            <w:vAlign w:val="center"/>
          </w:tcPr>
          <w:p>
            <w:pPr>
              <w:spacing w:after="30"/>
            </w:pPr>
            <w:r>
              <w:rPr>
                <w:rFonts w:ascii="Times New Roman" w:hAnsi="Times New Roman" w:cs="Times New Roman" w:eastAsia="Times New Roman"/>
                <w:b w:val="0"/>
                <w:sz w:val="17"/>
              </w:rPr>
              <w:t>Maîtrise</w:t>
            </w:r>
          </w:p>
        </w:tc>
        <w:tc>
          <w:tcPr>
            <w:tcW w:type="dxa" w:w="3628"/>
            <w:vAlign w:val="center"/>
          </w:tcPr>
          <w:p>
            <w:pPr>
              <w:spacing w:after="30"/>
            </w:pPr>
            <w:r>
              <w:rPr>
                <w:rFonts w:ascii="Times New Roman" w:hAnsi="Times New Roman" w:cs="Times New Roman" w:eastAsia="Times New Roman"/>
                <w:b w:val="0"/>
                <w:sz w:val="17"/>
              </w:rPr>
              <w:t>Comment prévenir, détecter ou agir ?</w:t>
            </w:r>
          </w:p>
        </w:tc>
        <w:tc>
          <w:tcPr>
            <w:tcW w:type="dxa" w:w="3628"/>
            <w:vAlign w:val="center"/>
          </w:tcPr>
          <w:p>
            <w:pPr>
              <w:spacing w:after="30"/>
            </w:pPr>
            <w:r>
              <w:rPr>
                <w:rFonts w:ascii="Times New Roman" w:hAnsi="Times New Roman" w:cs="Times New Roman" w:eastAsia="Times New Roman"/>
                <w:b w:val="0"/>
                <w:sz w:val="17"/>
              </w:rPr>
              <w:t>Conception, protection, suivi et plan d’intervention</w:t>
            </w:r>
          </w:p>
        </w:tc>
      </w:tr>
    </w:tbl>
    <w:p>
      <w:pPr>
        <w:spacing w:after="20"/>
      </w:pPr>
    </w:p>
    <w:p>
      <w:pPr>
        <w:pStyle w:val="Heading2"/>
      </w:pPr>
      <w:r>
        <w:rPr>
          <w:rFonts w:ascii="Times New Roman" w:hAnsi="Times New Roman" w:cs="Times New Roman" w:eastAsia="Times New Roman"/>
          <w:b/>
          <w:color w:val="1F4E79"/>
          <w:sz w:val="24"/>
        </w:rPr>
        <w:t>IV.3 Tassements et déplacements du terrain</w:t>
      </w:r>
    </w:p>
    <w:p>
      <w:pPr>
        <w:pStyle w:val="Heading3"/>
      </w:pPr>
      <w:r>
        <w:rPr>
          <w:rFonts w:ascii="Times New Roman" w:hAnsi="Times New Roman" w:cs="Times New Roman" w:eastAsia="Times New Roman"/>
          <w:b/>
          <w:color w:val="233741"/>
          <w:sz w:val="24"/>
        </w:rPr>
        <w:t>IV.3.1 Mécanismes</w:t>
      </w:r>
    </w:p>
    <w:p>
      <w:pPr>
        <w:jc w:val="both"/>
      </w:pPr>
      <w:r>
        <w:rPr>
          <w:rFonts w:ascii="Times New Roman" w:hAnsi="Times New Roman" w:cs="Times New Roman" w:eastAsia="Times New Roman"/>
          <w:b w:val="0"/>
          <w:sz w:val="24"/>
        </w:rPr>
        <w:t>Les tassements peuvent résulter d’une compression immédiate, d’une consolidation, d’un fluage, d’un tassement régional ou d’une variation de volume liée à l’eau. Leur décomposition dépend du matériau et du chargement. Dans les sables, les déplacements peuvent être rapides mais rester sensibles à la densité et aux cycles ; dans les argiles, la dissipation des pressions interstitielles contrôle souvent la chronologie.</w:t>
      </w:r>
    </w:p>
    <w:p>
      <w:pPr>
        <w:jc w:val="both"/>
      </w:pPr>
      <w:r>
        <w:rPr>
          <w:rFonts w:ascii="Times New Roman" w:hAnsi="Times New Roman" w:cs="Times New Roman" w:eastAsia="Times New Roman"/>
          <w:b w:val="0"/>
          <w:sz w:val="24"/>
        </w:rPr>
        <w:t>Le tassement calculé sous une charge uniforme ne représente pas nécessairement le mouvement d’un appui. La géométrie de la fondation, la superposition des charges, les remblais voisins et les variations latérales modifient la réponse. Les méthodes de calcul doivent donc être cohérentes avec le modèle de couches et le chemin de contrainte.</w:t>
      </w:r>
    </w:p>
    <w:p>
      <w:pPr>
        <w:pStyle w:val="Heading3"/>
      </w:pPr>
      <w:r>
        <w:rPr>
          <w:rFonts w:ascii="Times New Roman" w:hAnsi="Times New Roman" w:cs="Times New Roman" w:eastAsia="Times New Roman"/>
          <w:b/>
          <w:color w:val="233741"/>
          <w:sz w:val="24"/>
        </w:rPr>
        <w:t>IV.3.2 Vulnérabilité structurale</w:t>
      </w:r>
    </w:p>
    <w:p>
      <w:pPr>
        <w:jc w:val="both"/>
      </w:pPr>
      <w:r>
        <w:rPr>
          <w:rFonts w:ascii="Times New Roman" w:hAnsi="Times New Roman" w:cs="Times New Roman" w:eastAsia="Times New Roman"/>
          <w:b w:val="0"/>
          <w:sz w:val="24"/>
        </w:rPr>
        <w:t>Un tassement uniforme peut affecter le profil et le drainage sans introduire les mêmes efforts qu’un tassement différentiel. Une rotation peut être critique pour un arc ou un appareil d’appui. Un mouvement horizontal peut solliciter les pieux et la culée. La vulnérabilité doit être examinée avec le concepteur de la structure.</w:t>
      </w:r>
    </w:p>
    <w:p>
      <w:pPr>
        <w:jc w:val="both"/>
      </w:pPr>
      <w:r>
        <w:rPr>
          <w:rFonts w:ascii="Times New Roman" w:hAnsi="Times New Roman" w:cs="Times New Roman" w:eastAsia="Times New Roman"/>
          <w:b w:val="0"/>
          <w:sz w:val="24"/>
        </w:rPr>
        <w:t>Les mouvements tolérables dépendent du type de pont, de la portée, de la continuité et des détails constructifs. Les données de MOULTON et al. (1985) sont utiles pour comprendre les catégories de mouvements et leurs effets, mais ne créent pas une limite universelle de quelques millimètres applicable à tous les ouvrages.</w:t>
      </w:r>
    </w:p>
    <w:p>
      <w:pPr>
        <w:pStyle w:val="Heading3"/>
      </w:pPr>
      <w:r>
        <w:rPr>
          <w:rFonts w:ascii="Times New Roman" w:hAnsi="Times New Roman" w:cs="Times New Roman" w:eastAsia="Times New Roman"/>
          <w:b/>
          <w:color w:val="233741"/>
          <w:sz w:val="24"/>
        </w:rPr>
        <w:t>IV.3.3 Frottement négatif et déplacements imposés</w:t>
      </w:r>
    </w:p>
    <w:p>
      <w:pPr>
        <w:jc w:val="both"/>
      </w:pPr>
      <w:r>
        <w:rPr>
          <w:rFonts w:ascii="Times New Roman" w:hAnsi="Times New Roman" w:cs="Times New Roman" w:eastAsia="Times New Roman"/>
          <w:b w:val="0"/>
          <w:sz w:val="24"/>
        </w:rPr>
        <w:t>Lorsqu’un sol se tasse autour d’un pieu, le frottement peut s’exercer vers le bas et ajouter une charge. Le phénomène dépend du déplacement relatif entre le sol et le pieu, de la compressibilité des couches et de la chronologie. Il ne se réduit pas à une règle liée à tout remblai proche.</w:t>
      </w:r>
    </w:p>
    <w:p>
      <w:pPr>
        <w:jc w:val="both"/>
      </w:pPr>
      <w:r>
        <w:rPr>
          <w:rFonts w:ascii="Times New Roman" w:hAnsi="Times New Roman" w:cs="Times New Roman" w:eastAsia="Times New Roman"/>
          <w:b w:val="0"/>
          <w:sz w:val="24"/>
        </w:rPr>
        <w:t>Les culées subissent également la poussée et le tassement des remblais. Les déplacements latéraux du terrain peuvent courber les fondations et modifier les réactions du tablier. La reconnaissance doit donc fournir les paramètres de compressibilité et de résistance sur toute la hauteur concernée.</w:t>
      </w:r>
    </w:p>
    <w:p>
      <w:pPr>
        <w:pStyle w:val="Heading2"/>
      </w:pPr>
      <w:r>
        <w:rPr>
          <w:rFonts w:ascii="Times New Roman" w:hAnsi="Times New Roman" w:cs="Times New Roman" w:eastAsia="Times New Roman"/>
          <w:b/>
          <w:color w:val="1F4E79"/>
          <w:sz w:val="24"/>
        </w:rPr>
        <w:t>IV.4 Affouillement et évolution du lit</w:t>
      </w:r>
    </w:p>
    <w:p>
      <w:pPr>
        <w:pStyle w:val="Heading3"/>
      </w:pPr>
      <w:r>
        <w:rPr>
          <w:rFonts w:ascii="Times New Roman" w:hAnsi="Times New Roman" w:cs="Times New Roman" w:eastAsia="Times New Roman"/>
          <w:b/>
          <w:color w:val="233741"/>
          <w:sz w:val="24"/>
        </w:rPr>
        <w:t>IV.4.1 Décomposition du processus</w:t>
      </w:r>
    </w:p>
    <w:p>
      <w:pPr>
        <w:jc w:val="both"/>
      </w:pPr>
      <w:r>
        <w:rPr>
          <w:rFonts w:ascii="Times New Roman" w:hAnsi="Times New Roman" w:cs="Times New Roman" w:eastAsia="Times New Roman"/>
          <w:b w:val="0"/>
          <w:sz w:val="24"/>
        </w:rPr>
        <w:t>L’abaissement du lit près d’un pont peut associer trois composantes : la dégradation à long terme du tronçon, l’affouillement de contraction dû à la modification de l’écoulement dans l’emprise et l’affouillement local autour des piles ou culées. Une écriture conceptuelle est :</w:t>
      </w:r>
    </w:p>
    <w:p>
      <w:pPr>
        <w:jc w:val="center"/>
      </w:pPr>
      <w:r>
        <w:rPr>
          <w:rFonts w:ascii="Times New Roman" w:hAnsi="Times New Roman" w:cs="Times New Roman" w:eastAsia="Times New Roman"/>
          <w:b w:val="0"/>
          <w:sz w:val="24"/>
        </w:rPr>
        <w:t>yₜ = y_d + y_c + y_l</w:t>
      </w:r>
    </w:p>
    <w:p>
      <w:pPr>
        <w:jc w:val="both"/>
      </w:pPr>
      <w:r>
        <w:rPr>
          <w:rFonts w:ascii="Times New Roman" w:hAnsi="Times New Roman" w:cs="Times New Roman" w:eastAsia="Times New Roman"/>
          <w:b w:val="0"/>
          <w:sz w:val="24"/>
        </w:rPr>
        <w:t>yₜ représente l’abaissement total retenu par le modèle, y_d la dégradation à long terme, y_c la composante de contraction et y_l l’affouillement local. Cette addition n’est légitime que si les composantes sont définies sans double comptage et si le référentiel de calcul les combine de cette manière. La figure IV.2 illustre ces processus sans attribuer une profondeur numérique générale.</w:t>
      </w:r>
    </w:p>
    <w:p>
      <w:pPr>
        <w:keepNext/>
        <w:jc w:val="center"/>
      </w:pPr>
      <w:r>
        <w:drawing>
          <wp:inline xmlns:a="http://schemas.openxmlformats.org/drawingml/2006/main" xmlns:pic="http://schemas.openxmlformats.org/drawingml/2006/picture">
            <wp:extent cx="5760000" cy="3510139"/>
            <wp:docPr id="41" name="Picture 41"/>
            <wp:cNvGraphicFramePr>
              <a:graphicFrameLocks noChangeAspect="1"/>
            </wp:cNvGraphicFramePr>
            <a:graphic>
              <a:graphicData uri="http://schemas.openxmlformats.org/drawingml/2006/picture">
                <pic:pic>
                  <pic:nvPicPr>
                    <pic:cNvPr id="0" name="scour_components.png"/>
                    <pic:cNvPicPr/>
                  </pic:nvPicPr>
                  <pic:blipFill>
                    <a:blip r:embed="rId71"/>
                    <a:stretch>
                      <a:fillRect/>
                    </a:stretch>
                  </pic:blipFill>
                  <pic:spPr>
                    <a:xfrm>
                      <a:off x="0" y="0"/>
                      <a:ext cx="5760000" cy="3510139"/>
                    </a:xfrm>
                    <a:prstGeom prst="rect"/>
                  </pic:spPr>
                </pic:pic>
              </a:graphicData>
            </a:graphic>
          </wp:inline>
        </w:drawing>
      </w:r>
    </w:p>
    <w:p>
      <w:bookmarkStart w:id="73" w:name="BM_FIGIV_2"/>
      <w:pPr>
        <w:jc w:val="center"/>
      </w:pPr>
      <w:r>
        <w:rPr>
          <w:rFonts w:ascii="Times New Roman" w:hAnsi="Times New Roman" w:cs="Times New Roman" w:eastAsia="Times New Roman"/>
          <w:b/>
          <w:sz w:val="20"/>
        </w:rPr>
        <w:t>Figure IV.2 — Dégradation à long terme, contraction et affouillement local</w:t>
      </w:r>
      <w:bookmarkEnd w:id="73"/>
    </w:p>
    <w:p>
      <w:pPr>
        <w:jc w:val="right"/>
      </w:pPr>
      <w:r>
        <w:rPr>
          <w:rFonts w:ascii="Times New Roman" w:hAnsi="Times New Roman" w:cs="Times New Roman" w:eastAsia="Times New Roman"/>
          <w:b w:val="0"/>
          <w:color w:val="59636B"/>
          <w:sz w:val="20"/>
        </w:rPr>
        <w:t>Source : schéma original de synthèse d’après FHWA (2012a, 2012b).</w:t>
      </w:r>
    </w:p>
    <w:p>
      <w:pPr>
        <w:jc w:val="both"/>
      </w:pPr>
      <w:r>
        <w:rPr>
          <w:rFonts w:ascii="Times New Roman" w:hAnsi="Times New Roman" w:cs="Times New Roman" w:eastAsia="Times New Roman"/>
          <w:b w:val="0"/>
          <w:sz w:val="24"/>
        </w:rPr>
        <w:t>La dégradation à long terme relève du bassin et du tronçon : apports sédimentaires, aménagements, incision ou élargissement. La contraction dépend de la géométrie de l’écoulement et de l’emprise de l’ouvrage. L’affouillement local résulte des structures tourbillonnaires et de l’accélération autour d’un obstacle. Les confondre conduit soit à sous-estimer la cote du lit, soit à additionner des effets déjà inclus dans un modèle.</w:t>
      </w:r>
    </w:p>
    <w:p>
      <w:pPr>
        <w:pStyle w:val="Heading3"/>
      </w:pPr>
      <w:r>
        <w:rPr>
          <w:rFonts w:ascii="Times New Roman" w:hAnsi="Times New Roman" w:cs="Times New Roman" w:eastAsia="Times New Roman"/>
          <w:b/>
          <w:color w:val="233741"/>
          <w:sz w:val="24"/>
        </w:rPr>
        <w:t>IV.4.2 Affouillement local en lit vivant et en eau claire</w:t>
      </w:r>
    </w:p>
    <w:p>
      <w:pPr>
        <w:jc w:val="both"/>
      </w:pPr>
      <w:r>
        <w:rPr>
          <w:rFonts w:ascii="Times New Roman" w:hAnsi="Times New Roman" w:cs="Times New Roman" w:eastAsia="Times New Roman"/>
          <w:b w:val="0"/>
          <w:sz w:val="24"/>
        </w:rPr>
        <w:t>En lit vivant, le transport sédimentaire alimente la fosse tout en étant affecté par l’écoulement local. En eau claire, le transport en amont est limité et l’évolution temporelle peut être différente. Les matériaux cohésifs, les sols cimentés et les roches érodables nécessitent des approches spécifiques ; les équations développées pour les sables ne leur sont pas automatiquement transposables.</w:t>
      </w:r>
    </w:p>
    <w:p>
      <w:pPr>
        <w:jc w:val="both"/>
      </w:pPr>
      <w:r>
        <w:rPr>
          <w:rFonts w:ascii="Times New Roman" w:hAnsi="Times New Roman" w:cs="Times New Roman" w:eastAsia="Times New Roman"/>
          <w:b w:val="0"/>
          <w:sz w:val="24"/>
        </w:rPr>
        <w:t>Les paramètres importants comprennent la profondeur et la vitesse d’approche, l’angle d’attaque, la forme et la largeur de la pile, la géométrie du radier ou des pieux exposés, la granulométrie et la configuration du lit. Leur effet n’est pas toujours monotone ou indépendant.</w:t>
      </w:r>
    </w:p>
    <w:p>
      <w:pPr>
        <w:pStyle w:val="Heading3"/>
      </w:pPr>
      <w:r>
        <w:rPr>
          <w:rFonts w:ascii="Times New Roman" w:hAnsi="Times New Roman" w:cs="Times New Roman" w:eastAsia="Times New Roman"/>
          <w:b/>
          <w:color w:val="233741"/>
          <w:sz w:val="24"/>
        </w:rPr>
        <w:t>IV.4.3 Équation HEC-18 pour les piles : portée et limites</w:t>
      </w:r>
    </w:p>
    <w:p>
      <w:pPr>
        <w:jc w:val="both"/>
      </w:pPr>
      <w:r>
        <w:rPr>
          <w:rFonts w:ascii="Times New Roman" w:hAnsi="Times New Roman" w:cs="Times New Roman" w:eastAsia="Times New Roman"/>
          <w:b w:val="0"/>
          <w:sz w:val="24"/>
        </w:rPr>
        <w:t>Pour des configurations simples de piles et des conditions fluviales alluviales définies, HEC-18 présente une équation issue des travaux de Colorado State University :</w:t>
      </w:r>
    </w:p>
    <w:p>
      <w:pPr>
        <w:jc w:val="center"/>
      </w:pPr>
      <w:r>
        <w:rPr>
          <w:rFonts w:ascii="Times New Roman" w:hAnsi="Times New Roman" w:cs="Times New Roman" w:eastAsia="Times New Roman"/>
          <w:b w:val="0"/>
          <w:sz w:val="24"/>
        </w:rPr>
        <w:t>y_l/y₁ = 2,0 · K₁K₂K₃ · (a/y₁)⁰·⁶⁵ · Fr₁⁰·⁴³</w:t>
      </w:r>
    </w:p>
    <w:p>
      <w:pPr>
        <w:jc w:val="both"/>
      </w:pPr>
      <w:r>
        <w:rPr>
          <w:rFonts w:ascii="Times New Roman" w:hAnsi="Times New Roman" w:cs="Times New Roman" w:eastAsia="Times New Roman"/>
          <w:b w:val="0"/>
          <w:sz w:val="24"/>
        </w:rPr>
        <w:t>Dans cette expression, y_l est la profondeur d’affouillement local, y₁ la profondeur d’écoulement directement en amont, a la largeur de pile, Fr₁ le nombre de Froude d’approche et K₁, K₂, K₃ les facteurs de forme de nez, d’angle d’attaque et de condition du lit définis par le guide (FHWA, 2012a).</w:t>
      </w:r>
    </w:p>
    <w:p>
      <w:pPr>
        <w:jc w:val="both"/>
      </w:pPr>
      <w:r>
        <w:rPr>
          <w:rFonts w:ascii="Times New Roman" w:hAnsi="Times New Roman" w:cs="Times New Roman" w:eastAsia="Times New Roman"/>
          <w:b w:val="0"/>
          <w:sz w:val="24"/>
        </w:rPr>
        <w:t>Cette équation ne constitue pas une loi universelle. HEC-18 précise son domaine de base, des adaptations pour les configurations complexes et d’autres approches possibles. Les limites de rapport y_l/a citées par le guide concernent des conditions précises de piles à nez arrondi alignées avec l’écoulement ; elles ne doivent pas être appliquées indistinctement à toute pile, culée ou forme de lit.</w:t>
      </w:r>
    </w:p>
    <w:p>
      <w:bookmarkStart w:id="74" w:name="BM_TABIV_2"/>
      <w:pPr>
        <w:keepNext/>
        <w:jc w:val="center"/>
      </w:pPr>
      <w:r>
        <w:rPr>
          <w:rFonts w:ascii="Times New Roman" w:hAnsi="Times New Roman" w:cs="Times New Roman" w:eastAsia="Times New Roman"/>
          <w:b/>
          <w:sz w:val="20"/>
        </w:rPr>
        <w:t>Tableau IV.2 — Données et vérifications nécessaires à une analyse d’affouillement</w:t>
      </w:r>
      <w:bookmarkEnd w:id="7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Composante</w:t>
            </w:r>
          </w:p>
        </w:tc>
        <w:tc>
          <w:tcPr>
            <w:tcW w:type="dxa" w:w="3628"/>
            <w:vAlign w:val="center"/>
            <w:shd w:fill="1F4E79"/>
          </w:tcPr>
          <w:p>
            <w:pPr>
              <w:spacing w:after="30"/>
            </w:pPr>
            <w:r>
              <w:rPr>
                <w:rFonts w:ascii="Times New Roman" w:hAnsi="Times New Roman" w:cs="Times New Roman" w:eastAsia="Times New Roman"/>
                <w:b/>
                <w:color w:val="FFFFFF"/>
                <w:sz w:val="17"/>
              </w:rPr>
              <w:t>Données nécessaires</w:t>
            </w:r>
          </w:p>
        </w:tc>
        <w:tc>
          <w:tcPr>
            <w:tcW w:type="dxa" w:w="3628"/>
            <w:vAlign w:val="center"/>
            <w:shd w:fill="1F4E79"/>
          </w:tcPr>
          <w:p>
            <w:pPr>
              <w:spacing w:after="30"/>
            </w:pPr>
            <w:r>
              <w:rPr>
                <w:rFonts w:ascii="Times New Roman" w:hAnsi="Times New Roman" w:cs="Times New Roman" w:eastAsia="Times New Roman"/>
                <w:b/>
                <w:color w:val="FFFFFF"/>
                <w:sz w:val="17"/>
              </w:rPr>
              <w:t>Vérification de cohérence</w:t>
            </w:r>
          </w:p>
        </w:tc>
      </w:tr>
      <w:tr>
        <w:trPr>
          <w:cantSplit/>
        </w:trPr>
        <w:tc>
          <w:tcPr>
            <w:tcW w:type="dxa" w:w="1814"/>
            <w:vAlign w:val="center"/>
          </w:tcPr>
          <w:p>
            <w:pPr>
              <w:spacing w:after="30"/>
            </w:pPr>
            <w:r>
              <w:rPr>
                <w:rFonts w:ascii="Times New Roman" w:hAnsi="Times New Roman" w:cs="Times New Roman" w:eastAsia="Times New Roman"/>
                <w:b w:val="0"/>
                <w:sz w:val="17"/>
              </w:rPr>
              <w:t>Dégradation à long terme</w:t>
            </w:r>
          </w:p>
        </w:tc>
        <w:tc>
          <w:tcPr>
            <w:tcW w:type="dxa" w:w="3628"/>
            <w:vAlign w:val="center"/>
          </w:tcPr>
          <w:p>
            <w:pPr>
              <w:spacing w:after="30"/>
            </w:pPr>
            <w:r>
              <w:rPr>
                <w:rFonts w:ascii="Times New Roman" w:hAnsi="Times New Roman" w:cs="Times New Roman" w:eastAsia="Times New Roman"/>
                <w:b w:val="0"/>
                <w:sz w:val="17"/>
              </w:rPr>
              <w:t>Historique du tronçon, apports, aménagements et levés</w:t>
            </w:r>
          </w:p>
        </w:tc>
        <w:tc>
          <w:tcPr>
            <w:tcW w:type="dxa" w:w="3628"/>
            <w:vAlign w:val="center"/>
          </w:tcPr>
          <w:p>
            <w:pPr>
              <w:spacing w:after="30"/>
            </w:pPr>
            <w:r>
              <w:rPr>
                <w:rFonts w:ascii="Times New Roman" w:hAnsi="Times New Roman" w:cs="Times New Roman" w:eastAsia="Times New Roman"/>
                <w:b w:val="0"/>
                <w:sz w:val="17"/>
              </w:rPr>
              <w:t>Tendance distinguée de la réponse à une seule crue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Contraction</w:t>
            </w:r>
          </w:p>
        </w:tc>
        <w:tc>
          <w:tcPr>
            <w:tcW w:type="dxa" w:w="3628"/>
            <w:vAlign w:val="center"/>
            <w:shd w:fill="F3F6F8"/>
          </w:tcPr>
          <w:p>
            <w:pPr>
              <w:spacing w:after="30"/>
            </w:pPr>
            <w:r>
              <w:rPr>
                <w:rFonts w:ascii="Times New Roman" w:hAnsi="Times New Roman" w:cs="Times New Roman" w:eastAsia="Times New Roman"/>
                <w:b w:val="0"/>
                <w:sz w:val="17"/>
              </w:rPr>
              <w:t>Géométrie de l’emprise, débits, vitesses et transport solide</w:t>
            </w:r>
          </w:p>
        </w:tc>
        <w:tc>
          <w:tcPr>
            <w:tcW w:type="dxa" w:w="3628"/>
            <w:vAlign w:val="center"/>
            <w:shd w:fill="F3F6F8"/>
          </w:tcPr>
          <w:p>
            <w:pPr>
              <w:spacing w:after="30"/>
            </w:pPr>
            <w:r>
              <w:rPr>
                <w:rFonts w:ascii="Times New Roman" w:hAnsi="Times New Roman" w:cs="Times New Roman" w:eastAsia="Times New Roman"/>
                <w:b w:val="0"/>
                <w:sz w:val="17"/>
              </w:rPr>
              <w:t>Contraction générale et locale non comptées deux fois</w:t>
            </w:r>
          </w:p>
        </w:tc>
      </w:tr>
      <w:tr>
        <w:trPr>
          <w:cantSplit/>
        </w:trPr>
        <w:tc>
          <w:tcPr>
            <w:tcW w:type="dxa" w:w="1814"/>
            <w:vAlign w:val="center"/>
          </w:tcPr>
          <w:p>
            <w:pPr>
              <w:spacing w:after="30"/>
            </w:pPr>
            <w:r>
              <w:rPr>
                <w:rFonts w:ascii="Times New Roman" w:hAnsi="Times New Roman" w:cs="Times New Roman" w:eastAsia="Times New Roman"/>
                <w:b w:val="0"/>
                <w:sz w:val="17"/>
              </w:rPr>
              <w:t>Local aux piles</w:t>
            </w:r>
          </w:p>
        </w:tc>
        <w:tc>
          <w:tcPr>
            <w:tcW w:type="dxa" w:w="3628"/>
            <w:vAlign w:val="center"/>
          </w:tcPr>
          <w:p>
            <w:pPr>
              <w:spacing w:after="30"/>
            </w:pPr>
            <w:r>
              <w:rPr>
                <w:rFonts w:ascii="Times New Roman" w:hAnsi="Times New Roman" w:cs="Times New Roman" w:eastAsia="Times New Roman"/>
                <w:b w:val="0"/>
                <w:sz w:val="17"/>
              </w:rPr>
              <w:t>Forme, angle, approche, lit et configuration des fondations</w:t>
            </w:r>
          </w:p>
        </w:tc>
        <w:tc>
          <w:tcPr>
            <w:tcW w:type="dxa" w:w="3628"/>
            <w:vAlign w:val="center"/>
          </w:tcPr>
          <w:p>
            <w:pPr>
              <w:spacing w:after="30"/>
            </w:pPr>
            <w:r>
              <w:rPr>
                <w:rFonts w:ascii="Times New Roman" w:hAnsi="Times New Roman" w:cs="Times New Roman" w:eastAsia="Times New Roman"/>
                <w:b w:val="0"/>
                <w:sz w:val="17"/>
              </w:rPr>
              <w:t>Méthode adaptée au matériau et à la complexité de la pile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Local aux culées</w:t>
            </w:r>
          </w:p>
        </w:tc>
        <w:tc>
          <w:tcPr>
            <w:tcW w:type="dxa" w:w="3628"/>
            <w:vAlign w:val="center"/>
            <w:shd w:fill="F3F6F8"/>
          </w:tcPr>
          <w:p>
            <w:pPr>
              <w:spacing w:after="30"/>
            </w:pPr>
            <w:r>
              <w:rPr>
                <w:rFonts w:ascii="Times New Roman" w:hAnsi="Times New Roman" w:cs="Times New Roman" w:eastAsia="Times New Roman"/>
                <w:b w:val="0"/>
                <w:sz w:val="17"/>
              </w:rPr>
              <w:t>Géométrie de rive, écoulement, remblai et protection</w:t>
            </w:r>
          </w:p>
        </w:tc>
        <w:tc>
          <w:tcPr>
            <w:tcW w:type="dxa" w:w="3628"/>
            <w:vAlign w:val="center"/>
            <w:shd w:fill="F3F6F8"/>
          </w:tcPr>
          <w:p>
            <w:pPr>
              <w:spacing w:after="30"/>
            </w:pPr>
            <w:r>
              <w:rPr>
                <w:rFonts w:ascii="Times New Roman" w:hAnsi="Times New Roman" w:cs="Times New Roman" w:eastAsia="Times New Roman"/>
                <w:b w:val="0"/>
                <w:sz w:val="17"/>
              </w:rPr>
              <w:t>Méthode spécifique à la culée, non simple transposition de la pile</w:t>
            </w:r>
          </w:p>
        </w:tc>
      </w:tr>
      <w:tr>
        <w:trPr>
          <w:cantSplit/>
        </w:trPr>
        <w:tc>
          <w:tcPr>
            <w:tcW w:type="dxa" w:w="1814"/>
            <w:vAlign w:val="center"/>
          </w:tcPr>
          <w:p>
            <w:pPr>
              <w:spacing w:after="30"/>
            </w:pPr>
            <w:r>
              <w:rPr>
                <w:rFonts w:ascii="Times New Roman" w:hAnsi="Times New Roman" w:cs="Times New Roman" w:eastAsia="Times New Roman"/>
                <w:b w:val="0"/>
                <w:sz w:val="17"/>
              </w:rPr>
              <w:t>Situation future</w:t>
            </w:r>
          </w:p>
        </w:tc>
        <w:tc>
          <w:tcPr>
            <w:tcW w:type="dxa" w:w="3628"/>
            <w:vAlign w:val="center"/>
          </w:tcPr>
          <w:p>
            <w:pPr>
              <w:spacing w:after="30"/>
            </w:pPr>
            <w:r>
              <w:rPr>
                <w:rFonts w:ascii="Times New Roman" w:hAnsi="Times New Roman" w:cs="Times New Roman" w:eastAsia="Times New Roman"/>
                <w:b w:val="0"/>
                <w:sz w:val="17"/>
              </w:rPr>
              <w:t>Scénarios de crue, embâcles et changements du chenal</w:t>
            </w:r>
          </w:p>
        </w:tc>
        <w:tc>
          <w:tcPr>
            <w:tcW w:type="dxa" w:w="3628"/>
            <w:vAlign w:val="center"/>
          </w:tcPr>
          <w:p>
            <w:pPr>
              <w:spacing w:after="30"/>
            </w:pPr>
            <w:r>
              <w:rPr>
                <w:rFonts w:ascii="Times New Roman" w:hAnsi="Times New Roman" w:cs="Times New Roman" w:eastAsia="Times New Roman"/>
                <w:b w:val="0"/>
                <w:sz w:val="17"/>
              </w:rPr>
              <w:t>Sensibilité et cote résiduelle de la fondation</w:t>
            </w:r>
          </w:p>
        </w:tc>
      </w:tr>
    </w:tbl>
    <w:p>
      <w:pPr>
        <w:spacing w:after="20"/>
      </w:pPr>
    </w:p>
    <w:p>
      <w:pPr>
        <w:pStyle w:val="Heading3"/>
      </w:pPr>
      <w:r>
        <w:rPr>
          <w:rFonts w:ascii="Times New Roman" w:hAnsi="Times New Roman" w:cs="Times New Roman" w:eastAsia="Times New Roman"/>
          <w:b/>
          <w:color w:val="233741"/>
          <w:sz w:val="24"/>
        </w:rPr>
        <w:t>IV.4.4 Protection, inspection et entretien</w:t>
      </w:r>
    </w:p>
    <w:p>
      <w:pPr>
        <w:jc w:val="both"/>
      </w:pPr>
      <w:r>
        <w:rPr>
          <w:rFonts w:ascii="Times New Roman" w:hAnsi="Times New Roman" w:cs="Times New Roman" w:eastAsia="Times New Roman"/>
          <w:b w:val="0"/>
          <w:sz w:val="24"/>
        </w:rPr>
        <w:t>Les mesures de maîtrise comprennent la modification de la géométrie, l’approfondissement ou l’adaptation de la fondation, la protection du lit et des berges, la gestion des embâcles et la surveillance. HEC-23 présente une gamme de contre-mesures et leurs conditions de sélection (FHWA, 2009a, 2009b).</w:t>
      </w:r>
    </w:p>
    <w:p>
      <w:pPr>
        <w:jc w:val="both"/>
      </w:pPr>
      <w:r>
        <w:rPr>
          <w:rFonts w:ascii="Times New Roman" w:hAnsi="Times New Roman" w:cs="Times New Roman" w:eastAsia="Times New Roman"/>
          <w:b w:val="0"/>
          <w:sz w:val="24"/>
        </w:rPr>
        <w:t>Une protection en enrochements ne se choisit pas par habitude. Son dimensionnement dépend de l’hydraulique, de la granulométrie, du filtre, de la géométrie et de la possibilité d’entretien. Les systèmes articulés, les gabions, les protections géotextiles ou les modifications d’avant-bec possèdent leurs propres modes de défaillance.</w:t>
      </w:r>
    </w:p>
    <w:p>
      <w:pPr>
        <w:jc w:val="both"/>
      </w:pPr>
      <w:r>
        <w:rPr>
          <w:rFonts w:ascii="Times New Roman" w:hAnsi="Times New Roman" w:cs="Times New Roman" w:eastAsia="Times New Roman"/>
          <w:b w:val="0"/>
          <w:sz w:val="24"/>
        </w:rPr>
        <w:t>L’inspection après crue et le suivi bathymétrique sont essentiels lorsque les incertitudes sont importantes. La conception doit prévoir l’accès et les mesures de référence nécessaires.</w:t>
      </w:r>
    </w:p>
    <w:p>
      <w:pPr>
        <w:pStyle w:val="Heading2"/>
      </w:pPr>
      <w:r>
        <w:rPr>
          <w:rFonts w:ascii="Times New Roman" w:hAnsi="Times New Roman" w:cs="Times New Roman" w:eastAsia="Times New Roman"/>
          <w:b/>
          <w:color w:val="1F4E79"/>
          <w:sz w:val="24"/>
        </w:rPr>
        <w:t>IV.5 Érosion interne et transport de particules</w:t>
      </w:r>
    </w:p>
    <w:p>
      <w:pPr>
        <w:pStyle w:val="Heading3"/>
      </w:pPr>
      <w:r>
        <w:rPr>
          <w:rFonts w:ascii="Times New Roman" w:hAnsi="Times New Roman" w:cs="Times New Roman" w:eastAsia="Times New Roman"/>
          <w:b/>
          <w:color w:val="233741"/>
          <w:sz w:val="24"/>
        </w:rPr>
        <w:t>IV.5.1 Diversité des mécanismes</w:t>
      </w:r>
    </w:p>
    <w:p>
      <w:pPr>
        <w:jc w:val="both"/>
      </w:pPr>
      <w:r>
        <w:rPr>
          <w:rFonts w:ascii="Times New Roman" w:hAnsi="Times New Roman" w:cs="Times New Roman" w:eastAsia="Times New Roman"/>
          <w:b w:val="0"/>
          <w:sz w:val="24"/>
        </w:rPr>
        <w:t>L’érosion interne regroupe des processus différents : renard régressif, suffusion, érosion de contact et fuite concentrée. Le renard implique la progression d’un conduit ; la suffusion correspond à la migration de fines dans un squelette ; l’érosion de contact se développe à l’interface de couches ; la fuite concentrée exploite une fissure ou un interface. La figure IV.3 résume ces distinctions.</w:t>
      </w:r>
    </w:p>
    <w:p>
      <w:pPr>
        <w:keepNext/>
        <w:jc w:val="center"/>
      </w:pPr>
      <w:r>
        <w:drawing>
          <wp:inline xmlns:a="http://schemas.openxmlformats.org/drawingml/2006/main" xmlns:pic="http://schemas.openxmlformats.org/drawingml/2006/picture">
            <wp:extent cx="5760000" cy="3001967"/>
            <wp:docPr id="42" name="Picture 42"/>
            <wp:cNvGraphicFramePr>
              <a:graphicFrameLocks noChangeAspect="1"/>
            </wp:cNvGraphicFramePr>
            <a:graphic>
              <a:graphicData uri="http://schemas.openxmlformats.org/drawingml/2006/picture">
                <pic:pic>
                  <pic:nvPicPr>
                    <pic:cNvPr id="0" name="internal_erosion_mechanisms.png"/>
                    <pic:cNvPicPr/>
                  </pic:nvPicPr>
                  <pic:blipFill>
                    <a:blip r:embed="rId72"/>
                    <a:stretch>
                      <a:fillRect/>
                    </a:stretch>
                  </pic:blipFill>
                  <pic:spPr>
                    <a:xfrm>
                      <a:off x="0" y="0"/>
                      <a:ext cx="5760000" cy="3001967"/>
                    </a:xfrm>
                    <a:prstGeom prst="rect"/>
                  </pic:spPr>
                </pic:pic>
              </a:graphicData>
            </a:graphic>
          </wp:inline>
        </w:drawing>
      </w:r>
    </w:p>
    <w:p>
      <w:bookmarkStart w:id="75" w:name="BM_FIGIV_3"/>
      <w:pPr>
        <w:jc w:val="center"/>
      </w:pPr>
      <w:r>
        <w:rPr>
          <w:rFonts w:ascii="Times New Roman" w:hAnsi="Times New Roman" w:cs="Times New Roman" w:eastAsia="Times New Roman"/>
          <w:b/>
          <w:sz w:val="20"/>
        </w:rPr>
        <w:t>Figure IV.3 — Quatre mécanismes d’érosion interne et leurs conditions de diagnostic</w:t>
      </w:r>
      <w:bookmarkEnd w:id="75"/>
    </w:p>
    <w:p>
      <w:pPr>
        <w:jc w:val="right"/>
      </w:pPr>
      <w:r>
        <w:rPr>
          <w:rFonts w:ascii="Times New Roman" w:hAnsi="Times New Roman" w:cs="Times New Roman" w:eastAsia="Times New Roman"/>
          <w:b w:val="0"/>
          <w:color w:val="59636B"/>
          <w:sz w:val="20"/>
        </w:rPr>
        <w:t>Source : schéma original de synthèse.</w:t>
      </w:r>
    </w:p>
    <w:p>
      <w:pPr>
        <w:jc w:val="both"/>
      </w:pPr>
      <w:r>
        <w:rPr>
          <w:rFonts w:ascii="Times New Roman" w:hAnsi="Times New Roman" w:cs="Times New Roman" w:eastAsia="Times New Roman"/>
          <w:b w:val="0"/>
          <w:sz w:val="24"/>
        </w:rPr>
        <w:t>Le diagnostic nécessite des preuves de géométrie, de granulométrie et d’écoulement. La présence d’un niveau d’eau élevé ne suffit pas à conclure à un renard. Les sorties de particules, les variations turbides, les affaissements et les anomalies de drainage doivent être examinés avec le modèle du massif.</w:t>
      </w:r>
    </w:p>
    <w:p>
      <w:pPr>
        <w:pStyle w:val="Heading3"/>
      </w:pPr>
      <w:r>
        <w:rPr>
          <w:rFonts w:ascii="Times New Roman" w:hAnsi="Times New Roman" w:cs="Times New Roman" w:eastAsia="Times New Roman"/>
          <w:b/>
          <w:color w:val="233741"/>
          <w:sz w:val="24"/>
        </w:rPr>
        <w:t>IV.5.2 Gradient hydraulique et résistance à l’érosion</w:t>
      </w:r>
    </w:p>
    <w:p>
      <w:pPr>
        <w:jc w:val="both"/>
      </w:pPr>
      <w:r>
        <w:rPr>
          <w:rFonts w:ascii="Times New Roman" w:hAnsi="Times New Roman" w:cs="Times New Roman" w:eastAsia="Times New Roman"/>
          <w:b w:val="0"/>
          <w:sz w:val="24"/>
        </w:rPr>
        <w:t>Pour un écoulement vertical ascendant dans un sol saturé et un modèle simplifié, le gradient critique associé à l’égalité entre contrainte effective verticale et force d’écoulement peut s’écrire :</w:t>
      </w:r>
    </w:p>
    <w:p>
      <w:pPr>
        <w:jc w:val="center"/>
      </w:pPr>
      <w:r>
        <w:rPr>
          <w:rFonts w:ascii="Times New Roman" w:hAnsi="Times New Roman" w:cs="Times New Roman" w:eastAsia="Times New Roman"/>
          <w:b w:val="0"/>
          <w:sz w:val="24"/>
        </w:rPr>
        <w:t>i꜀ᵣᵢₜ = γ′/γ_w = (Gₛ − 1)/(1 + e)</w:t>
      </w:r>
    </w:p>
    <w:p>
      <w:pPr>
        <w:jc w:val="both"/>
      </w:pPr>
      <w:r>
        <w:rPr>
          <w:rFonts w:ascii="Times New Roman" w:hAnsi="Times New Roman" w:cs="Times New Roman" w:eastAsia="Times New Roman"/>
          <w:b w:val="0"/>
          <w:sz w:val="24"/>
        </w:rPr>
        <w:t>γ′ est le poids volumique déjaugé, γ_w celui de l’eau, Gₛ la densité relative des grains et e l’indice des vides. Cette relation ne décrit pas tous les mécanismes d’érosion interne. Elle suppose une configuration et un mécanisme particuliers ; elle ne tient pas compte à elle seule de la cohésion, des filtres, de la suffusion ou des hétérogénéités.</w:t>
      </w:r>
    </w:p>
    <w:p>
      <w:pPr>
        <w:jc w:val="both"/>
      </w:pPr>
      <w:r>
        <w:rPr>
          <w:rFonts w:ascii="Times New Roman" w:hAnsi="Times New Roman" w:cs="Times New Roman" w:eastAsia="Times New Roman"/>
          <w:b w:val="0"/>
          <w:sz w:val="24"/>
        </w:rPr>
        <w:t>La stabilité vis-à-vis de l’érosion ne doit donc pas être résumée par un coefficient global unique. Elle exige une analyse des gradients locaux, des propriétés des matériaux, des contacts et des conditions de sortie.</w:t>
      </w:r>
    </w:p>
    <w:p>
      <w:pPr>
        <w:pStyle w:val="Heading3"/>
      </w:pPr>
      <w:r>
        <w:rPr>
          <w:rFonts w:ascii="Times New Roman" w:hAnsi="Times New Roman" w:cs="Times New Roman" w:eastAsia="Times New Roman"/>
          <w:b/>
          <w:color w:val="233741"/>
          <w:sz w:val="24"/>
        </w:rPr>
        <w:t>IV.5.3 Filtres, drainage et surveillance</w:t>
      </w:r>
    </w:p>
    <w:p>
      <w:pPr>
        <w:jc w:val="both"/>
      </w:pPr>
      <w:r>
        <w:rPr>
          <w:rFonts w:ascii="Times New Roman" w:hAnsi="Times New Roman" w:cs="Times New Roman" w:eastAsia="Times New Roman"/>
          <w:b w:val="0"/>
          <w:sz w:val="24"/>
        </w:rPr>
        <w:t>Les filtres et transitions granulométriques visent à retenir les particules tout en permettant le drainage. Leur vérification dépend des courbes granulométriques des matériaux protégés et du filtre, ainsi que de la compatibilité entre couches successives. Les géotextiles demandent également une analyse de colmatage et de mise en œuvre.</w:t>
      </w:r>
    </w:p>
    <w:p>
      <w:pPr>
        <w:jc w:val="both"/>
      </w:pPr>
      <w:r>
        <w:rPr>
          <w:rFonts w:ascii="Times New Roman" w:hAnsi="Times New Roman" w:cs="Times New Roman" w:eastAsia="Times New Roman"/>
          <w:b w:val="0"/>
          <w:sz w:val="24"/>
        </w:rPr>
        <w:t>Le drainage réduit les pressions mais peut créer des chemins d’écoulement concentré s’il est mal conçu. Les sorties doivent être protégées et accessibles à l’inspection. La surveillance recherche les évolutions de turbidité, de débit, de niveau et de géométrie du terrain.</w:t>
      </w:r>
    </w:p>
    <w:p>
      <w:bookmarkStart w:id="76" w:name="BM_TABIV_3"/>
      <w:pPr>
        <w:keepNext/>
        <w:jc w:val="center"/>
      </w:pPr>
      <w:r>
        <w:rPr>
          <w:rFonts w:ascii="Times New Roman" w:hAnsi="Times New Roman" w:cs="Times New Roman" w:eastAsia="Times New Roman"/>
          <w:b/>
          <w:sz w:val="20"/>
        </w:rPr>
        <w:t>Tableau IV.3 — Diagnostic différencié des processus d’érosion interne</w:t>
      </w:r>
      <w:bookmarkEnd w:id="76"/>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Processus</w:t>
            </w:r>
          </w:p>
        </w:tc>
        <w:tc>
          <w:tcPr>
            <w:tcW w:type="dxa" w:w="2268"/>
            <w:vAlign w:val="center"/>
            <w:shd w:fill="1F4E79"/>
          </w:tcPr>
          <w:p>
            <w:pPr>
              <w:spacing w:after="30"/>
            </w:pPr>
            <w:r>
              <w:rPr>
                <w:rFonts w:ascii="Times New Roman" w:hAnsi="Times New Roman" w:cs="Times New Roman" w:eastAsia="Times New Roman"/>
                <w:b/>
                <w:color w:val="FFFFFF"/>
                <w:sz w:val="17"/>
              </w:rPr>
              <w:t>Indice recherché</w:t>
            </w:r>
          </w:p>
        </w:tc>
        <w:tc>
          <w:tcPr>
            <w:tcW w:type="dxa" w:w="2268"/>
            <w:vAlign w:val="center"/>
            <w:shd w:fill="1F4E79"/>
          </w:tcPr>
          <w:p>
            <w:pPr>
              <w:spacing w:after="30"/>
            </w:pPr>
            <w:r>
              <w:rPr>
                <w:rFonts w:ascii="Times New Roman" w:hAnsi="Times New Roman" w:cs="Times New Roman" w:eastAsia="Times New Roman"/>
                <w:b/>
                <w:color w:val="FFFFFF"/>
                <w:sz w:val="17"/>
              </w:rPr>
              <w:t>Données décisives</w:t>
            </w:r>
          </w:p>
        </w:tc>
        <w:tc>
          <w:tcPr>
            <w:tcW w:type="dxa" w:w="2268"/>
            <w:vAlign w:val="center"/>
            <w:shd w:fill="1F4E79"/>
          </w:tcPr>
          <w:p>
            <w:pPr>
              <w:spacing w:after="30"/>
            </w:pPr>
            <w:r>
              <w:rPr>
                <w:rFonts w:ascii="Times New Roman" w:hAnsi="Times New Roman" w:cs="Times New Roman" w:eastAsia="Times New Roman"/>
                <w:b/>
                <w:color w:val="FFFFFF"/>
                <w:sz w:val="17"/>
              </w:rPr>
              <w:t>Mesures de maîtrise possibles</w:t>
            </w:r>
          </w:p>
        </w:tc>
      </w:tr>
      <w:tr>
        <w:trPr>
          <w:cantSplit/>
        </w:trPr>
        <w:tc>
          <w:tcPr>
            <w:tcW w:type="dxa" w:w="2268"/>
            <w:vAlign w:val="center"/>
          </w:tcPr>
          <w:p>
            <w:pPr>
              <w:spacing w:after="30"/>
            </w:pPr>
            <w:r>
              <w:rPr>
                <w:rFonts w:ascii="Times New Roman" w:hAnsi="Times New Roman" w:cs="Times New Roman" w:eastAsia="Times New Roman"/>
                <w:b w:val="0"/>
                <w:sz w:val="17"/>
              </w:rPr>
              <w:t>Renard régressif</w:t>
            </w:r>
          </w:p>
        </w:tc>
        <w:tc>
          <w:tcPr>
            <w:tcW w:type="dxa" w:w="2268"/>
            <w:vAlign w:val="center"/>
          </w:tcPr>
          <w:p>
            <w:pPr>
              <w:spacing w:after="30"/>
            </w:pPr>
            <w:r>
              <w:rPr>
                <w:rFonts w:ascii="Times New Roman" w:hAnsi="Times New Roman" w:cs="Times New Roman" w:eastAsia="Times New Roman"/>
                <w:b w:val="0"/>
                <w:sz w:val="17"/>
              </w:rPr>
              <w:t>Conduit ou progression depuis une exutoire</w:t>
            </w:r>
          </w:p>
        </w:tc>
        <w:tc>
          <w:tcPr>
            <w:tcW w:type="dxa" w:w="2268"/>
            <w:vAlign w:val="center"/>
          </w:tcPr>
          <w:p>
            <w:pPr>
              <w:spacing w:after="30"/>
            </w:pPr>
            <w:r>
              <w:rPr>
                <w:rFonts w:ascii="Times New Roman" w:hAnsi="Times New Roman" w:cs="Times New Roman" w:eastAsia="Times New Roman"/>
                <w:b w:val="0"/>
                <w:sz w:val="17"/>
              </w:rPr>
              <w:t>Gradients, sortie, continuité du matériau et transport</w:t>
            </w:r>
          </w:p>
        </w:tc>
        <w:tc>
          <w:tcPr>
            <w:tcW w:type="dxa" w:w="2268"/>
            <w:vAlign w:val="center"/>
          </w:tcPr>
          <w:p>
            <w:pPr>
              <w:spacing w:after="30"/>
            </w:pPr>
            <w:r>
              <w:rPr>
                <w:rFonts w:ascii="Times New Roman" w:hAnsi="Times New Roman" w:cs="Times New Roman" w:eastAsia="Times New Roman"/>
                <w:b w:val="0"/>
                <w:sz w:val="17"/>
              </w:rPr>
              <w:t>Réduction du gradient, protection de sortie et colmatage maîtrisé</w:t>
            </w:r>
          </w:p>
        </w:tc>
      </w:tr>
      <w:tr>
        <w:trPr>
          <w:cantSplit/>
        </w:trPr>
        <w:tc>
          <w:tcPr>
            <w:tcW w:type="dxa" w:w="2268"/>
            <w:vAlign w:val="center"/>
            <w:shd w:fill="F3F6F8"/>
          </w:tcPr>
          <w:p>
            <w:pPr>
              <w:spacing w:after="30"/>
            </w:pPr>
            <w:r>
              <w:rPr>
                <w:rFonts w:ascii="Times New Roman" w:hAnsi="Times New Roman" w:cs="Times New Roman" w:eastAsia="Times New Roman"/>
                <w:b w:val="0"/>
                <w:sz w:val="17"/>
              </w:rPr>
              <w:t>Suffusion</w:t>
            </w:r>
          </w:p>
        </w:tc>
        <w:tc>
          <w:tcPr>
            <w:tcW w:type="dxa" w:w="2268"/>
            <w:vAlign w:val="center"/>
            <w:shd w:fill="F3F6F8"/>
          </w:tcPr>
          <w:p>
            <w:pPr>
              <w:spacing w:after="30"/>
            </w:pPr>
            <w:r>
              <w:rPr>
                <w:rFonts w:ascii="Times New Roman" w:hAnsi="Times New Roman" w:cs="Times New Roman" w:eastAsia="Times New Roman"/>
                <w:b w:val="0"/>
                <w:sz w:val="17"/>
              </w:rPr>
              <w:t>Migration de fines sans conduit initial</w:t>
            </w:r>
          </w:p>
        </w:tc>
        <w:tc>
          <w:tcPr>
            <w:tcW w:type="dxa" w:w="2268"/>
            <w:vAlign w:val="center"/>
            <w:shd w:fill="F3F6F8"/>
          </w:tcPr>
          <w:p>
            <w:pPr>
              <w:spacing w:after="30"/>
            </w:pPr>
            <w:r>
              <w:rPr>
                <w:rFonts w:ascii="Times New Roman" w:hAnsi="Times New Roman" w:cs="Times New Roman" w:eastAsia="Times New Roman"/>
                <w:b w:val="0"/>
                <w:sz w:val="17"/>
              </w:rPr>
              <w:t>Granulométrie interne, squelette et écoulement</w:t>
            </w:r>
          </w:p>
        </w:tc>
        <w:tc>
          <w:tcPr>
            <w:tcW w:type="dxa" w:w="2268"/>
            <w:vAlign w:val="center"/>
            <w:shd w:fill="F3F6F8"/>
          </w:tcPr>
          <w:p>
            <w:pPr>
              <w:spacing w:after="30"/>
            </w:pPr>
            <w:r>
              <w:rPr>
                <w:rFonts w:ascii="Times New Roman" w:hAnsi="Times New Roman" w:cs="Times New Roman" w:eastAsia="Times New Roman"/>
                <w:b w:val="0"/>
                <w:sz w:val="17"/>
              </w:rPr>
              <w:t>Filtre adapté, réduction de l’écoulement et traitement justifié</w:t>
            </w:r>
          </w:p>
        </w:tc>
      </w:tr>
      <w:tr>
        <w:trPr>
          <w:cantSplit/>
        </w:trPr>
        <w:tc>
          <w:tcPr>
            <w:tcW w:type="dxa" w:w="2268"/>
            <w:vAlign w:val="center"/>
          </w:tcPr>
          <w:p>
            <w:pPr>
              <w:spacing w:after="30"/>
            </w:pPr>
            <w:r>
              <w:rPr>
                <w:rFonts w:ascii="Times New Roman" w:hAnsi="Times New Roman" w:cs="Times New Roman" w:eastAsia="Times New Roman"/>
                <w:b w:val="0"/>
                <w:sz w:val="17"/>
              </w:rPr>
              <w:t>Érosion de contact</w:t>
            </w:r>
          </w:p>
        </w:tc>
        <w:tc>
          <w:tcPr>
            <w:tcW w:type="dxa" w:w="2268"/>
            <w:vAlign w:val="center"/>
          </w:tcPr>
          <w:p>
            <w:pPr>
              <w:spacing w:after="30"/>
            </w:pPr>
            <w:r>
              <w:rPr>
                <w:rFonts w:ascii="Times New Roman" w:hAnsi="Times New Roman" w:cs="Times New Roman" w:eastAsia="Times New Roman"/>
                <w:b w:val="0"/>
                <w:sz w:val="17"/>
              </w:rPr>
              <w:t>Transport à l’interface de couches</w:t>
            </w:r>
          </w:p>
        </w:tc>
        <w:tc>
          <w:tcPr>
            <w:tcW w:type="dxa" w:w="2268"/>
            <w:vAlign w:val="center"/>
          </w:tcPr>
          <w:p>
            <w:pPr>
              <w:spacing w:after="30"/>
            </w:pPr>
            <w:r>
              <w:rPr>
                <w:rFonts w:ascii="Times New Roman" w:hAnsi="Times New Roman" w:cs="Times New Roman" w:eastAsia="Times New Roman"/>
                <w:b w:val="0"/>
                <w:sz w:val="17"/>
              </w:rPr>
              <w:t>Compatibilité des granulométries et orientation du flux</w:t>
            </w:r>
          </w:p>
        </w:tc>
        <w:tc>
          <w:tcPr>
            <w:tcW w:type="dxa" w:w="2268"/>
            <w:vAlign w:val="center"/>
          </w:tcPr>
          <w:p>
            <w:pPr>
              <w:spacing w:after="30"/>
            </w:pPr>
            <w:r>
              <w:rPr>
                <w:rFonts w:ascii="Times New Roman" w:hAnsi="Times New Roman" w:cs="Times New Roman" w:eastAsia="Times New Roman"/>
                <w:b w:val="0"/>
                <w:sz w:val="17"/>
              </w:rPr>
              <w:t>Transition ou filtre et contrôle du gradient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Fuite concentrée</w:t>
            </w:r>
          </w:p>
        </w:tc>
        <w:tc>
          <w:tcPr>
            <w:tcW w:type="dxa" w:w="2268"/>
            <w:vAlign w:val="center"/>
            <w:shd w:fill="F3F6F8"/>
          </w:tcPr>
          <w:p>
            <w:pPr>
              <w:spacing w:after="30"/>
            </w:pPr>
            <w:r>
              <w:rPr>
                <w:rFonts w:ascii="Times New Roman" w:hAnsi="Times New Roman" w:cs="Times New Roman" w:eastAsia="Times New Roman"/>
                <w:b w:val="0"/>
                <w:sz w:val="17"/>
              </w:rPr>
              <w:t>Circulation le long d’une fissure ou d’un contact</w:t>
            </w:r>
          </w:p>
        </w:tc>
        <w:tc>
          <w:tcPr>
            <w:tcW w:type="dxa" w:w="2268"/>
            <w:vAlign w:val="center"/>
            <w:shd w:fill="F3F6F8"/>
          </w:tcPr>
          <w:p>
            <w:pPr>
              <w:spacing w:after="30"/>
            </w:pPr>
            <w:r>
              <w:rPr>
                <w:rFonts w:ascii="Times New Roman" w:hAnsi="Times New Roman" w:cs="Times New Roman" w:eastAsia="Times New Roman"/>
                <w:b w:val="0"/>
                <w:sz w:val="17"/>
              </w:rPr>
              <w:t>Interfaces, défauts, structures enterrées et pressions</w:t>
            </w:r>
          </w:p>
        </w:tc>
        <w:tc>
          <w:tcPr>
            <w:tcW w:type="dxa" w:w="2268"/>
            <w:vAlign w:val="center"/>
            <w:shd w:fill="F3F6F8"/>
          </w:tcPr>
          <w:p>
            <w:pPr>
              <w:spacing w:after="30"/>
            </w:pPr>
            <w:r>
              <w:rPr>
                <w:rFonts w:ascii="Times New Roman" w:hAnsi="Times New Roman" w:cs="Times New Roman" w:eastAsia="Times New Roman"/>
                <w:b w:val="0"/>
                <w:sz w:val="17"/>
              </w:rPr>
              <w:t>Étanchéité, drainage contrôlé et réparation du chemin</w:t>
            </w:r>
          </w:p>
        </w:tc>
      </w:tr>
    </w:tbl>
    <w:p>
      <w:pPr>
        <w:spacing w:after="20"/>
      </w:pPr>
    </w:p>
    <w:p>
      <w:pPr>
        <w:pStyle w:val="Heading2"/>
      </w:pPr>
      <w:r>
        <w:rPr>
          <w:rFonts w:ascii="Times New Roman" w:hAnsi="Times New Roman" w:cs="Times New Roman" w:eastAsia="Times New Roman"/>
          <w:b/>
          <w:color w:val="1F4E79"/>
          <w:sz w:val="24"/>
        </w:rPr>
        <w:t>IV.6 Instabilité des berges et des pentes</w:t>
      </w:r>
    </w:p>
    <w:p>
      <w:pPr>
        <w:jc w:val="both"/>
      </w:pPr>
      <w:r>
        <w:rPr>
          <w:rFonts w:ascii="Times New Roman" w:hAnsi="Times New Roman" w:cs="Times New Roman" w:eastAsia="Times New Roman"/>
          <w:b w:val="0"/>
          <w:sz w:val="24"/>
        </w:rPr>
        <w:t>La stabilité des berges dépend de la géométrie, de la résistance du sol, des pressions interstitielles, des charges et de l’érosion du pied. Une berge peut être stable en étiage et se déstabiliser lors de la recession d’une crue, lorsque le soutien de l’eau diminue alors que les pressions internes restent élevées.</w:t>
      </w:r>
    </w:p>
    <w:p>
      <w:pPr>
        <w:jc w:val="both"/>
      </w:pPr>
      <w:r>
        <w:rPr>
          <w:rFonts w:ascii="Times New Roman" w:hAnsi="Times New Roman" w:cs="Times New Roman" w:eastAsia="Times New Roman"/>
          <w:b w:val="0"/>
          <w:sz w:val="24"/>
        </w:rPr>
        <w:t>L’affouillement du pied retire du matériau et modifie la géométrie ; il ne doit pas être analysé indépendamment de la stabilité globale. Les remblais d’accès, les charges de chantier et les modifications de drainage peuvent également influencer le mécanisme.</w:t>
      </w:r>
    </w:p>
    <w:p>
      <w:pPr>
        <w:jc w:val="both"/>
      </w:pPr>
      <w:r>
        <w:rPr>
          <w:rFonts w:ascii="Times New Roman" w:hAnsi="Times New Roman" w:cs="Times New Roman" w:eastAsia="Times New Roman"/>
          <w:b w:val="0"/>
          <w:sz w:val="24"/>
        </w:rPr>
        <w:t>Les méthodes d’analyse en contraintes effectives ou totales sont choisies selon le drainage et la durée de la situation. DUNCAN et WRIGHT (2005) détaillent les principes de résistance et de stabilité des pentes. Les facteurs partiels et les exigences de vérification relèvent du référentiel retenu ; aucun coefficient global n’est attribué ici à l’Eurocode 7.</w:t>
      </w:r>
    </w:p>
    <w:p>
      <w:bookmarkStart w:id="77" w:name="BM_TABIV_4"/>
      <w:pPr>
        <w:keepNext/>
        <w:jc w:val="center"/>
      </w:pPr>
      <w:r>
        <w:rPr>
          <w:rFonts w:ascii="Times New Roman" w:hAnsi="Times New Roman" w:cs="Times New Roman" w:eastAsia="Times New Roman"/>
          <w:b/>
          <w:sz w:val="20"/>
        </w:rPr>
        <w:t>Tableau IV.4 — Situations de rive à examiner</w:t>
      </w:r>
      <w:bookmarkEnd w:id="77"/>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Situation</w:t>
            </w:r>
          </w:p>
        </w:tc>
        <w:tc>
          <w:tcPr>
            <w:tcW w:type="dxa" w:w="3628"/>
            <w:vAlign w:val="center"/>
            <w:shd w:fill="1F4E79"/>
          </w:tcPr>
          <w:p>
            <w:pPr>
              <w:spacing w:after="30"/>
            </w:pPr>
            <w:r>
              <w:rPr>
                <w:rFonts w:ascii="Times New Roman" w:hAnsi="Times New Roman" w:cs="Times New Roman" w:eastAsia="Times New Roman"/>
                <w:b/>
                <w:color w:val="FFFFFF"/>
                <w:sz w:val="17"/>
              </w:rPr>
              <w:t>Mécanisme possible</w:t>
            </w:r>
          </w:p>
        </w:tc>
        <w:tc>
          <w:tcPr>
            <w:tcW w:type="dxa" w:w="3628"/>
            <w:vAlign w:val="center"/>
            <w:shd w:fill="1F4E79"/>
          </w:tcPr>
          <w:p>
            <w:pPr>
              <w:spacing w:after="30"/>
            </w:pPr>
            <w:r>
              <w:rPr>
                <w:rFonts w:ascii="Times New Roman" w:hAnsi="Times New Roman" w:cs="Times New Roman" w:eastAsia="Times New Roman"/>
                <w:b/>
                <w:color w:val="FFFFFF"/>
                <w:sz w:val="17"/>
              </w:rPr>
              <w:t>Données et analyses nécessaires</w:t>
            </w:r>
          </w:p>
        </w:tc>
      </w:tr>
      <w:tr>
        <w:trPr>
          <w:cantSplit/>
        </w:trPr>
        <w:tc>
          <w:tcPr>
            <w:tcW w:type="dxa" w:w="1814"/>
            <w:vAlign w:val="center"/>
          </w:tcPr>
          <w:p>
            <w:pPr>
              <w:spacing w:after="30"/>
            </w:pPr>
            <w:r>
              <w:rPr>
                <w:rFonts w:ascii="Times New Roman" w:hAnsi="Times New Roman" w:cs="Times New Roman" w:eastAsia="Times New Roman"/>
                <w:b w:val="0"/>
                <w:sz w:val="17"/>
              </w:rPr>
              <w:t>Montée de crue</w:t>
            </w:r>
          </w:p>
        </w:tc>
        <w:tc>
          <w:tcPr>
            <w:tcW w:type="dxa" w:w="3628"/>
            <w:vAlign w:val="center"/>
          </w:tcPr>
          <w:p>
            <w:pPr>
              <w:spacing w:after="30"/>
            </w:pPr>
            <w:r>
              <w:rPr>
                <w:rFonts w:ascii="Times New Roman" w:hAnsi="Times New Roman" w:cs="Times New Roman" w:eastAsia="Times New Roman"/>
                <w:b w:val="0"/>
                <w:sz w:val="17"/>
              </w:rPr>
              <w:t>Variation des pressions et érosion localisée</w:t>
            </w:r>
          </w:p>
        </w:tc>
        <w:tc>
          <w:tcPr>
            <w:tcW w:type="dxa" w:w="3628"/>
            <w:vAlign w:val="center"/>
          </w:tcPr>
          <w:p>
            <w:pPr>
              <w:spacing w:after="30"/>
            </w:pPr>
            <w:r>
              <w:rPr>
                <w:rFonts w:ascii="Times New Roman" w:hAnsi="Times New Roman" w:cs="Times New Roman" w:eastAsia="Times New Roman"/>
                <w:b w:val="0"/>
                <w:sz w:val="17"/>
              </w:rPr>
              <w:t>Niveaux, perméabilité, géométrie et vitesse de montée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Recession rapide</w:t>
            </w:r>
          </w:p>
        </w:tc>
        <w:tc>
          <w:tcPr>
            <w:tcW w:type="dxa" w:w="3628"/>
            <w:vAlign w:val="center"/>
            <w:shd w:fill="F3F6F8"/>
          </w:tcPr>
          <w:p>
            <w:pPr>
              <w:spacing w:after="30"/>
            </w:pPr>
            <w:r>
              <w:rPr>
                <w:rFonts w:ascii="Times New Roman" w:hAnsi="Times New Roman" w:cs="Times New Roman" w:eastAsia="Times New Roman"/>
                <w:b w:val="0"/>
                <w:sz w:val="17"/>
              </w:rPr>
              <w:t>Pressions internes résiduelles avec soutien externe réduit</w:t>
            </w:r>
          </w:p>
        </w:tc>
        <w:tc>
          <w:tcPr>
            <w:tcW w:type="dxa" w:w="3628"/>
            <w:vAlign w:val="center"/>
            <w:shd w:fill="F3F6F8"/>
          </w:tcPr>
          <w:p>
            <w:pPr>
              <w:spacing w:after="30"/>
            </w:pPr>
            <w:r>
              <w:rPr>
                <w:rFonts w:ascii="Times New Roman" w:hAnsi="Times New Roman" w:cs="Times New Roman" w:eastAsia="Times New Roman"/>
                <w:b w:val="0"/>
                <w:sz w:val="17"/>
              </w:rPr>
              <w:t>Drainage, résistance et analyse transitoire</w:t>
            </w:r>
          </w:p>
        </w:tc>
      </w:tr>
      <w:tr>
        <w:trPr>
          <w:cantSplit/>
        </w:trPr>
        <w:tc>
          <w:tcPr>
            <w:tcW w:type="dxa" w:w="1814"/>
            <w:vAlign w:val="center"/>
          </w:tcPr>
          <w:p>
            <w:pPr>
              <w:spacing w:after="30"/>
            </w:pPr>
            <w:r>
              <w:rPr>
                <w:rFonts w:ascii="Times New Roman" w:hAnsi="Times New Roman" w:cs="Times New Roman" w:eastAsia="Times New Roman"/>
                <w:b w:val="0"/>
                <w:sz w:val="17"/>
              </w:rPr>
              <w:t>Affouillement du pied</w:t>
            </w:r>
          </w:p>
        </w:tc>
        <w:tc>
          <w:tcPr>
            <w:tcW w:type="dxa" w:w="3628"/>
            <w:vAlign w:val="center"/>
          </w:tcPr>
          <w:p>
            <w:pPr>
              <w:spacing w:after="30"/>
            </w:pPr>
            <w:r>
              <w:rPr>
                <w:rFonts w:ascii="Times New Roman" w:hAnsi="Times New Roman" w:cs="Times New Roman" w:eastAsia="Times New Roman"/>
                <w:b w:val="0"/>
                <w:sz w:val="17"/>
              </w:rPr>
              <w:t>Retrait du soutien et augmentation de la hauteur instable</w:t>
            </w:r>
          </w:p>
        </w:tc>
        <w:tc>
          <w:tcPr>
            <w:tcW w:type="dxa" w:w="3628"/>
            <w:vAlign w:val="center"/>
          </w:tcPr>
          <w:p>
            <w:pPr>
              <w:spacing w:after="30"/>
            </w:pPr>
            <w:r>
              <w:rPr>
                <w:rFonts w:ascii="Times New Roman" w:hAnsi="Times New Roman" w:cs="Times New Roman" w:eastAsia="Times New Roman"/>
                <w:b w:val="0"/>
                <w:sz w:val="17"/>
              </w:rPr>
              <w:t>Bathymétrie, scénario d’affouillement et stabilité globale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Remblai ou travaux</w:t>
            </w:r>
          </w:p>
        </w:tc>
        <w:tc>
          <w:tcPr>
            <w:tcW w:type="dxa" w:w="3628"/>
            <w:vAlign w:val="center"/>
            <w:shd w:fill="F3F6F8"/>
          </w:tcPr>
          <w:p>
            <w:pPr>
              <w:spacing w:after="30"/>
            </w:pPr>
            <w:r>
              <w:rPr>
                <w:rFonts w:ascii="Times New Roman" w:hAnsi="Times New Roman" w:cs="Times New Roman" w:eastAsia="Times New Roman"/>
                <w:b w:val="0"/>
                <w:sz w:val="17"/>
              </w:rPr>
              <w:t>Surcharge et modification du drainage</w:t>
            </w:r>
          </w:p>
        </w:tc>
        <w:tc>
          <w:tcPr>
            <w:tcW w:type="dxa" w:w="3628"/>
            <w:vAlign w:val="center"/>
            <w:shd w:fill="F3F6F8"/>
          </w:tcPr>
          <w:p>
            <w:pPr>
              <w:spacing w:after="30"/>
            </w:pPr>
            <w:r>
              <w:rPr>
                <w:rFonts w:ascii="Times New Roman" w:hAnsi="Times New Roman" w:cs="Times New Roman" w:eastAsia="Times New Roman"/>
                <w:b w:val="0"/>
                <w:sz w:val="17"/>
              </w:rPr>
              <w:t>Phasage, charges temporaires et instrumentation</w:t>
            </w:r>
          </w:p>
        </w:tc>
      </w:tr>
      <w:tr>
        <w:trPr>
          <w:cantSplit/>
        </w:trPr>
        <w:tc>
          <w:tcPr>
            <w:tcW w:type="dxa" w:w="1814"/>
            <w:vAlign w:val="center"/>
          </w:tcPr>
          <w:p>
            <w:pPr>
              <w:spacing w:after="30"/>
            </w:pPr>
            <w:r>
              <w:rPr>
                <w:rFonts w:ascii="Times New Roman" w:hAnsi="Times New Roman" w:cs="Times New Roman" w:eastAsia="Times New Roman"/>
                <w:b w:val="0"/>
                <w:sz w:val="17"/>
              </w:rPr>
              <w:t>Végétation ou aménagement</w:t>
            </w:r>
          </w:p>
        </w:tc>
        <w:tc>
          <w:tcPr>
            <w:tcW w:type="dxa" w:w="3628"/>
            <w:vAlign w:val="center"/>
          </w:tcPr>
          <w:p>
            <w:pPr>
              <w:spacing w:after="30"/>
            </w:pPr>
            <w:r>
              <w:rPr>
                <w:rFonts w:ascii="Times New Roman" w:hAnsi="Times New Roman" w:cs="Times New Roman" w:eastAsia="Times New Roman"/>
                <w:b w:val="0"/>
                <w:sz w:val="17"/>
              </w:rPr>
              <w:t>Modification de l’érosion, de l’eau et des charges</w:t>
            </w:r>
          </w:p>
        </w:tc>
        <w:tc>
          <w:tcPr>
            <w:tcW w:type="dxa" w:w="3628"/>
            <w:vAlign w:val="center"/>
          </w:tcPr>
          <w:p>
            <w:pPr>
              <w:spacing w:after="30"/>
            </w:pPr>
            <w:r>
              <w:rPr>
                <w:rFonts w:ascii="Times New Roman" w:hAnsi="Times New Roman" w:cs="Times New Roman" w:eastAsia="Times New Roman"/>
                <w:b w:val="0"/>
                <w:sz w:val="17"/>
              </w:rPr>
              <w:t>Diagnostic spécifique, sans supposer un effet toujours favorable</w:t>
            </w:r>
          </w:p>
        </w:tc>
      </w:tr>
    </w:tbl>
    <w:p>
      <w:pPr>
        <w:spacing w:after="20"/>
      </w:pPr>
    </w:p>
    <w:p>
      <w:pPr>
        <w:pStyle w:val="Heading2"/>
      </w:pPr>
      <w:r>
        <w:rPr>
          <w:rFonts w:ascii="Times New Roman" w:hAnsi="Times New Roman" w:cs="Times New Roman" w:eastAsia="Times New Roman"/>
          <w:b/>
          <w:color w:val="1F4E79"/>
          <w:sz w:val="24"/>
        </w:rPr>
        <w:t>IV.7 Liquéfaction et conséquences sismiques</w:t>
      </w:r>
    </w:p>
    <w:p>
      <w:pPr>
        <w:pStyle w:val="Heading3"/>
      </w:pPr>
      <w:r>
        <w:rPr>
          <w:rFonts w:ascii="Times New Roman" w:hAnsi="Times New Roman" w:cs="Times New Roman" w:eastAsia="Times New Roman"/>
          <w:b/>
          <w:color w:val="233741"/>
          <w:sz w:val="24"/>
        </w:rPr>
        <w:t>IV.7.1 Chaîne de dépistage</w:t>
      </w:r>
    </w:p>
    <w:p>
      <w:pPr>
        <w:jc w:val="both"/>
      </w:pPr>
      <w:r>
        <w:rPr>
          <w:rFonts w:ascii="Times New Roman" w:hAnsi="Times New Roman" w:cs="Times New Roman" w:eastAsia="Times New Roman"/>
          <w:b w:val="0"/>
          <w:sz w:val="24"/>
        </w:rPr>
        <w:t>La liquéfaction concerne la perte de résistance et de rigidité d’un sol sous l’effet des pressions interstitielles cycliques, principalement dans des sols pulvérulents saturés susceptibles de se contracter. Son évaluation associe la susceptibilité du dépôt, le niveau d’eau, la sollicitation sismique et les conséquences sur l’ouvrage.</w:t>
      </w:r>
    </w:p>
    <w:p>
      <w:pPr>
        <w:jc w:val="both"/>
      </w:pPr>
      <w:r>
        <w:rPr>
          <w:rFonts w:ascii="Times New Roman" w:hAnsi="Times New Roman" w:cs="Times New Roman" w:eastAsia="Times New Roman"/>
          <w:b w:val="0"/>
          <w:sz w:val="24"/>
        </w:rPr>
        <w:t>La présence d’une couche sableuse saturée ne suffit pas à conclure. La densité, la granulométrie, les fines, l’histoire du sol et le confinement interviennent. Les classifications sismiques de site ne sont pas des critères binaires de liquéfaction ; elles répondent à une autre question.</w:t>
      </w:r>
    </w:p>
    <w:p>
      <w:pPr>
        <w:pStyle w:val="Heading3"/>
      </w:pPr>
      <w:r>
        <w:rPr>
          <w:rFonts w:ascii="Times New Roman" w:hAnsi="Times New Roman" w:cs="Times New Roman" w:eastAsia="Times New Roman"/>
          <w:b/>
          <w:color w:val="233741"/>
          <w:sz w:val="24"/>
        </w:rPr>
        <w:t>IV.7.2 Sollicitation cyclique</w:t>
      </w:r>
    </w:p>
    <w:p>
      <w:pPr>
        <w:jc w:val="both"/>
      </w:pPr>
      <w:r>
        <w:rPr>
          <w:rFonts w:ascii="Times New Roman" w:hAnsi="Times New Roman" w:cs="Times New Roman" w:eastAsia="Times New Roman"/>
          <w:b w:val="0"/>
          <w:sz w:val="24"/>
        </w:rPr>
        <w:t>La méthode simplifiée historique de SEED et IDRISS (1971) compare une demande cyclique à une résistance. Une forme classique de la demande est :</w:t>
      </w:r>
    </w:p>
    <w:p>
      <w:pPr>
        <w:jc w:val="center"/>
      </w:pPr>
      <w:r>
        <w:rPr>
          <w:rFonts w:ascii="Times New Roman" w:hAnsi="Times New Roman" w:cs="Times New Roman" w:eastAsia="Times New Roman"/>
          <w:b w:val="0"/>
          <w:sz w:val="24"/>
        </w:rPr>
        <w:t>CSR = 0,65 · (a_max/g) · (σ_v0/σ′v0) · r_d</w:t>
      </w:r>
    </w:p>
    <w:p>
      <w:pPr>
        <w:jc w:val="both"/>
      </w:pPr>
      <w:r>
        <w:rPr>
          <w:rFonts w:ascii="Times New Roman" w:hAnsi="Times New Roman" w:cs="Times New Roman" w:eastAsia="Times New Roman"/>
          <w:b w:val="0"/>
          <w:sz w:val="24"/>
        </w:rPr>
        <w:t>a_max est l’accélération maximale à la surface du site, g l’accélération de la pesanteur, σ_v0 la contrainte verticale totale initiale, σ′v0 la contrainte verticale effective initiale et r_d un facteur de réduction avec la profondeur. Cette équation s’insère dans une méthode complète qui inclut notamment la magnitude et les corrections de résistance. Elle ne doit pas être utilisée avec l’accélération du rocher présentée comme celle de la surface.</w:t>
      </w:r>
    </w:p>
    <w:p>
      <w:pPr>
        <w:pStyle w:val="Heading3"/>
      </w:pPr>
      <w:r>
        <w:rPr>
          <w:rFonts w:ascii="Times New Roman" w:hAnsi="Times New Roman" w:cs="Times New Roman" w:eastAsia="Times New Roman"/>
          <w:b/>
          <w:color w:val="233741"/>
          <w:sz w:val="24"/>
        </w:rPr>
        <w:t>IV.7.3 Résistance à la liquéfaction</w:t>
      </w:r>
    </w:p>
    <w:p>
      <w:pPr>
        <w:jc w:val="both"/>
      </w:pPr>
      <w:r>
        <w:rPr>
          <w:rFonts w:ascii="Times New Roman" w:hAnsi="Times New Roman" w:cs="Times New Roman" w:eastAsia="Times New Roman"/>
          <w:b w:val="0"/>
          <w:sz w:val="24"/>
        </w:rPr>
        <w:t>La résistance cyclique peut être estimée par des approches SPT, CPT ou Vs. Les travaux de YOUD et al. (2001), IDRISS et BOULANGER (2008) et ROBERTSON et WRIDE (1998) présentent des méthodes et leurs corrections. Chaque approche exige des paramètres cohérents : énergie et couverture pour le SPT, résistance corrigée et comportement pour le CPT, vitesse de cisaillement et domaine de la méthode pour Vs.</w:t>
      </w:r>
    </w:p>
    <w:p>
      <w:pPr>
        <w:jc w:val="both"/>
      </w:pPr>
      <w:r>
        <w:rPr>
          <w:rFonts w:ascii="Times New Roman" w:hAnsi="Times New Roman" w:cs="Times New Roman" w:eastAsia="Times New Roman"/>
          <w:b w:val="0"/>
          <w:sz w:val="24"/>
        </w:rPr>
        <w:t>Les seuils proposés par les courbes ne sont pas des interrupteurs universels. Les sols graveleux, les matériaux à forte teneur en fines et les dépôts particuliers peuvent sortir du domaine des bases de données. Une analyse complémentaire est alors nécessaire.</w:t>
      </w:r>
    </w:p>
    <w:p>
      <w:pPr>
        <w:pStyle w:val="Heading3"/>
      </w:pPr>
      <w:r>
        <w:rPr>
          <w:rFonts w:ascii="Times New Roman" w:hAnsi="Times New Roman" w:cs="Times New Roman" w:eastAsia="Times New Roman"/>
          <w:b/>
          <w:color w:val="233741"/>
          <w:sz w:val="24"/>
        </w:rPr>
        <w:t>IV.7.4 Conséquences pour les fondations</w:t>
      </w:r>
    </w:p>
    <w:p>
      <w:pPr>
        <w:jc w:val="both"/>
      </w:pPr>
      <w:r>
        <w:rPr>
          <w:rFonts w:ascii="Times New Roman" w:hAnsi="Times New Roman" w:cs="Times New Roman" w:eastAsia="Times New Roman"/>
          <w:b w:val="0"/>
          <w:sz w:val="24"/>
        </w:rPr>
        <w:t>Les conséquences possibles comprennent tassements, déplacements latéraux, perte de résistance, augmentation de pression interstitielle et interaction dynamique modifiée. Les pieux peuvent être sollicités par les déplacements du sol même lorsque leur capacité verticale reste suffisante. L’ancrer sous une couche potentiellement liquéfiable ne dispense pas d’analyser ces effets.</w:t>
      </w:r>
    </w:p>
    <w:p>
      <w:pPr>
        <w:jc w:val="both"/>
      </w:pPr>
      <w:r>
        <w:rPr>
          <w:rFonts w:ascii="Times New Roman" w:hAnsi="Times New Roman" w:cs="Times New Roman" w:eastAsia="Times New Roman"/>
          <w:b w:val="0"/>
          <w:sz w:val="24"/>
        </w:rPr>
        <w:t>La reconnaissance doit donc fournir l’épaisseur et la continuité des couches, leur état, la nappe, les paramètres de dépistage et les éléments nécessaires à la réponse du site. Les solutions peuvent associer adaptation des fondations, amélioration du sol, drainage ou modification du système structural, avec vérification de leur performance.</w:t>
      </w:r>
    </w:p>
    <w:p>
      <w:pPr>
        <w:keepNext/>
        <w:jc w:val="center"/>
      </w:pPr>
      <w:r>
        <w:drawing>
          <wp:inline xmlns:a="http://schemas.openxmlformats.org/drawingml/2006/main" xmlns:pic="http://schemas.openxmlformats.org/drawingml/2006/picture">
            <wp:extent cx="5760000" cy="2346076"/>
            <wp:docPr id="43" name="Picture 43"/>
            <wp:cNvGraphicFramePr>
              <a:graphicFrameLocks noChangeAspect="1"/>
            </wp:cNvGraphicFramePr>
            <a:graphic>
              <a:graphicData uri="http://schemas.openxmlformats.org/drawingml/2006/picture">
                <pic:pic>
                  <pic:nvPicPr>
                    <pic:cNvPr id="0" name="liquefaction_chain.png"/>
                    <pic:cNvPicPr/>
                  </pic:nvPicPr>
                  <pic:blipFill>
                    <a:blip r:embed="rId73"/>
                    <a:stretch>
                      <a:fillRect/>
                    </a:stretch>
                  </pic:blipFill>
                  <pic:spPr>
                    <a:xfrm>
                      <a:off x="0" y="0"/>
                      <a:ext cx="5760000" cy="2346076"/>
                    </a:xfrm>
                    <a:prstGeom prst="rect"/>
                  </pic:spPr>
                </pic:pic>
              </a:graphicData>
            </a:graphic>
          </wp:inline>
        </w:drawing>
      </w:r>
    </w:p>
    <w:p>
      <w:bookmarkStart w:id="78" w:name="BM_FIGIV_4"/>
      <w:pPr>
        <w:jc w:val="center"/>
      </w:pPr>
      <w:r>
        <w:rPr>
          <w:rFonts w:ascii="Times New Roman" w:hAnsi="Times New Roman" w:cs="Times New Roman" w:eastAsia="Times New Roman"/>
          <w:b/>
          <w:sz w:val="20"/>
        </w:rPr>
        <w:t>Figure IV.4 — Chaîne d’évaluation de la liquéfaction, du dépistage aux conséquences</w:t>
      </w:r>
      <w:bookmarkEnd w:id="78"/>
    </w:p>
    <w:p>
      <w:pPr>
        <w:jc w:val="right"/>
      </w:pPr>
      <w:r>
        <w:rPr>
          <w:rFonts w:ascii="Times New Roman" w:hAnsi="Times New Roman" w:cs="Times New Roman" w:eastAsia="Times New Roman"/>
          <w:b w:val="0"/>
          <w:color w:val="59636B"/>
          <w:sz w:val="20"/>
        </w:rPr>
        <w:t>Source : schéma original de synthèse d’après SEED et IDRISS (1971), YOUD et al. (2001) et IDRISS et BOULANGER (2008).</w:t>
      </w:r>
    </w:p>
    <w:p>
      <w:pPr>
        <w:jc w:val="both"/>
      </w:pPr>
      <w:r>
        <w:rPr>
          <w:rFonts w:ascii="Times New Roman" w:hAnsi="Times New Roman" w:cs="Times New Roman" w:eastAsia="Times New Roman"/>
          <w:b w:val="0"/>
          <w:sz w:val="24"/>
        </w:rPr>
        <w:t>Les manifestations de surface aident à documenter les conséquences, mais leur présence ou leur absence ne suffit pas à conclure sur tout un site. Les exemples USGS montrent des volcans de sable et un étalement latéral ; ils ne démontrent pas une susceptibilité à la liquéfaction en Algérie.</w:t>
      </w:r>
    </w:p>
    <w:p>
      <w:pPr>
        <w:keepNext/>
        <w:jc w:val="center"/>
      </w:pPr>
      <w:r>
        <w:drawing>
          <wp:inline xmlns:a="http://schemas.openxmlformats.org/drawingml/2006/main" xmlns:pic="http://schemas.openxmlformats.org/drawingml/2006/picture">
            <wp:extent cx="5760000" cy="2496000"/>
            <wp:docPr id="44" name="Picture 44"/>
            <wp:cNvGraphicFramePr>
              <a:graphicFrameLocks noChangeAspect="1"/>
            </wp:cNvGraphicFramePr>
            <a:graphic>
              <a:graphicData uri="http://schemas.openxmlformats.org/drawingml/2006/picture">
                <pic:pic>
                  <pic:nvPicPr>
                    <pic:cNvPr id="0" name="photo_liquefaction_effects.png"/>
                    <pic:cNvPicPr/>
                  </pic:nvPicPr>
                  <pic:blipFill>
                    <a:blip r:embed="rId74"/>
                    <a:stretch>
                      <a:fillRect/>
                    </a:stretch>
                  </pic:blipFill>
                  <pic:spPr>
                    <a:xfrm>
                      <a:off x="0" y="0"/>
                      <a:ext cx="5760000" cy="2496000"/>
                    </a:xfrm>
                    <a:prstGeom prst="rect"/>
                  </pic:spPr>
                </pic:pic>
              </a:graphicData>
            </a:graphic>
          </wp:inline>
        </w:drawing>
      </w:r>
    </w:p>
    <w:p>
      <w:bookmarkStart w:id="79" w:name="BM_FIGIV_5"/>
      <w:pPr>
        <w:jc w:val="center"/>
      </w:pPr>
      <w:r>
        <w:rPr>
          <w:rFonts w:ascii="Times New Roman" w:hAnsi="Times New Roman" w:cs="Times New Roman" w:eastAsia="Times New Roman"/>
          <w:b/>
          <w:sz w:val="20"/>
        </w:rPr>
        <w:t>Figure IV.5 — Manifestations de liquéfaction : (a) volcans de sable le long d’une voie ferrée ; (b) escarpement d’étalement latéral et restes de volcan de sable à Nisqually (2001)</w:t>
      </w:r>
      <w:bookmarkEnd w:id="79"/>
    </w:p>
    <w:p>
      <w:pPr>
        <w:jc w:val="right"/>
      </w:pPr>
      <w:r>
        <w:rPr>
          <w:rFonts w:ascii="Times New Roman" w:hAnsi="Times New Roman" w:cs="Times New Roman" w:eastAsia="Times New Roman"/>
          <w:b w:val="0"/>
          <w:color w:val="59636B"/>
          <w:sz w:val="20"/>
        </w:rPr>
        <w:t>Source : USGS, « What is liquefaction? » et Open-File Report 03-211, domaine public.</w:t>
      </w:r>
    </w:p>
    <w:p>
      <w:bookmarkStart w:id="80" w:name="BM_TABIV_5"/>
      <w:pPr>
        <w:keepNext/>
        <w:jc w:val="center"/>
      </w:pPr>
      <w:r>
        <w:rPr>
          <w:rFonts w:ascii="Times New Roman" w:hAnsi="Times New Roman" w:cs="Times New Roman" w:eastAsia="Times New Roman"/>
          <w:b/>
          <w:sz w:val="20"/>
        </w:rPr>
        <w:t>Tableau IV.5 — Erreurs à éviter dans l’analyse de liquéfaction</w:t>
      </w:r>
      <w:bookmarkEnd w:id="80"/>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Simplification incorrecte</w:t>
            </w:r>
          </w:p>
        </w:tc>
        <w:tc>
          <w:tcPr>
            <w:tcW w:type="dxa" w:w="3628"/>
            <w:vAlign w:val="center"/>
            <w:shd w:fill="1F4E79"/>
          </w:tcPr>
          <w:p>
            <w:pPr>
              <w:spacing w:after="30"/>
            </w:pPr>
            <w:r>
              <w:rPr>
                <w:rFonts w:ascii="Times New Roman" w:hAnsi="Times New Roman" w:cs="Times New Roman" w:eastAsia="Times New Roman"/>
                <w:b/>
                <w:color w:val="FFFFFF"/>
                <w:sz w:val="17"/>
              </w:rPr>
              <w:t>Pourquoi elle est trompeuse</w:t>
            </w:r>
          </w:p>
        </w:tc>
        <w:tc>
          <w:tcPr>
            <w:tcW w:type="dxa" w:w="3628"/>
            <w:vAlign w:val="center"/>
            <w:shd w:fill="1F4E79"/>
          </w:tcPr>
          <w:p>
            <w:pPr>
              <w:spacing w:after="30"/>
            </w:pPr>
            <w:r>
              <w:rPr>
                <w:rFonts w:ascii="Times New Roman" w:hAnsi="Times New Roman" w:cs="Times New Roman" w:eastAsia="Times New Roman"/>
                <w:b/>
                <w:color w:val="FFFFFF"/>
                <w:sz w:val="17"/>
              </w:rPr>
              <w:t>Traitement retenu</w:t>
            </w:r>
          </w:p>
        </w:tc>
      </w:tr>
      <w:tr>
        <w:trPr>
          <w:cantSplit/>
        </w:trPr>
        <w:tc>
          <w:tcPr>
            <w:tcW w:type="dxa" w:w="1814"/>
            <w:vAlign w:val="center"/>
          </w:tcPr>
          <w:p>
            <w:pPr>
              <w:spacing w:after="30"/>
            </w:pPr>
            <w:r>
              <w:rPr>
                <w:rFonts w:ascii="Times New Roman" w:hAnsi="Times New Roman" w:cs="Times New Roman" w:eastAsia="Times New Roman"/>
                <w:b w:val="0"/>
                <w:sz w:val="17"/>
              </w:rPr>
              <w:t>« Sable + nappe = liquéfaction »</w:t>
            </w:r>
          </w:p>
        </w:tc>
        <w:tc>
          <w:tcPr>
            <w:tcW w:type="dxa" w:w="3628"/>
            <w:vAlign w:val="center"/>
          </w:tcPr>
          <w:p>
            <w:pPr>
              <w:spacing w:after="30"/>
            </w:pPr>
            <w:r>
              <w:rPr>
                <w:rFonts w:ascii="Times New Roman" w:hAnsi="Times New Roman" w:cs="Times New Roman" w:eastAsia="Times New Roman"/>
                <w:b w:val="0"/>
                <w:sz w:val="17"/>
              </w:rPr>
              <w:t>Ignore la densité, la sollicitation et l’histoire du dépôt</w:t>
            </w:r>
          </w:p>
        </w:tc>
        <w:tc>
          <w:tcPr>
            <w:tcW w:type="dxa" w:w="3628"/>
            <w:vAlign w:val="center"/>
          </w:tcPr>
          <w:p>
            <w:pPr>
              <w:spacing w:after="30"/>
            </w:pPr>
            <w:r>
              <w:rPr>
                <w:rFonts w:ascii="Times New Roman" w:hAnsi="Times New Roman" w:cs="Times New Roman" w:eastAsia="Times New Roman"/>
                <w:b w:val="0"/>
                <w:sz w:val="17"/>
              </w:rPr>
              <w:t>Évaluer susceptibilité, demande, résistance et conséquences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Employer N ou qc sans corrections</w:t>
            </w:r>
          </w:p>
        </w:tc>
        <w:tc>
          <w:tcPr>
            <w:tcW w:type="dxa" w:w="3628"/>
            <w:vAlign w:val="center"/>
            <w:shd w:fill="F3F6F8"/>
          </w:tcPr>
          <w:p>
            <w:pPr>
              <w:spacing w:after="30"/>
            </w:pPr>
            <w:r>
              <w:rPr>
                <w:rFonts w:ascii="Times New Roman" w:hAnsi="Times New Roman" w:cs="Times New Roman" w:eastAsia="Times New Roman"/>
                <w:b w:val="0"/>
                <w:sz w:val="17"/>
              </w:rPr>
              <w:t>Mélange des procédures et des bases de données</w:t>
            </w:r>
          </w:p>
        </w:tc>
        <w:tc>
          <w:tcPr>
            <w:tcW w:type="dxa" w:w="3628"/>
            <w:vAlign w:val="center"/>
            <w:shd w:fill="F3F6F8"/>
          </w:tcPr>
          <w:p>
            <w:pPr>
              <w:spacing w:after="30"/>
            </w:pPr>
            <w:r>
              <w:rPr>
                <w:rFonts w:ascii="Times New Roman" w:hAnsi="Times New Roman" w:cs="Times New Roman" w:eastAsia="Times New Roman"/>
                <w:b w:val="0"/>
                <w:sz w:val="17"/>
              </w:rPr>
              <w:t>Documenter les corrections propres à la méthode</w:t>
            </w:r>
          </w:p>
        </w:tc>
      </w:tr>
      <w:tr>
        <w:trPr>
          <w:cantSplit/>
        </w:trPr>
        <w:tc>
          <w:tcPr>
            <w:tcW w:type="dxa" w:w="1814"/>
            <w:vAlign w:val="center"/>
          </w:tcPr>
          <w:p>
            <w:pPr>
              <w:spacing w:after="30"/>
            </w:pPr>
            <w:r>
              <w:rPr>
                <w:rFonts w:ascii="Times New Roman" w:hAnsi="Times New Roman" w:cs="Times New Roman" w:eastAsia="Times New Roman"/>
                <w:b w:val="0"/>
                <w:sz w:val="17"/>
              </w:rPr>
              <w:t>Utiliser l’accélération du rocher comme accélération de surface</w:t>
            </w:r>
          </w:p>
        </w:tc>
        <w:tc>
          <w:tcPr>
            <w:tcW w:type="dxa" w:w="3628"/>
            <w:vAlign w:val="center"/>
          </w:tcPr>
          <w:p>
            <w:pPr>
              <w:spacing w:after="30"/>
            </w:pPr>
            <w:r>
              <w:rPr>
                <w:rFonts w:ascii="Times New Roman" w:hAnsi="Times New Roman" w:cs="Times New Roman" w:eastAsia="Times New Roman"/>
                <w:b w:val="0"/>
                <w:sz w:val="17"/>
              </w:rPr>
              <w:t>Ignore la réponse du site</w:t>
            </w:r>
          </w:p>
        </w:tc>
        <w:tc>
          <w:tcPr>
            <w:tcW w:type="dxa" w:w="3628"/>
            <w:vAlign w:val="center"/>
          </w:tcPr>
          <w:p>
            <w:pPr>
              <w:spacing w:after="30"/>
            </w:pPr>
            <w:r>
              <w:rPr>
                <w:rFonts w:ascii="Times New Roman" w:hAnsi="Times New Roman" w:cs="Times New Roman" w:eastAsia="Times New Roman"/>
                <w:b w:val="0"/>
                <w:sz w:val="17"/>
              </w:rPr>
              <w:t>Définir le mouvement de surface avec le spécialiste sismique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Ancrer les pieux puis conclure sans autre analyse</w:t>
            </w:r>
          </w:p>
        </w:tc>
        <w:tc>
          <w:tcPr>
            <w:tcW w:type="dxa" w:w="3628"/>
            <w:vAlign w:val="center"/>
            <w:shd w:fill="F3F6F8"/>
          </w:tcPr>
          <w:p>
            <w:pPr>
              <w:spacing w:after="30"/>
            </w:pPr>
            <w:r>
              <w:rPr>
                <w:rFonts w:ascii="Times New Roman" w:hAnsi="Times New Roman" w:cs="Times New Roman" w:eastAsia="Times New Roman"/>
                <w:b w:val="0"/>
                <w:sz w:val="17"/>
              </w:rPr>
              <w:t>Ne traite pas les déplacements latéraux et la flexion</w:t>
            </w:r>
          </w:p>
        </w:tc>
        <w:tc>
          <w:tcPr>
            <w:tcW w:type="dxa" w:w="3628"/>
            <w:vAlign w:val="center"/>
            <w:shd w:fill="F3F6F8"/>
          </w:tcPr>
          <w:p>
            <w:pPr>
              <w:spacing w:after="30"/>
            </w:pPr>
            <w:r>
              <w:rPr>
                <w:rFonts w:ascii="Times New Roman" w:hAnsi="Times New Roman" w:cs="Times New Roman" w:eastAsia="Times New Roman"/>
                <w:b w:val="0"/>
                <w:sz w:val="17"/>
              </w:rPr>
              <w:t>Vérifier l’interaction sol–fondation–structure</w:t>
            </w:r>
          </w:p>
        </w:tc>
      </w:tr>
      <w:tr>
        <w:trPr>
          <w:cantSplit/>
        </w:trPr>
        <w:tc>
          <w:tcPr>
            <w:tcW w:type="dxa" w:w="1814"/>
            <w:vAlign w:val="center"/>
          </w:tcPr>
          <w:p>
            <w:pPr>
              <w:spacing w:after="30"/>
            </w:pPr>
            <w:r>
              <w:rPr>
                <w:rFonts w:ascii="Times New Roman" w:hAnsi="Times New Roman" w:cs="Times New Roman" w:eastAsia="Times New Roman"/>
                <w:b w:val="0"/>
                <w:sz w:val="17"/>
              </w:rPr>
              <w:t>Déduire la liquéfaction d’une classe de site</w:t>
            </w:r>
          </w:p>
        </w:tc>
        <w:tc>
          <w:tcPr>
            <w:tcW w:type="dxa" w:w="3628"/>
            <w:vAlign w:val="center"/>
          </w:tcPr>
          <w:p>
            <w:pPr>
              <w:spacing w:after="30"/>
            </w:pPr>
            <w:r>
              <w:rPr>
                <w:rFonts w:ascii="Times New Roman" w:hAnsi="Times New Roman" w:cs="Times New Roman" w:eastAsia="Times New Roman"/>
                <w:b w:val="0"/>
                <w:sz w:val="17"/>
              </w:rPr>
              <w:t>La classification sismique répond à un autre objectif</w:t>
            </w:r>
          </w:p>
        </w:tc>
        <w:tc>
          <w:tcPr>
            <w:tcW w:type="dxa" w:w="3628"/>
            <w:vAlign w:val="center"/>
          </w:tcPr>
          <w:p>
            <w:pPr>
              <w:spacing w:after="30"/>
            </w:pPr>
            <w:r>
              <w:rPr>
                <w:rFonts w:ascii="Times New Roman" w:hAnsi="Times New Roman" w:cs="Times New Roman" w:eastAsia="Times New Roman"/>
                <w:b w:val="0"/>
                <w:sz w:val="17"/>
              </w:rPr>
              <w:t>Conduire un dépistage spécifique</w:t>
            </w:r>
          </w:p>
        </w:tc>
      </w:tr>
    </w:tbl>
    <w:p>
      <w:pPr>
        <w:spacing w:after="20"/>
      </w:pPr>
    </w:p>
    <w:p>
      <w:pPr>
        <w:pStyle w:val="Heading2"/>
      </w:pPr>
      <w:r>
        <w:rPr>
          <w:rFonts w:ascii="Times New Roman" w:hAnsi="Times New Roman" w:cs="Times New Roman" w:eastAsia="Times New Roman"/>
          <w:b/>
          <w:color w:val="1F4E79"/>
          <w:sz w:val="24"/>
        </w:rPr>
        <w:t>IV.8 Karst, dissolution et affaissement</w:t>
      </w:r>
    </w:p>
    <w:p>
      <w:pPr>
        <w:jc w:val="both"/>
      </w:pPr>
      <w:r>
        <w:rPr>
          <w:rFonts w:ascii="Times New Roman" w:hAnsi="Times New Roman" w:cs="Times New Roman" w:eastAsia="Times New Roman"/>
          <w:b w:val="0"/>
          <w:sz w:val="24"/>
        </w:rPr>
        <w:t>Le risque karstique est traité selon le modèle du chapitre II : géométrie, remplissage, eau, discontinuités et évolution. Les conséquences pour un pont peuvent être une perte d’appui, un tassement différentiel, une rupture de toit ou des difficultés d’exécution. Leur probabilité et leur gravité ne peuvent être déduites d’une seule anomalie géophysique ou d’un seul indice RMR.</w:t>
      </w:r>
    </w:p>
    <w:p>
      <w:pPr>
        <w:jc w:val="both"/>
      </w:pPr>
      <w:r>
        <w:rPr>
          <w:rFonts w:ascii="Times New Roman" w:hAnsi="Times New Roman" w:cs="Times New Roman" w:eastAsia="Times New Roman"/>
          <w:b w:val="0"/>
          <w:sz w:val="24"/>
        </w:rPr>
        <w:t>Les résultats publiés pour un site particulier apportent des méthodes d’investigation et des ordres de grandeur locaux. Ils ne définissent pas un rapport toit/largeur universel pour toute fondation de pont. La recommandation générale est de recouper les preuves et d’évaluer les scénarios de rupture avec les charges et la géométrie réelles.</w:t>
      </w:r>
    </w:p>
    <w:p>
      <w:pPr>
        <w:pStyle w:val="Heading2"/>
      </w:pPr>
      <w:r>
        <w:rPr>
          <w:rFonts w:ascii="Times New Roman" w:hAnsi="Times New Roman" w:cs="Times New Roman" w:eastAsia="Times New Roman"/>
          <w:b/>
          <w:color w:val="1F4E79"/>
          <w:sz w:val="24"/>
        </w:rPr>
        <w:t>IV.9 Agressivité chimique et durabilité</w:t>
      </w:r>
    </w:p>
    <w:p>
      <w:pPr>
        <w:pStyle w:val="Heading3"/>
      </w:pPr>
      <w:r>
        <w:rPr>
          <w:rFonts w:ascii="Times New Roman" w:hAnsi="Times New Roman" w:cs="Times New Roman" w:eastAsia="Times New Roman"/>
          <w:b/>
          <w:color w:val="233741"/>
          <w:sz w:val="24"/>
        </w:rPr>
        <w:t>IV.9.1 De l’analyse à l’exposition</w:t>
      </w:r>
    </w:p>
    <w:p>
      <w:pPr>
        <w:jc w:val="both"/>
      </w:pPr>
      <w:r>
        <w:rPr>
          <w:rFonts w:ascii="Times New Roman" w:hAnsi="Times New Roman" w:cs="Times New Roman" w:eastAsia="Times New Roman"/>
          <w:b w:val="0"/>
          <w:sz w:val="24"/>
        </w:rPr>
        <w:t>L’agressivité dépend du sol, de l’eau, de l’élément exposé et du temps. Sulfates, chlorures, acidité et autres agents agissent selon des mécanismes différents. Leur concentration mesurée à une date ne suffit pas à définir l’exposition pendant toute la vie de l’ouvrage : renouvellement de l’eau, alternance humide–sec et contact avec les matériaux doivent être considérés.</w:t>
      </w:r>
    </w:p>
    <w:p>
      <w:pPr>
        <w:jc w:val="both"/>
      </w:pPr>
      <w:r>
        <w:rPr>
          <w:rFonts w:ascii="Times New Roman" w:hAnsi="Times New Roman" w:cs="Times New Roman" w:eastAsia="Times New Roman"/>
          <w:b w:val="0"/>
          <w:sz w:val="24"/>
        </w:rPr>
        <w:t>Les prélèvements sont représentatifs des zones et des saisons pertinentes. Les résultats sont reliés à une norme d’analyse et à un système de classes d’exposition. Le choix du ciment, des additions, de la formulation, de l’enrobage ou d’une protection appartient ensuite à une conception de durabilité cohérente avec le référentiel applicable.</w:t>
      </w:r>
    </w:p>
    <w:p>
      <w:pPr>
        <w:pStyle w:val="Heading3"/>
      </w:pPr>
      <w:r>
        <w:rPr>
          <w:rFonts w:ascii="Times New Roman" w:hAnsi="Times New Roman" w:cs="Times New Roman" w:eastAsia="Times New Roman"/>
          <w:b/>
          <w:color w:val="233741"/>
          <w:sz w:val="24"/>
        </w:rPr>
        <w:t>IV.9.2 Éditions normatives et responsabilité de vérification</w:t>
      </w:r>
    </w:p>
    <w:p>
      <w:pPr>
        <w:jc w:val="both"/>
      </w:pPr>
      <w:r>
        <w:rPr>
          <w:rFonts w:ascii="Times New Roman" w:hAnsi="Times New Roman" w:cs="Times New Roman" w:eastAsia="Times New Roman"/>
          <w:b w:val="0"/>
          <w:sz w:val="24"/>
        </w:rPr>
        <w:t>La famille EN 206 connaît une transition documentaire au moment de la révision. EN 206:2013+A2:2021 existe avec ses dispositions nationales, tandis que les parties EN 206-1:2026 et EN 206-2:2026 sont publiées (CEN, 2021, 2026a, 2026b). La notice AFNOR précise que l’utilisation des nouvelles parties en France est liée à la publication de l’ensemble de la série et que la version antérieure demeure applicable pendant cette transition (AFNOR, 2026).</w:t>
      </w:r>
    </w:p>
    <w:p>
      <w:pPr>
        <w:jc w:val="both"/>
      </w:pPr>
      <w:r>
        <w:rPr>
          <w:rFonts w:ascii="Times New Roman" w:hAnsi="Times New Roman" w:cs="Times New Roman" w:eastAsia="Times New Roman"/>
          <w:b w:val="0"/>
          <w:sz w:val="24"/>
        </w:rPr>
        <w:t>Cette situation illustre pourquoi le mémoire ne fige ni une classe de ciment ni une valeur d’enrobage comme règle universelle. Le projet doit identifier l’édition applicable, les compléments nationaux et les classes d’exposition retenues. La même exigence s’applique aux aciers et aux systèmes de protection contre la corrosion.</w:t>
      </w:r>
    </w:p>
    <w:p>
      <w:bookmarkStart w:id="81" w:name="BM_TABIV_6"/>
      <w:pPr>
        <w:keepNext/>
        <w:jc w:val="center"/>
      </w:pPr>
      <w:r>
        <w:rPr>
          <w:rFonts w:ascii="Times New Roman" w:hAnsi="Times New Roman" w:cs="Times New Roman" w:eastAsia="Times New Roman"/>
          <w:b/>
          <w:sz w:val="20"/>
        </w:rPr>
        <w:t>Tableau IV.6 — Chaîne de décision pour l’agressivité chimique</w:t>
      </w:r>
      <w:bookmarkEnd w:id="8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Étape</w:t>
            </w:r>
          </w:p>
        </w:tc>
        <w:tc>
          <w:tcPr>
            <w:tcW w:type="dxa" w:w="3628"/>
            <w:vAlign w:val="center"/>
            <w:shd w:fill="1F4E79"/>
          </w:tcPr>
          <w:p>
            <w:pPr>
              <w:spacing w:after="30"/>
            </w:pPr>
            <w:r>
              <w:rPr>
                <w:rFonts w:ascii="Times New Roman" w:hAnsi="Times New Roman" w:cs="Times New Roman" w:eastAsia="Times New Roman"/>
                <w:b/>
                <w:color w:val="FFFFFF"/>
                <w:sz w:val="17"/>
              </w:rPr>
              <w:t>Contenu</w:t>
            </w:r>
          </w:p>
        </w:tc>
        <w:tc>
          <w:tcPr>
            <w:tcW w:type="dxa" w:w="3628"/>
            <w:vAlign w:val="center"/>
            <w:shd w:fill="1F4E79"/>
          </w:tcPr>
          <w:p>
            <w:pPr>
              <w:spacing w:after="30"/>
            </w:pPr>
            <w:r>
              <w:rPr>
                <w:rFonts w:ascii="Times New Roman" w:hAnsi="Times New Roman" w:cs="Times New Roman" w:eastAsia="Times New Roman"/>
                <w:b/>
                <w:color w:val="FFFFFF"/>
                <w:sz w:val="17"/>
              </w:rPr>
              <w:t>Erreur à éviter</w:t>
            </w:r>
          </w:p>
        </w:tc>
      </w:tr>
      <w:tr>
        <w:trPr>
          <w:cantSplit/>
        </w:trPr>
        <w:tc>
          <w:tcPr>
            <w:tcW w:type="dxa" w:w="1814"/>
            <w:vAlign w:val="center"/>
          </w:tcPr>
          <w:p>
            <w:pPr>
              <w:spacing w:after="30"/>
            </w:pPr>
            <w:r>
              <w:rPr>
                <w:rFonts w:ascii="Times New Roman" w:hAnsi="Times New Roman" w:cs="Times New Roman" w:eastAsia="Times New Roman"/>
                <w:b w:val="0"/>
                <w:sz w:val="17"/>
              </w:rPr>
              <w:t>Prélèvement</w:t>
            </w:r>
          </w:p>
        </w:tc>
        <w:tc>
          <w:tcPr>
            <w:tcW w:type="dxa" w:w="3628"/>
            <w:vAlign w:val="center"/>
          </w:tcPr>
          <w:p>
            <w:pPr>
              <w:spacing w:after="30"/>
            </w:pPr>
            <w:r>
              <w:rPr>
                <w:rFonts w:ascii="Times New Roman" w:hAnsi="Times New Roman" w:cs="Times New Roman" w:eastAsia="Times New Roman"/>
                <w:b w:val="0"/>
                <w:sz w:val="17"/>
              </w:rPr>
              <w:t>Sol, eau, zones exposées et conditions saisonnières</w:t>
            </w:r>
          </w:p>
        </w:tc>
        <w:tc>
          <w:tcPr>
            <w:tcW w:type="dxa" w:w="3628"/>
            <w:vAlign w:val="center"/>
          </w:tcPr>
          <w:p>
            <w:pPr>
              <w:spacing w:after="30"/>
            </w:pPr>
            <w:r>
              <w:rPr>
                <w:rFonts w:ascii="Times New Roman" w:hAnsi="Times New Roman" w:cs="Times New Roman" w:eastAsia="Times New Roman"/>
                <w:b w:val="0"/>
                <w:sz w:val="17"/>
              </w:rPr>
              <w:t>Généraliser une analyse isolée à tout le site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Analyse</w:t>
            </w:r>
          </w:p>
        </w:tc>
        <w:tc>
          <w:tcPr>
            <w:tcW w:type="dxa" w:w="3628"/>
            <w:vAlign w:val="center"/>
            <w:shd w:fill="F3F6F8"/>
          </w:tcPr>
          <w:p>
            <w:pPr>
              <w:spacing w:after="30"/>
            </w:pPr>
            <w:r>
              <w:rPr>
                <w:rFonts w:ascii="Times New Roman" w:hAnsi="Times New Roman" w:cs="Times New Roman" w:eastAsia="Times New Roman"/>
                <w:b w:val="0"/>
                <w:sz w:val="17"/>
              </w:rPr>
              <w:t>Méthodes, unités, incertitudes et agents recherchés</w:t>
            </w:r>
          </w:p>
        </w:tc>
        <w:tc>
          <w:tcPr>
            <w:tcW w:type="dxa" w:w="3628"/>
            <w:vAlign w:val="center"/>
            <w:shd w:fill="F3F6F8"/>
          </w:tcPr>
          <w:p>
            <w:pPr>
              <w:spacing w:after="30"/>
            </w:pPr>
            <w:r>
              <w:rPr>
                <w:rFonts w:ascii="Times New Roman" w:hAnsi="Times New Roman" w:cs="Times New Roman" w:eastAsia="Times New Roman"/>
                <w:b w:val="0"/>
                <w:sz w:val="17"/>
              </w:rPr>
              <w:t>Comparer des résultats obtenus par des méthodes incompatibles</w:t>
            </w:r>
          </w:p>
        </w:tc>
      </w:tr>
      <w:tr>
        <w:trPr>
          <w:cantSplit/>
        </w:trPr>
        <w:tc>
          <w:tcPr>
            <w:tcW w:type="dxa" w:w="1814"/>
            <w:vAlign w:val="center"/>
          </w:tcPr>
          <w:p>
            <w:pPr>
              <w:spacing w:after="30"/>
            </w:pPr>
            <w:r>
              <w:rPr>
                <w:rFonts w:ascii="Times New Roman" w:hAnsi="Times New Roman" w:cs="Times New Roman" w:eastAsia="Times New Roman"/>
                <w:b w:val="0"/>
                <w:sz w:val="17"/>
              </w:rPr>
              <w:t>Classement d’exposition</w:t>
            </w:r>
          </w:p>
        </w:tc>
        <w:tc>
          <w:tcPr>
            <w:tcW w:type="dxa" w:w="3628"/>
            <w:vAlign w:val="center"/>
          </w:tcPr>
          <w:p>
            <w:pPr>
              <w:spacing w:after="30"/>
            </w:pPr>
            <w:r>
              <w:rPr>
                <w:rFonts w:ascii="Times New Roman" w:hAnsi="Times New Roman" w:cs="Times New Roman" w:eastAsia="Times New Roman"/>
                <w:b w:val="0"/>
                <w:sz w:val="17"/>
              </w:rPr>
              <w:t>Référentiel, contact et renouvellement de l’eau</w:t>
            </w:r>
          </w:p>
        </w:tc>
        <w:tc>
          <w:tcPr>
            <w:tcW w:type="dxa" w:w="3628"/>
            <w:vAlign w:val="center"/>
          </w:tcPr>
          <w:p>
            <w:pPr>
              <w:spacing w:after="30"/>
            </w:pPr>
            <w:r>
              <w:rPr>
                <w:rFonts w:ascii="Times New Roman" w:hAnsi="Times New Roman" w:cs="Times New Roman" w:eastAsia="Times New Roman"/>
                <w:b w:val="0"/>
                <w:sz w:val="17"/>
              </w:rPr>
              <w:t>Transformer une concentration en prescription sans contexte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Conception des matériaux</w:t>
            </w:r>
          </w:p>
        </w:tc>
        <w:tc>
          <w:tcPr>
            <w:tcW w:type="dxa" w:w="3628"/>
            <w:vAlign w:val="center"/>
            <w:shd w:fill="F3F6F8"/>
          </w:tcPr>
          <w:p>
            <w:pPr>
              <w:spacing w:after="30"/>
            </w:pPr>
            <w:r>
              <w:rPr>
                <w:rFonts w:ascii="Times New Roman" w:hAnsi="Times New Roman" w:cs="Times New Roman" w:eastAsia="Times New Roman"/>
                <w:b w:val="0"/>
                <w:sz w:val="17"/>
              </w:rPr>
              <w:t>Liants, formulation, enrobage, détails et protections</w:t>
            </w:r>
          </w:p>
        </w:tc>
        <w:tc>
          <w:tcPr>
            <w:tcW w:type="dxa" w:w="3628"/>
            <w:vAlign w:val="center"/>
            <w:shd w:fill="F3F6F8"/>
          </w:tcPr>
          <w:p>
            <w:pPr>
              <w:spacing w:after="30"/>
            </w:pPr>
            <w:r>
              <w:rPr>
                <w:rFonts w:ascii="Times New Roman" w:hAnsi="Times New Roman" w:cs="Times New Roman" w:eastAsia="Times New Roman"/>
                <w:b w:val="0"/>
                <w:sz w:val="17"/>
              </w:rPr>
              <w:t>Choisir un seul ciment comme réponse à toute agressivité</w:t>
            </w:r>
          </w:p>
        </w:tc>
      </w:tr>
      <w:tr>
        <w:trPr>
          <w:cantSplit/>
        </w:trPr>
        <w:tc>
          <w:tcPr>
            <w:tcW w:type="dxa" w:w="1814"/>
            <w:vAlign w:val="center"/>
          </w:tcPr>
          <w:p>
            <w:pPr>
              <w:spacing w:after="30"/>
            </w:pPr>
            <w:r>
              <w:rPr>
                <w:rFonts w:ascii="Times New Roman" w:hAnsi="Times New Roman" w:cs="Times New Roman" w:eastAsia="Times New Roman"/>
                <w:b w:val="0"/>
                <w:sz w:val="17"/>
              </w:rPr>
              <w:t>Contrôle et suivi</w:t>
            </w:r>
          </w:p>
        </w:tc>
        <w:tc>
          <w:tcPr>
            <w:tcW w:type="dxa" w:w="3628"/>
            <w:vAlign w:val="center"/>
          </w:tcPr>
          <w:p>
            <w:pPr>
              <w:spacing w:after="30"/>
            </w:pPr>
            <w:r>
              <w:rPr>
                <w:rFonts w:ascii="Times New Roman" w:hAnsi="Times New Roman" w:cs="Times New Roman" w:eastAsia="Times New Roman"/>
                <w:b w:val="0"/>
                <w:sz w:val="17"/>
              </w:rPr>
              <w:t>Conformité, inspection et maintenance</w:t>
            </w:r>
          </w:p>
        </w:tc>
        <w:tc>
          <w:tcPr>
            <w:tcW w:type="dxa" w:w="3628"/>
            <w:vAlign w:val="center"/>
          </w:tcPr>
          <w:p>
            <w:pPr>
              <w:spacing w:after="30"/>
            </w:pPr>
            <w:r>
              <w:rPr>
                <w:rFonts w:ascii="Times New Roman" w:hAnsi="Times New Roman" w:cs="Times New Roman" w:eastAsia="Times New Roman"/>
                <w:b w:val="0"/>
                <w:sz w:val="17"/>
              </w:rPr>
              <w:t>Supposer que la durabilité est acquise sans contrôle</w:t>
            </w:r>
          </w:p>
        </w:tc>
      </w:tr>
    </w:tbl>
    <w:p>
      <w:pPr>
        <w:spacing w:after="20"/>
      </w:pPr>
    </w:p>
    <w:p>
      <w:pPr>
        <w:pStyle w:val="Heading2"/>
      </w:pPr>
      <w:r>
        <w:rPr>
          <w:rFonts w:ascii="Times New Roman" w:hAnsi="Times New Roman" w:cs="Times New Roman" w:eastAsia="Times New Roman"/>
          <w:b/>
          <w:color w:val="1F4E79"/>
          <w:sz w:val="24"/>
        </w:rPr>
        <w:t>IV.10 Risques liés à l’exécution</w:t>
      </w:r>
    </w:p>
    <w:p>
      <w:pPr>
        <w:jc w:val="both"/>
      </w:pPr>
      <w:r>
        <w:rPr>
          <w:rFonts w:ascii="Times New Roman" w:hAnsi="Times New Roman" w:cs="Times New Roman" w:eastAsia="Times New Roman"/>
          <w:b w:val="0"/>
          <w:sz w:val="24"/>
        </w:rPr>
        <w:t>Les travaux peuvent modifier le terrain et créer des risques qui n’existaient pas dans l’état initial. Le battage produit des vibrations et du refoulement ; le forage peut décomprimer ou éroder ; le pompage abaisse la nappe et provoque des tassements ; le bétonnage sous boue ou sous eau exige une continuité et des contrôles stricts.</w:t>
      </w:r>
    </w:p>
    <w:p>
      <w:pPr>
        <w:jc w:val="both"/>
      </w:pPr>
      <w:r>
        <w:rPr>
          <w:rFonts w:ascii="Times New Roman" w:hAnsi="Times New Roman" w:cs="Times New Roman" w:eastAsia="Times New Roman"/>
          <w:b w:val="0"/>
          <w:sz w:val="24"/>
        </w:rPr>
        <w:t>La reconnaissance doit anticiper ces mécanismes. Un paramètre de portance élevé ne garantit pas la qualité d’un pieu si le fond est mal nettoyé ou si la paroi s’effondre. Les incidents de forage sont des données géotechniques : pertes de boue, chutes d’outil et venues d’eau peuvent révéler des cavités ou des circulations.</w:t>
      </w:r>
    </w:p>
    <w:p>
      <w:bookmarkStart w:id="82" w:name="BM_TABIV_7"/>
      <w:pPr>
        <w:keepNext/>
        <w:jc w:val="center"/>
      </w:pPr>
      <w:r>
        <w:rPr>
          <w:rFonts w:ascii="Times New Roman" w:hAnsi="Times New Roman" w:cs="Times New Roman" w:eastAsia="Times New Roman"/>
          <w:b/>
          <w:sz w:val="20"/>
        </w:rPr>
        <w:t>Tableau IV.7 — Risques d’exécution et données préventives</w:t>
      </w:r>
      <w:bookmarkEnd w:id="82"/>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Opération</w:t>
            </w:r>
          </w:p>
        </w:tc>
        <w:tc>
          <w:tcPr>
            <w:tcW w:type="dxa" w:w="3628"/>
            <w:vAlign w:val="center"/>
            <w:shd w:fill="1F4E79"/>
          </w:tcPr>
          <w:p>
            <w:pPr>
              <w:spacing w:after="30"/>
            </w:pPr>
            <w:r>
              <w:rPr>
                <w:rFonts w:ascii="Times New Roman" w:hAnsi="Times New Roman" w:cs="Times New Roman" w:eastAsia="Times New Roman"/>
                <w:b/>
                <w:color w:val="FFFFFF"/>
                <w:sz w:val="17"/>
              </w:rPr>
              <w:t>Risque géotechnique ou de qualité</w:t>
            </w:r>
          </w:p>
        </w:tc>
        <w:tc>
          <w:tcPr>
            <w:tcW w:type="dxa" w:w="3628"/>
            <w:vAlign w:val="center"/>
            <w:shd w:fill="1F4E79"/>
          </w:tcPr>
          <w:p>
            <w:pPr>
              <w:spacing w:after="30"/>
            </w:pPr>
            <w:r>
              <w:rPr>
                <w:rFonts w:ascii="Times New Roman" w:hAnsi="Times New Roman" w:cs="Times New Roman" w:eastAsia="Times New Roman"/>
                <w:b/>
                <w:color w:val="FFFFFF"/>
                <w:sz w:val="17"/>
              </w:rPr>
              <w:t>Données et contrôles à prévoir</w:t>
            </w:r>
          </w:p>
        </w:tc>
      </w:tr>
      <w:tr>
        <w:trPr>
          <w:cantSplit/>
        </w:trPr>
        <w:tc>
          <w:tcPr>
            <w:tcW w:type="dxa" w:w="1814"/>
            <w:vAlign w:val="center"/>
          </w:tcPr>
          <w:p>
            <w:pPr>
              <w:spacing w:after="30"/>
            </w:pPr>
            <w:r>
              <w:rPr>
                <w:rFonts w:ascii="Times New Roman" w:hAnsi="Times New Roman" w:cs="Times New Roman" w:eastAsia="Times New Roman"/>
                <w:b w:val="0"/>
                <w:sz w:val="17"/>
              </w:rPr>
              <w:t>Battage</w:t>
            </w:r>
          </w:p>
        </w:tc>
        <w:tc>
          <w:tcPr>
            <w:tcW w:type="dxa" w:w="3628"/>
            <w:vAlign w:val="center"/>
          </w:tcPr>
          <w:p>
            <w:pPr>
              <w:spacing w:after="30"/>
            </w:pPr>
            <w:r>
              <w:rPr>
                <w:rFonts w:ascii="Times New Roman" w:hAnsi="Times New Roman" w:cs="Times New Roman" w:eastAsia="Times New Roman"/>
                <w:b w:val="0"/>
                <w:sz w:val="17"/>
              </w:rPr>
              <w:t>Vibrations, refoulement, refus et endommagement</w:t>
            </w:r>
          </w:p>
        </w:tc>
        <w:tc>
          <w:tcPr>
            <w:tcW w:type="dxa" w:w="3628"/>
            <w:vAlign w:val="center"/>
          </w:tcPr>
          <w:p>
            <w:pPr>
              <w:spacing w:after="30"/>
            </w:pPr>
            <w:r>
              <w:rPr>
                <w:rFonts w:ascii="Times New Roman" w:hAnsi="Times New Roman" w:cs="Times New Roman" w:eastAsia="Times New Roman"/>
                <w:b w:val="0"/>
                <w:sz w:val="17"/>
              </w:rPr>
              <w:t>Profil de pénétration, essais, critères d’arrêt et suivi des environs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Forage de pieux</w:t>
            </w:r>
          </w:p>
        </w:tc>
        <w:tc>
          <w:tcPr>
            <w:tcW w:type="dxa" w:w="3628"/>
            <w:vAlign w:val="center"/>
            <w:shd w:fill="F3F6F8"/>
          </w:tcPr>
          <w:p>
            <w:pPr>
              <w:spacing w:after="30"/>
            </w:pPr>
            <w:r>
              <w:rPr>
                <w:rFonts w:ascii="Times New Roman" w:hAnsi="Times New Roman" w:cs="Times New Roman" w:eastAsia="Times New Roman"/>
                <w:b w:val="0"/>
                <w:sz w:val="17"/>
              </w:rPr>
              <w:t>Instabilité, boue, remaniement et obstructions</w:t>
            </w:r>
          </w:p>
        </w:tc>
        <w:tc>
          <w:tcPr>
            <w:tcW w:type="dxa" w:w="3628"/>
            <w:vAlign w:val="center"/>
            <w:shd w:fill="F3F6F8"/>
          </w:tcPr>
          <w:p>
            <w:pPr>
              <w:spacing w:after="30"/>
            </w:pPr>
            <w:r>
              <w:rPr>
                <w:rFonts w:ascii="Times New Roman" w:hAnsi="Times New Roman" w:cs="Times New Roman" w:eastAsia="Times New Roman"/>
                <w:b w:val="0"/>
                <w:sz w:val="17"/>
              </w:rPr>
              <w:t>Lithologie, eau, paramètres de forage et inspection</w:t>
            </w:r>
          </w:p>
        </w:tc>
      </w:tr>
      <w:tr>
        <w:trPr>
          <w:cantSplit/>
        </w:trPr>
        <w:tc>
          <w:tcPr>
            <w:tcW w:type="dxa" w:w="1814"/>
            <w:vAlign w:val="center"/>
          </w:tcPr>
          <w:p>
            <w:pPr>
              <w:spacing w:after="30"/>
            </w:pPr>
            <w:r>
              <w:rPr>
                <w:rFonts w:ascii="Times New Roman" w:hAnsi="Times New Roman" w:cs="Times New Roman" w:eastAsia="Times New Roman"/>
                <w:b w:val="0"/>
                <w:sz w:val="17"/>
              </w:rPr>
              <w:t>Bétonnage</w:t>
            </w:r>
          </w:p>
        </w:tc>
        <w:tc>
          <w:tcPr>
            <w:tcW w:type="dxa" w:w="3628"/>
            <w:vAlign w:val="center"/>
          </w:tcPr>
          <w:p>
            <w:pPr>
              <w:spacing w:after="30"/>
            </w:pPr>
            <w:r>
              <w:rPr>
                <w:rFonts w:ascii="Times New Roman" w:hAnsi="Times New Roman" w:cs="Times New Roman" w:eastAsia="Times New Roman"/>
                <w:b w:val="0"/>
                <w:sz w:val="17"/>
              </w:rPr>
              <w:t>Inclusion, discontinuité ou contamination</w:t>
            </w:r>
          </w:p>
        </w:tc>
        <w:tc>
          <w:tcPr>
            <w:tcW w:type="dxa" w:w="3628"/>
            <w:vAlign w:val="center"/>
          </w:tcPr>
          <w:p>
            <w:pPr>
              <w:spacing w:after="30"/>
            </w:pPr>
            <w:r>
              <w:rPr>
                <w:rFonts w:ascii="Times New Roman" w:hAnsi="Times New Roman" w:cs="Times New Roman" w:eastAsia="Times New Roman"/>
                <w:b w:val="0"/>
                <w:sz w:val="17"/>
              </w:rPr>
              <w:t>Contrôles du béton, volumes, continuité et essais d’intégrité adaptés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Pompage</w:t>
            </w:r>
          </w:p>
        </w:tc>
        <w:tc>
          <w:tcPr>
            <w:tcW w:type="dxa" w:w="3628"/>
            <w:vAlign w:val="center"/>
            <w:shd w:fill="F3F6F8"/>
          </w:tcPr>
          <w:p>
            <w:pPr>
              <w:spacing w:after="30"/>
            </w:pPr>
            <w:r>
              <w:rPr>
                <w:rFonts w:ascii="Times New Roman" w:hAnsi="Times New Roman" w:cs="Times New Roman" w:eastAsia="Times New Roman"/>
                <w:b w:val="0"/>
                <w:sz w:val="17"/>
              </w:rPr>
              <w:t>Tassements, érosion et rabattement non contrôlé</w:t>
            </w:r>
          </w:p>
        </w:tc>
        <w:tc>
          <w:tcPr>
            <w:tcW w:type="dxa" w:w="3628"/>
            <w:vAlign w:val="center"/>
            <w:shd w:fill="F3F6F8"/>
          </w:tcPr>
          <w:p>
            <w:pPr>
              <w:spacing w:after="30"/>
            </w:pPr>
            <w:r>
              <w:rPr>
                <w:rFonts w:ascii="Times New Roman" w:hAnsi="Times New Roman" w:cs="Times New Roman" w:eastAsia="Times New Roman"/>
                <w:b w:val="0"/>
                <w:sz w:val="17"/>
              </w:rPr>
              <w:t>Perméabilité, rayon d’influence, suivi piézométrique et filtration</w:t>
            </w:r>
          </w:p>
        </w:tc>
      </w:tr>
      <w:tr>
        <w:trPr>
          <w:cantSplit/>
        </w:trPr>
        <w:tc>
          <w:tcPr>
            <w:tcW w:type="dxa" w:w="1814"/>
            <w:vAlign w:val="center"/>
          </w:tcPr>
          <w:p>
            <w:pPr>
              <w:spacing w:after="30"/>
            </w:pPr>
            <w:r>
              <w:rPr>
                <w:rFonts w:ascii="Times New Roman" w:hAnsi="Times New Roman" w:cs="Times New Roman" w:eastAsia="Times New Roman"/>
                <w:b w:val="0"/>
                <w:sz w:val="17"/>
              </w:rPr>
              <w:t>Batardeau ou caisson</w:t>
            </w:r>
          </w:p>
        </w:tc>
        <w:tc>
          <w:tcPr>
            <w:tcW w:type="dxa" w:w="3628"/>
            <w:vAlign w:val="center"/>
          </w:tcPr>
          <w:p>
            <w:pPr>
              <w:spacing w:after="30"/>
            </w:pPr>
            <w:r>
              <w:rPr>
                <w:rFonts w:ascii="Times New Roman" w:hAnsi="Times New Roman" w:cs="Times New Roman" w:eastAsia="Times New Roman"/>
                <w:b w:val="0"/>
                <w:sz w:val="17"/>
              </w:rPr>
              <w:t>Soulevènement, fuite et difficulté de descente</w:t>
            </w:r>
          </w:p>
        </w:tc>
        <w:tc>
          <w:tcPr>
            <w:tcW w:type="dxa" w:w="3628"/>
            <w:vAlign w:val="center"/>
          </w:tcPr>
          <w:p>
            <w:pPr>
              <w:spacing w:after="30"/>
            </w:pPr>
            <w:r>
              <w:rPr>
                <w:rFonts w:ascii="Times New Roman" w:hAnsi="Times New Roman" w:cs="Times New Roman" w:eastAsia="Times New Roman"/>
                <w:b w:val="0"/>
                <w:sz w:val="17"/>
              </w:rPr>
              <w:t>Gradient, stabilité du fond, obstacles et niveau d’eau</w:t>
            </w:r>
          </w:p>
        </w:tc>
      </w:tr>
      <w:tr>
        <w:trPr>
          <w:cantSplit/>
        </w:trPr>
        <w:tc>
          <w:tcPr>
            <w:tcW w:type="dxa" w:w="1814"/>
            <w:vAlign w:val="center"/>
            <w:shd w:fill="F3F6F8"/>
          </w:tcPr>
          <w:p>
            <w:pPr>
              <w:spacing w:after="30"/>
            </w:pPr>
            <w:r>
              <w:rPr>
                <w:rFonts w:ascii="Times New Roman" w:hAnsi="Times New Roman" w:cs="Times New Roman" w:eastAsia="Times New Roman"/>
                <w:b w:val="0"/>
                <w:sz w:val="17"/>
              </w:rPr>
              <w:t>Remblaiement</w:t>
            </w:r>
          </w:p>
        </w:tc>
        <w:tc>
          <w:tcPr>
            <w:tcW w:type="dxa" w:w="3628"/>
            <w:vAlign w:val="center"/>
            <w:shd w:fill="F3F6F8"/>
          </w:tcPr>
          <w:p>
            <w:pPr>
              <w:spacing w:after="30"/>
            </w:pPr>
            <w:r>
              <w:rPr>
                <w:rFonts w:ascii="Times New Roman" w:hAnsi="Times New Roman" w:cs="Times New Roman" w:eastAsia="Times New Roman"/>
                <w:b w:val="0"/>
                <w:sz w:val="17"/>
              </w:rPr>
              <w:t>Tassement et pressions sur culées ou pieux</w:t>
            </w:r>
          </w:p>
        </w:tc>
        <w:tc>
          <w:tcPr>
            <w:tcW w:type="dxa" w:w="3628"/>
            <w:vAlign w:val="center"/>
            <w:shd w:fill="F3F6F8"/>
          </w:tcPr>
          <w:p>
            <w:pPr>
              <w:spacing w:after="30"/>
            </w:pPr>
            <w:r>
              <w:rPr>
                <w:rFonts w:ascii="Times New Roman" w:hAnsi="Times New Roman" w:cs="Times New Roman" w:eastAsia="Times New Roman"/>
                <w:b w:val="0"/>
                <w:sz w:val="17"/>
              </w:rPr>
              <w:t>Compressibilité, phasage, compactage et instrumentation</w:t>
            </w:r>
          </w:p>
        </w:tc>
      </w:tr>
    </w:tbl>
    <w:p>
      <w:pPr>
        <w:spacing w:after="20"/>
      </w:pPr>
    </w:p>
    <w:p>
      <w:pPr>
        <w:pStyle w:val="Heading2"/>
      </w:pPr>
      <w:r>
        <w:rPr>
          <w:rFonts w:ascii="Times New Roman" w:hAnsi="Times New Roman" w:cs="Times New Roman" w:eastAsia="Times New Roman"/>
          <w:b/>
          <w:color w:val="1F4E79"/>
          <w:sz w:val="24"/>
        </w:rPr>
        <w:t>IV.11 Synthèse des risques et priorisation</w:t>
      </w:r>
    </w:p>
    <w:p>
      <w:pPr>
        <w:jc w:val="both"/>
      </w:pPr>
      <w:r>
        <w:rPr>
          <w:rFonts w:ascii="Times New Roman" w:hAnsi="Times New Roman" w:cs="Times New Roman" w:eastAsia="Times New Roman"/>
          <w:b w:val="0"/>
          <w:sz w:val="24"/>
        </w:rPr>
        <w:t>La synthèse ne consiste pas à attribuer un score arbitraire puis à en déduire une catégorie réglementaire. Elle organise les scénarios par mécanisme, appui, conséquence et niveau de preuve. Une matrice peut aider à prioriser les revues, mais sa graduation doit être définie pour le projet et ne remplace pas l’analyse physique.</w:t>
      </w:r>
    </w:p>
    <w:p>
      <w:pPr>
        <w:jc w:val="both"/>
      </w:pPr>
      <w:r>
        <w:rPr>
          <w:rFonts w:ascii="Times New Roman" w:hAnsi="Times New Roman" w:cs="Times New Roman" w:eastAsia="Times New Roman"/>
          <w:b w:val="0"/>
          <w:sz w:val="24"/>
        </w:rPr>
        <w:t>Les interactions sont explicitées : affouillement du pied et instabilité de rive, remblai compressible et frottement négatif, karst et circulation d’eau, séisme et liquéfaction, exécution et érosion interne. Cette lecture évite de traiter chaque ligne du registre indépendamment.</w:t>
      </w:r>
    </w:p>
    <w:p>
      <w:pPr>
        <w:keepNext/>
        <w:jc w:val="center"/>
      </w:pPr>
      <w:r>
        <w:drawing>
          <wp:inline xmlns:a="http://schemas.openxmlformats.org/drawingml/2006/main" xmlns:pic="http://schemas.openxmlformats.org/drawingml/2006/picture">
            <wp:extent cx="5760000" cy="2548800"/>
            <wp:docPr id="45" name="Picture 45"/>
            <wp:cNvGraphicFramePr>
              <a:graphicFrameLocks noChangeAspect="1"/>
            </wp:cNvGraphicFramePr>
            <a:graphic>
              <a:graphicData uri="http://schemas.openxmlformats.org/drawingml/2006/picture">
                <pic:pic>
                  <pic:nvPicPr>
                    <pic:cNvPr id="0" name="risk_register_flow.png"/>
                    <pic:cNvPicPr/>
                  </pic:nvPicPr>
                  <pic:blipFill>
                    <a:blip r:embed="rId75"/>
                    <a:stretch>
                      <a:fillRect/>
                    </a:stretch>
                  </pic:blipFill>
                  <pic:spPr>
                    <a:xfrm>
                      <a:off x="0" y="0"/>
                      <a:ext cx="5760000" cy="2548800"/>
                    </a:xfrm>
                    <a:prstGeom prst="rect"/>
                  </pic:spPr>
                </pic:pic>
              </a:graphicData>
            </a:graphic>
          </wp:inline>
        </w:drawing>
      </w:r>
    </w:p>
    <w:p>
      <w:bookmarkStart w:id="83" w:name="BM_FIGIV_6"/>
      <w:pPr>
        <w:jc w:val="center"/>
      </w:pPr>
      <w:r>
        <w:rPr>
          <w:rFonts w:ascii="Times New Roman" w:hAnsi="Times New Roman" w:cs="Times New Roman" w:eastAsia="Times New Roman"/>
          <w:b/>
          <w:sz w:val="20"/>
        </w:rPr>
        <w:t>Figure IV.6 — Organisation d’un registre de risques fondé sur les scénarios et les preuves</w:t>
      </w:r>
      <w:bookmarkEnd w:id="83"/>
    </w:p>
    <w:p>
      <w:pPr>
        <w:jc w:val="right"/>
      </w:pPr>
      <w:r>
        <w:rPr>
          <w:rFonts w:ascii="Times New Roman" w:hAnsi="Times New Roman" w:cs="Times New Roman" w:eastAsia="Times New Roman"/>
          <w:b w:val="0"/>
          <w:color w:val="59636B"/>
          <w:sz w:val="20"/>
        </w:rPr>
        <w:t>Source : schéma original ; les catégories de priorité sont à définir pour chaque projet.</w:t>
      </w:r>
    </w:p>
    <w:p>
      <w:bookmarkStart w:id="84" w:name="BM_TABIV_8"/>
      <w:pPr>
        <w:keepNext/>
        <w:jc w:val="center"/>
      </w:pPr>
      <w:r>
        <w:rPr>
          <w:rFonts w:ascii="Times New Roman" w:hAnsi="Times New Roman" w:cs="Times New Roman" w:eastAsia="Times New Roman"/>
          <w:b/>
          <w:sz w:val="20"/>
        </w:rPr>
        <w:t>Tableau IV.8 — Synthèse des mécanismes et des données gouvernantes</w:t>
      </w:r>
      <w:bookmarkEnd w:id="84"/>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Mécanisme</w:t>
            </w:r>
          </w:p>
        </w:tc>
        <w:tc>
          <w:tcPr>
            <w:tcW w:type="dxa" w:w="2268"/>
            <w:vAlign w:val="center"/>
            <w:shd w:fill="1F4E79"/>
          </w:tcPr>
          <w:p>
            <w:pPr>
              <w:spacing w:after="30"/>
            </w:pPr>
            <w:r>
              <w:rPr>
                <w:rFonts w:ascii="Times New Roman" w:hAnsi="Times New Roman" w:cs="Times New Roman" w:eastAsia="Times New Roman"/>
                <w:b/>
                <w:color w:val="FFFFFF"/>
                <w:sz w:val="17"/>
              </w:rPr>
              <w:t>Données gouvernantes</w:t>
            </w:r>
          </w:p>
        </w:tc>
        <w:tc>
          <w:tcPr>
            <w:tcW w:type="dxa" w:w="2268"/>
            <w:vAlign w:val="center"/>
            <w:shd w:fill="1F4E79"/>
          </w:tcPr>
          <w:p>
            <w:pPr>
              <w:spacing w:after="30"/>
            </w:pPr>
            <w:r>
              <w:rPr>
                <w:rFonts w:ascii="Times New Roman" w:hAnsi="Times New Roman" w:cs="Times New Roman" w:eastAsia="Times New Roman"/>
                <w:b/>
                <w:color w:val="FFFFFF"/>
                <w:sz w:val="17"/>
              </w:rPr>
              <w:t>Vulnérabilité à examiner</w:t>
            </w:r>
          </w:p>
        </w:tc>
        <w:tc>
          <w:tcPr>
            <w:tcW w:type="dxa" w:w="2268"/>
            <w:vAlign w:val="center"/>
            <w:shd w:fill="1F4E79"/>
          </w:tcPr>
          <w:p>
            <w:pPr>
              <w:spacing w:after="30"/>
            </w:pPr>
            <w:r>
              <w:rPr>
                <w:rFonts w:ascii="Times New Roman" w:hAnsi="Times New Roman" w:cs="Times New Roman" w:eastAsia="Times New Roman"/>
                <w:b/>
                <w:color w:val="FFFFFF"/>
                <w:sz w:val="17"/>
              </w:rPr>
              <w:t>Réponse de conception ou de suivi</w:t>
            </w:r>
          </w:p>
        </w:tc>
      </w:tr>
      <w:tr>
        <w:trPr>
          <w:cantSplit/>
        </w:trPr>
        <w:tc>
          <w:tcPr>
            <w:tcW w:type="dxa" w:w="2268"/>
            <w:vAlign w:val="center"/>
          </w:tcPr>
          <w:p>
            <w:pPr>
              <w:spacing w:after="30"/>
            </w:pPr>
            <w:r>
              <w:rPr>
                <w:rFonts w:ascii="Times New Roman" w:hAnsi="Times New Roman" w:cs="Times New Roman" w:eastAsia="Times New Roman"/>
                <w:b w:val="0"/>
                <w:sz w:val="17"/>
              </w:rPr>
              <w:t>Tassements</w:t>
            </w:r>
          </w:p>
        </w:tc>
        <w:tc>
          <w:tcPr>
            <w:tcW w:type="dxa" w:w="2268"/>
            <w:vAlign w:val="center"/>
          </w:tcPr>
          <w:p>
            <w:pPr>
              <w:spacing w:after="30"/>
            </w:pPr>
            <w:r>
              <w:rPr>
                <w:rFonts w:ascii="Times New Roman" w:hAnsi="Times New Roman" w:cs="Times New Roman" w:eastAsia="Times New Roman"/>
                <w:b w:val="0"/>
                <w:sz w:val="17"/>
              </w:rPr>
              <w:t>Compressibilité, couches, charges et drainage</w:t>
            </w:r>
          </w:p>
        </w:tc>
        <w:tc>
          <w:tcPr>
            <w:tcW w:type="dxa" w:w="2268"/>
            <w:vAlign w:val="center"/>
          </w:tcPr>
          <w:p>
            <w:pPr>
              <w:spacing w:after="30"/>
            </w:pPr>
            <w:r>
              <w:rPr>
                <w:rFonts w:ascii="Times New Roman" w:hAnsi="Times New Roman" w:cs="Times New Roman" w:eastAsia="Times New Roman"/>
                <w:b w:val="0"/>
                <w:sz w:val="17"/>
              </w:rPr>
              <w:t>Système de tablier, appuis et transitions</w:t>
            </w:r>
          </w:p>
        </w:tc>
        <w:tc>
          <w:tcPr>
            <w:tcW w:type="dxa" w:w="2268"/>
            <w:vAlign w:val="center"/>
          </w:tcPr>
          <w:p>
            <w:pPr>
              <w:spacing w:after="30"/>
            </w:pPr>
            <w:r>
              <w:rPr>
                <w:rFonts w:ascii="Times New Roman" w:hAnsi="Times New Roman" w:cs="Times New Roman" w:eastAsia="Times New Roman"/>
                <w:b w:val="0"/>
                <w:sz w:val="17"/>
              </w:rPr>
              <w:t>Adaptation, phasage, traitement ou instrumentation</w:t>
            </w:r>
          </w:p>
        </w:tc>
      </w:tr>
      <w:tr>
        <w:trPr>
          <w:cantSplit/>
        </w:trPr>
        <w:tc>
          <w:tcPr>
            <w:tcW w:type="dxa" w:w="2268"/>
            <w:vAlign w:val="center"/>
            <w:shd w:fill="F3F6F8"/>
          </w:tcPr>
          <w:p>
            <w:pPr>
              <w:spacing w:after="30"/>
            </w:pPr>
            <w:r>
              <w:rPr>
                <w:rFonts w:ascii="Times New Roman" w:hAnsi="Times New Roman" w:cs="Times New Roman" w:eastAsia="Times New Roman"/>
                <w:b w:val="0"/>
                <w:sz w:val="17"/>
              </w:rPr>
              <w:t>Affouillement</w:t>
            </w:r>
          </w:p>
        </w:tc>
        <w:tc>
          <w:tcPr>
            <w:tcW w:type="dxa" w:w="2268"/>
            <w:vAlign w:val="center"/>
            <w:shd w:fill="F3F6F8"/>
          </w:tcPr>
          <w:p>
            <w:pPr>
              <w:spacing w:after="30"/>
            </w:pPr>
            <w:r>
              <w:rPr>
                <w:rFonts w:ascii="Times New Roman" w:hAnsi="Times New Roman" w:cs="Times New Roman" w:eastAsia="Times New Roman"/>
                <w:b w:val="0"/>
                <w:sz w:val="17"/>
              </w:rPr>
              <w:t>Hydrologie, hydraulique, sédiments et géométrie future</w:t>
            </w:r>
          </w:p>
        </w:tc>
        <w:tc>
          <w:tcPr>
            <w:tcW w:type="dxa" w:w="2268"/>
            <w:vAlign w:val="center"/>
            <w:shd w:fill="F3F6F8"/>
          </w:tcPr>
          <w:p>
            <w:pPr>
              <w:spacing w:after="30"/>
            </w:pPr>
            <w:r>
              <w:rPr>
                <w:rFonts w:ascii="Times New Roman" w:hAnsi="Times New Roman" w:cs="Times New Roman" w:eastAsia="Times New Roman"/>
                <w:b w:val="0"/>
                <w:sz w:val="17"/>
              </w:rPr>
              <w:t>Encastrement et stabilité de la fondation</w:t>
            </w:r>
          </w:p>
        </w:tc>
        <w:tc>
          <w:tcPr>
            <w:tcW w:type="dxa" w:w="2268"/>
            <w:vAlign w:val="center"/>
            <w:shd w:fill="F3F6F8"/>
          </w:tcPr>
          <w:p>
            <w:pPr>
              <w:spacing w:after="30"/>
            </w:pPr>
            <w:r>
              <w:rPr>
                <w:rFonts w:ascii="Times New Roman" w:hAnsi="Times New Roman" w:cs="Times New Roman" w:eastAsia="Times New Roman"/>
                <w:b w:val="0"/>
                <w:sz w:val="17"/>
              </w:rPr>
              <w:t>Fondation, protection, inspection et entretien</w:t>
            </w:r>
          </w:p>
        </w:tc>
      </w:tr>
      <w:tr>
        <w:trPr>
          <w:cantSplit/>
        </w:trPr>
        <w:tc>
          <w:tcPr>
            <w:tcW w:type="dxa" w:w="2268"/>
            <w:vAlign w:val="center"/>
          </w:tcPr>
          <w:p>
            <w:pPr>
              <w:spacing w:after="30"/>
            </w:pPr>
            <w:r>
              <w:rPr>
                <w:rFonts w:ascii="Times New Roman" w:hAnsi="Times New Roman" w:cs="Times New Roman" w:eastAsia="Times New Roman"/>
                <w:b w:val="0"/>
                <w:sz w:val="17"/>
              </w:rPr>
              <w:t>Érosion interne</w:t>
            </w:r>
          </w:p>
        </w:tc>
        <w:tc>
          <w:tcPr>
            <w:tcW w:type="dxa" w:w="2268"/>
            <w:vAlign w:val="center"/>
          </w:tcPr>
          <w:p>
            <w:pPr>
              <w:spacing w:after="30"/>
            </w:pPr>
            <w:r>
              <w:rPr>
                <w:rFonts w:ascii="Times New Roman" w:hAnsi="Times New Roman" w:cs="Times New Roman" w:eastAsia="Times New Roman"/>
                <w:b w:val="0"/>
                <w:sz w:val="17"/>
              </w:rPr>
              <w:t>Granulométrie, gradients, interfaces et exutoires</w:t>
            </w:r>
          </w:p>
        </w:tc>
        <w:tc>
          <w:tcPr>
            <w:tcW w:type="dxa" w:w="2268"/>
            <w:vAlign w:val="center"/>
          </w:tcPr>
          <w:p>
            <w:pPr>
              <w:spacing w:after="30"/>
            </w:pPr>
            <w:r>
              <w:rPr>
                <w:rFonts w:ascii="Times New Roman" w:hAnsi="Times New Roman" w:cs="Times New Roman" w:eastAsia="Times New Roman"/>
                <w:b w:val="0"/>
                <w:sz w:val="17"/>
              </w:rPr>
              <w:t>Perte de matériau et affaissement</w:t>
            </w:r>
          </w:p>
        </w:tc>
        <w:tc>
          <w:tcPr>
            <w:tcW w:type="dxa" w:w="2268"/>
            <w:vAlign w:val="center"/>
          </w:tcPr>
          <w:p>
            <w:pPr>
              <w:spacing w:after="30"/>
            </w:pPr>
            <w:r>
              <w:rPr>
                <w:rFonts w:ascii="Times New Roman" w:hAnsi="Times New Roman" w:cs="Times New Roman" w:eastAsia="Times New Roman"/>
                <w:b w:val="0"/>
                <w:sz w:val="17"/>
              </w:rPr>
              <w:t>Filtres, drainage et surveillance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Instabilité de rive</w:t>
            </w:r>
          </w:p>
        </w:tc>
        <w:tc>
          <w:tcPr>
            <w:tcW w:type="dxa" w:w="2268"/>
            <w:vAlign w:val="center"/>
            <w:shd w:fill="F3F6F8"/>
          </w:tcPr>
          <w:p>
            <w:pPr>
              <w:spacing w:after="30"/>
            </w:pPr>
            <w:r>
              <w:rPr>
                <w:rFonts w:ascii="Times New Roman" w:hAnsi="Times New Roman" w:cs="Times New Roman" w:eastAsia="Times New Roman"/>
                <w:b w:val="0"/>
                <w:sz w:val="17"/>
              </w:rPr>
              <w:t>Géométrie, résistance, eau et érosion du pied</w:t>
            </w:r>
          </w:p>
        </w:tc>
        <w:tc>
          <w:tcPr>
            <w:tcW w:type="dxa" w:w="2268"/>
            <w:vAlign w:val="center"/>
            <w:shd w:fill="F3F6F8"/>
          </w:tcPr>
          <w:p>
            <w:pPr>
              <w:spacing w:after="30"/>
            </w:pPr>
            <w:r>
              <w:rPr>
                <w:rFonts w:ascii="Times New Roman" w:hAnsi="Times New Roman" w:cs="Times New Roman" w:eastAsia="Times New Roman"/>
                <w:b w:val="0"/>
                <w:sz w:val="17"/>
              </w:rPr>
              <w:t>Culées, piles et accès</w:t>
            </w:r>
          </w:p>
        </w:tc>
        <w:tc>
          <w:tcPr>
            <w:tcW w:type="dxa" w:w="2268"/>
            <w:vAlign w:val="center"/>
            <w:shd w:fill="F3F6F8"/>
          </w:tcPr>
          <w:p>
            <w:pPr>
              <w:spacing w:after="30"/>
            </w:pPr>
            <w:r>
              <w:rPr>
                <w:rFonts w:ascii="Times New Roman" w:hAnsi="Times New Roman" w:cs="Times New Roman" w:eastAsia="Times New Roman"/>
                <w:b w:val="0"/>
                <w:sz w:val="17"/>
              </w:rPr>
              <w:t>Protection, modification de géométrie et suivi</w:t>
            </w:r>
          </w:p>
        </w:tc>
      </w:tr>
      <w:tr>
        <w:trPr>
          <w:cantSplit/>
        </w:trPr>
        <w:tc>
          <w:tcPr>
            <w:tcW w:type="dxa" w:w="2268"/>
            <w:vAlign w:val="center"/>
          </w:tcPr>
          <w:p>
            <w:pPr>
              <w:spacing w:after="30"/>
            </w:pPr>
            <w:r>
              <w:rPr>
                <w:rFonts w:ascii="Times New Roman" w:hAnsi="Times New Roman" w:cs="Times New Roman" w:eastAsia="Times New Roman"/>
                <w:b w:val="0"/>
                <w:sz w:val="17"/>
              </w:rPr>
              <w:t>Liquéfaction</w:t>
            </w:r>
          </w:p>
        </w:tc>
        <w:tc>
          <w:tcPr>
            <w:tcW w:type="dxa" w:w="2268"/>
            <w:vAlign w:val="center"/>
          </w:tcPr>
          <w:p>
            <w:pPr>
              <w:spacing w:after="30"/>
            </w:pPr>
            <w:r>
              <w:rPr>
                <w:rFonts w:ascii="Times New Roman" w:hAnsi="Times New Roman" w:cs="Times New Roman" w:eastAsia="Times New Roman"/>
                <w:b w:val="0"/>
                <w:sz w:val="17"/>
              </w:rPr>
              <w:t>Sol, nappe, mouvement et résistance cyclique</w:t>
            </w:r>
          </w:p>
        </w:tc>
        <w:tc>
          <w:tcPr>
            <w:tcW w:type="dxa" w:w="2268"/>
            <w:vAlign w:val="center"/>
          </w:tcPr>
          <w:p>
            <w:pPr>
              <w:spacing w:after="30"/>
            </w:pPr>
            <w:r>
              <w:rPr>
                <w:rFonts w:ascii="Times New Roman" w:hAnsi="Times New Roman" w:cs="Times New Roman" w:eastAsia="Times New Roman"/>
                <w:b w:val="0"/>
                <w:sz w:val="17"/>
              </w:rPr>
              <w:t>Déplacements et interaction avec les fondations</w:t>
            </w:r>
          </w:p>
        </w:tc>
        <w:tc>
          <w:tcPr>
            <w:tcW w:type="dxa" w:w="2268"/>
            <w:vAlign w:val="center"/>
          </w:tcPr>
          <w:p>
            <w:pPr>
              <w:spacing w:after="30"/>
            </w:pPr>
            <w:r>
              <w:rPr>
                <w:rFonts w:ascii="Times New Roman" w:hAnsi="Times New Roman" w:cs="Times New Roman" w:eastAsia="Times New Roman"/>
                <w:b w:val="0"/>
                <w:sz w:val="17"/>
              </w:rPr>
              <w:t>Dépistage, analyse SSI, amélioration ou adaptation</w:t>
            </w:r>
          </w:p>
        </w:tc>
      </w:tr>
      <w:tr>
        <w:trPr>
          <w:cantSplit/>
        </w:trPr>
        <w:tc>
          <w:tcPr>
            <w:tcW w:type="dxa" w:w="2268"/>
            <w:vAlign w:val="center"/>
            <w:shd w:fill="F3F6F8"/>
          </w:tcPr>
          <w:p>
            <w:pPr>
              <w:spacing w:after="30"/>
            </w:pPr>
            <w:r>
              <w:rPr>
                <w:rFonts w:ascii="Times New Roman" w:hAnsi="Times New Roman" w:cs="Times New Roman" w:eastAsia="Times New Roman"/>
                <w:b w:val="0"/>
                <w:sz w:val="17"/>
              </w:rPr>
              <w:t>Karst</w:t>
            </w:r>
          </w:p>
        </w:tc>
        <w:tc>
          <w:tcPr>
            <w:tcW w:type="dxa" w:w="2268"/>
            <w:vAlign w:val="center"/>
            <w:shd w:fill="F3F6F8"/>
          </w:tcPr>
          <w:p>
            <w:pPr>
              <w:spacing w:after="30"/>
            </w:pPr>
            <w:r>
              <w:rPr>
                <w:rFonts w:ascii="Times New Roman" w:hAnsi="Times New Roman" w:cs="Times New Roman" w:eastAsia="Times New Roman"/>
                <w:b w:val="0"/>
                <w:sz w:val="17"/>
              </w:rPr>
              <w:t>Cavités, remplissage, eau et discontinuités</w:t>
            </w:r>
          </w:p>
        </w:tc>
        <w:tc>
          <w:tcPr>
            <w:tcW w:type="dxa" w:w="2268"/>
            <w:vAlign w:val="center"/>
            <w:shd w:fill="F3F6F8"/>
          </w:tcPr>
          <w:p>
            <w:pPr>
              <w:spacing w:after="30"/>
            </w:pPr>
            <w:r>
              <w:rPr>
                <w:rFonts w:ascii="Times New Roman" w:hAnsi="Times New Roman" w:cs="Times New Roman" w:eastAsia="Times New Roman"/>
                <w:b w:val="0"/>
                <w:sz w:val="17"/>
              </w:rPr>
              <w:t>Perte d’appui et exécution</w:t>
            </w:r>
          </w:p>
        </w:tc>
        <w:tc>
          <w:tcPr>
            <w:tcW w:type="dxa" w:w="2268"/>
            <w:vAlign w:val="center"/>
            <w:shd w:fill="F3F6F8"/>
          </w:tcPr>
          <w:p>
            <w:pPr>
              <w:spacing w:after="30"/>
            </w:pPr>
            <w:r>
              <w:rPr>
                <w:rFonts w:ascii="Times New Roman" w:hAnsi="Times New Roman" w:cs="Times New Roman" w:eastAsia="Times New Roman"/>
                <w:b w:val="0"/>
                <w:sz w:val="17"/>
              </w:rPr>
              <w:t>Vérification, déplacement, traitement ou fondation adaptée</w:t>
            </w:r>
          </w:p>
        </w:tc>
      </w:tr>
      <w:tr>
        <w:trPr>
          <w:cantSplit/>
        </w:trPr>
        <w:tc>
          <w:tcPr>
            <w:tcW w:type="dxa" w:w="2268"/>
            <w:vAlign w:val="center"/>
          </w:tcPr>
          <w:p>
            <w:pPr>
              <w:spacing w:after="30"/>
            </w:pPr>
            <w:r>
              <w:rPr>
                <w:rFonts w:ascii="Times New Roman" w:hAnsi="Times New Roman" w:cs="Times New Roman" w:eastAsia="Times New Roman"/>
                <w:b w:val="0"/>
                <w:sz w:val="17"/>
              </w:rPr>
              <w:t>Agressivité</w:t>
            </w:r>
          </w:p>
        </w:tc>
        <w:tc>
          <w:tcPr>
            <w:tcW w:type="dxa" w:w="2268"/>
            <w:vAlign w:val="center"/>
          </w:tcPr>
          <w:p>
            <w:pPr>
              <w:spacing w:after="30"/>
            </w:pPr>
            <w:r>
              <w:rPr>
                <w:rFonts w:ascii="Times New Roman" w:hAnsi="Times New Roman" w:cs="Times New Roman" w:eastAsia="Times New Roman"/>
                <w:b w:val="0"/>
                <w:sz w:val="17"/>
              </w:rPr>
              <w:t>Chimie, exposition et matériaux</w:t>
            </w:r>
          </w:p>
        </w:tc>
        <w:tc>
          <w:tcPr>
            <w:tcW w:type="dxa" w:w="2268"/>
            <w:vAlign w:val="center"/>
          </w:tcPr>
          <w:p>
            <w:pPr>
              <w:spacing w:after="30"/>
            </w:pPr>
            <w:r>
              <w:rPr>
                <w:rFonts w:ascii="Times New Roman" w:hAnsi="Times New Roman" w:cs="Times New Roman" w:eastAsia="Times New Roman"/>
                <w:b w:val="0"/>
                <w:sz w:val="17"/>
              </w:rPr>
              <w:t>Durabilité des éléments enterrés ou exposés</w:t>
            </w:r>
          </w:p>
        </w:tc>
        <w:tc>
          <w:tcPr>
            <w:tcW w:type="dxa" w:w="2268"/>
            <w:vAlign w:val="center"/>
          </w:tcPr>
          <w:p>
            <w:pPr>
              <w:spacing w:after="30"/>
            </w:pPr>
            <w:r>
              <w:rPr>
                <w:rFonts w:ascii="Times New Roman" w:hAnsi="Times New Roman" w:cs="Times New Roman" w:eastAsia="Times New Roman"/>
                <w:b w:val="0"/>
                <w:sz w:val="17"/>
              </w:rPr>
              <w:t>Classes d’exposition, conception et maintenance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Exécution</w:t>
            </w:r>
          </w:p>
        </w:tc>
        <w:tc>
          <w:tcPr>
            <w:tcW w:type="dxa" w:w="2268"/>
            <w:vAlign w:val="center"/>
            <w:shd w:fill="F3F6F8"/>
          </w:tcPr>
          <w:p>
            <w:pPr>
              <w:spacing w:after="30"/>
            </w:pPr>
            <w:r>
              <w:rPr>
                <w:rFonts w:ascii="Times New Roman" w:hAnsi="Times New Roman" w:cs="Times New Roman" w:eastAsia="Times New Roman"/>
                <w:b w:val="0"/>
                <w:sz w:val="17"/>
              </w:rPr>
              <w:t>Méthode, eau, obstacles et qualité</w:t>
            </w:r>
          </w:p>
        </w:tc>
        <w:tc>
          <w:tcPr>
            <w:tcW w:type="dxa" w:w="2268"/>
            <w:vAlign w:val="center"/>
            <w:shd w:fill="F3F6F8"/>
          </w:tcPr>
          <w:p>
            <w:pPr>
              <w:spacing w:after="30"/>
            </w:pPr>
            <w:r>
              <w:rPr>
                <w:rFonts w:ascii="Times New Roman" w:hAnsi="Times New Roman" w:cs="Times New Roman" w:eastAsia="Times New Roman"/>
                <w:b w:val="0"/>
                <w:sz w:val="17"/>
              </w:rPr>
              <w:t>Défauts et modification du terrain</w:t>
            </w:r>
          </w:p>
        </w:tc>
        <w:tc>
          <w:tcPr>
            <w:tcW w:type="dxa" w:w="2268"/>
            <w:vAlign w:val="center"/>
            <w:shd w:fill="F3F6F8"/>
          </w:tcPr>
          <w:p>
            <w:pPr>
              <w:spacing w:after="30"/>
            </w:pPr>
            <w:r>
              <w:rPr>
                <w:rFonts w:ascii="Times New Roman" w:hAnsi="Times New Roman" w:cs="Times New Roman" w:eastAsia="Times New Roman"/>
                <w:b w:val="0"/>
                <w:sz w:val="17"/>
              </w:rPr>
              <w:t>Contrôles, adaptation de méthode et traçabilité</w:t>
            </w:r>
          </w:p>
        </w:tc>
      </w:tr>
    </w:tbl>
    <w:p>
      <w:pPr>
        <w:spacing w:after="20"/>
      </w:pPr>
    </w:p>
    <w:p>
      <w:pPr>
        <w:jc w:val="both"/>
      </w:pPr>
      <w:r>
        <w:rPr>
          <w:rFonts w:ascii="Times New Roman" w:hAnsi="Times New Roman" w:cs="Times New Roman" w:eastAsia="Times New Roman"/>
          <w:b w:val="0"/>
          <w:sz w:val="24"/>
        </w:rPr>
        <w:t>Le suivi bathymétrique relie une mesure à une position et à une date. L’inspection hydrographique du Barnhart Island Bridge illustre cette acquisition au droit d’un appui ; elle ne constitue pas une campagne réalisée pour ce mémoire et ne remplace pas l’analyse des tendances entre levés.</w:t>
      </w:r>
    </w:p>
    <w:p>
      <w:pPr>
        <w:keepNext/>
        <w:jc w:val="center"/>
      </w:pPr>
      <w:r>
        <w:drawing>
          <wp:inline xmlns:a="http://schemas.openxmlformats.org/drawingml/2006/main" xmlns:pic="http://schemas.openxmlformats.org/drawingml/2006/picture">
            <wp:extent cx="5760000" cy="4320000"/>
            <wp:docPr id="46" name="Picture 46"/>
            <wp:cNvGraphicFramePr>
              <a:graphicFrameLocks noChangeAspect="1"/>
            </wp:cNvGraphicFramePr>
            <a:graphic>
              <a:graphicData uri="http://schemas.openxmlformats.org/drawingml/2006/picture">
                <pic:pic>
                  <pic:nvPicPr>
                    <pic:cNvPr id="0" name="photo_fathometer_inspection.png"/>
                    <pic:cNvPicPr/>
                  </pic:nvPicPr>
                  <pic:blipFill>
                    <a:blip r:embed="rId76"/>
                    <a:stretch>
                      <a:fillRect/>
                    </a:stretch>
                  </pic:blipFill>
                  <pic:spPr>
                    <a:xfrm>
                      <a:off x="0" y="0"/>
                      <a:ext cx="5760000" cy="4320000"/>
                    </a:xfrm>
                    <a:prstGeom prst="rect"/>
                  </pic:spPr>
                </pic:pic>
              </a:graphicData>
            </a:graphic>
          </wp:inline>
        </w:drawing>
      </w:r>
    </w:p>
    <w:p>
      <w:bookmarkStart w:id="85" w:name="BM_FIGIV_7"/>
      <w:pPr>
        <w:jc w:val="center"/>
      </w:pPr>
      <w:r>
        <w:rPr>
          <w:rFonts w:ascii="Times New Roman" w:hAnsi="Times New Roman" w:cs="Times New Roman" w:eastAsia="Times New Roman"/>
          <w:b/>
          <w:sz w:val="20"/>
        </w:rPr>
        <w:t>Figure IV.7 — Inspection hydrographique par fathometer au Barnhart Island Bridge, Massena (New York)</w:t>
      </w:r>
      <w:bookmarkEnd w:id="85"/>
    </w:p>
    <w:p>
      <w:pPr>
        <w:jc w:val="right"/>
      </w:pPr>
      <w:r>
        <w:rPr>
          <w:rFonts w:ascii="Times New Roman" w:hAnsi="Times New Roman" w:cs="Times New Roman" w:eastAsia="Times New Roman"/>
          <w:b w:val="0"/>
          <w:color w:val="59636B"/>
          <w:sz w:val="20"/>
        </w:rPr>
        <w:t>Source : McLaren Engineering Group, Wikimedia Commons, CC BY-SA 4.0.</w:t>
      </w:r>
    </w:p>
    <w:p>
      <w:pPr>
        <w:jc w:val="both"/>
      </w:pPr>
      <w:r>
        <w:rPr>
          <w:rFonts w:ascii="Times New Roman" w:hAnsi="Times New Roman" w:cs="Times New Roman" w:eastAsia="Times New Roman"/>
          <w:b w:val="0"/>
          <w:sz w:val="24"/>
        </w:rPr>
        <w:t>La vulnérabilité peut également provenir d’une interaction qui dépasse le seul modèle géotechnique. Le cas de Tacoma Narrows, analysé à la section I.3.5, est rappelé ici pour ne pas réduire tous les désordres à un problème de fondation : la photographie documente la rupture du tablier par un phénomène aérodynamique, non un affouillement.</w:t>
      </w:r>
    </w:p>
    <w:p>
      <w:pPr>
        <w:keepNext/>
        <w:jc w:val="center"/>
      </w:pPr>
      <w:r>
        <w:drawing>
          <wp:inline xmlns:a="http://schemas.openxmlformats.org/drawingml/2006/main" xmlns:pic="http://schemas.openxmlformats.org/drawingml/2006/picture">
            <wp:extent cx="3034145" cy="2493818"/>
            <wp:docPr id="47" name="Picture 47"/>
            <wp:cNvGraphicFramePr>
              <a:graphicFrameLocks noChangeAspect="1"/>
            </wp:cNvGraphicFramePr>
            <a:graphic>
              <a:graphicData uri="http://schemas.openxmlformats.org/drawingml/2006/picture">
                <pic:pic>
                  <pic:nvPicPr>
                    <pic:cNvPr id="0" name="photo_tacoma_collapse.png"/>
                    <pic:cNvPicPr/>
                  </pic:nvPicPr>
                  <pic:blipFill>
                    <a:blip r:embed="rId77"/>
                    <a:stretch>
                      <a:fillRect/>
                    </a:stretch>
                  </pic:blipFill>
                  <pic:spPr>
                    <a:xfrm>
                      <a:off x="0" y="0"/>
                      <a:ext cx="3034145" cy="2493818"/>
                    </a:xfrm>
                    <a:prstGeom prst="rect"/>
                  </pic:spPr>
                </pic:pic>
              </a:graphicData>
            </a:graphic>
          </wp:inline>
        </w:drawing>
      </w:r>
    </w:p>
    <w:p>
      <w:bookmarkStart w:id="86" w:name="BM_FIGIV_8"/>
      <w:pPr>
        <w:jc w:val="center"/>
      </w:pPr>
      <w:r>
        <w:rPr>
          <w:rFonts w:ascii="Times New Roman" w:hAnsi="Times New Roman" w:cs="Times New Roman" w:eastAsia="Times New Roman"/>
          <w:b/>
          <w:sz w:val="20"/>
        </w:rPr>
        <w:t>Figure IV.8 — Rupture du tablier de Tacoma Narrows le 7 novembre 1940 : interaction vent–structure</w:t>
      </w:r>
      <w:bookmarkEnd w:id="86"/>
    </w:p>
    <w:p>
      <w:pPr>
        <w:jc w:val="right"/>
      </w:pPr>
      <w:r>
        <w:rPr>
          <w:rFonts w:ascii="Times New Roman" w:hAnsi="Times New Roman" w:cs="Times New Roman" w:eastAsia="Times New Roman"/>
          <w:b w:val="0"/>
          <w:color w:val="59636B"/>
          <w:sz w:val="20"/>
        </w:rPr>
        <w:t>Source : photographie d’archive, « Tacoma-narrows-bridge-collapse.jpg », Wikimedia Commons, domaine public.</w:t>
      </w:r>
    </w:p>
    <w:p>
      <w:pPr>
        <w:jc w:val="both"/>
      </w:pPr>
      <w:r>
        <w:rPr>
          <w:rFonts w:ascii="Times New Roman" w:hAnsi="Times New Roman" w:cs="Times New Roman" w:eastAsia="Times New Roman"/>
          <w:b w:val="0"/>
          <w:sz w:val="24"/>
        </w:rPr>
        <w:t>Les archives de l’USDA permettent de distinguer des mécanismes qui ne doivent pas être réunis sous le terme générique d’« érosion » : affouillement d’appuis d’un pont, puis perte d’un remblai de ponceau associée à un piping et à l’affouillement. Le second exemple reste explicitement un ponceau, et non un pont.</w:t>
      </w:r>
    </w:p>
    <w:p>
      <w:pPr>
        <w:keepNext/>
        <w:jc w:val="center"/>
      </w:pPr>
      <w:r>
        <w:drawing>
          <wp:inline xmlns:a="http://schemas.openxmlformats.org/drawingml/2006/main" xmlns:pic="http://schemas.openxmlformats.org/drawingml/2006/picture">
            <wp:extent cx="5760000" cy="2496000"/>
            <wp:docPr id="48" name="Picture 48"/>
            <wp:cNvGraphicFramePr>
              <a:graphicFrameLocks noChangeAspect="1"/>
            </wp:cNvGraphicFramePr>
            <a:graphic>
              <a:graphicData uri="http://schemas.openxmlformats.org/drawingml/2006/picture">
                <pic:pic>
                  <pic:nvPicPr>
                    <pic:cNvPr id="0" name="photo_scour_piping_usfs.png"/>
                    <pic:cNvPicPr/>
                  </pic:nvPicPr>
                  <pic:blipFill>
                    <a:blip r:embed="rId78"/>
                    <a:stretch>
                      <a:fillRect/>
                    </a:stretch>
                  </pic:blipFill>
                  <pic:spPr>
                    <a:xfrm>
                      <a:off x="0" y="0"/>
                      <a:ext cx="5760000" cy="2496000"/>
                    </a:xfrm>
                    <a:prstGeom prst="rect"/>
                  </pic:spPr>
                </pic:pic>
              </a:graphicData>
            </a:graphic>
          </wp:inline>
        </w:drawing>
      </w:r>
    </w:p>
    <w:p>
      <w:bookmarkStart w:id="87" w:name="BM_FIGIV_9"/>
      <w:pPr>
        <w:jc w:val="center"/>
      </w:pPr>
      <w:r>
        <w:rPr>
          <w:rFonts w:ascii="Times New Roman" w:hAnsi="Times New Roman" w:cs="Times New Roman" w:eastAsia="Times New Roman"/>
          <w:b/>
          <w:sz w:val="20"/>
        </w:rPr>
        <w:t>Figure IV.9 — Conséquences hydrauliques documentées : (a) rupture du Little Salmon River Bridge après affouillement ; (b) rupture du remblai d’un ponceau à Moss Creek après piping et affouillement</w:t>
      </w:r>
      <w:bookmarkEnd w:id="87"/>
    </w:p>
    <w:p>
      <w:pPr>
        <w:jc w:val="right"/>
      </w:pPr>
      <w:r>
        <w:rPr>
          <w:rFonts w:ascii="Times New Roman" w:hAnsi="Times New Roman" w:cs="Times New Roman" w:eastAsia="Times New Roman"/>
          <w:b w:val="0"/>
          <w:color w:val="59636B"/>
          <w:sz w:val="20"/>
        </w:rPr>
        <w:t>Source : USDA Forest Service, « Bridge Scour Evaluation » (1998), figures 1 et 8 ; crue de janvier 1997 pour le panneau (a).</w:t>
      </w:r>
    </w:p>
    <w:p>
      <w:pPr>
        <w:jc w:val="both"/>
      </w:pPr>
      <w:r>
        <w:rPr>
          <w:rFonts w:ascii="Times New Roman" w:hAnsi="Times New Roman" w:cs="Times New Roman" w:eastAsia="Times New Roman"/>
          <w:b w:val="0"/>
          <w:sz w:val="24"/>
        </w:rPr>
        <w:t>L’affouillement du remblai de culée peut compromettre l’accès sans détruire immédiatement la structure porteuse. La photographie suivante illustre ce scénario et justifie d’inspecter les remblais, les murs en aile et les appuis ensemble.</w:t>
      </w:r>
    </w:p>
    <w:p>
      <w:pPr>
        <w:keepNext/>
        <w:jc w:val="center"/>
      </w:pPr>
      <w:r>
        <w:drawing>
          <wp:inline xmlns:a="http://schemas.openxmlformats.org/drawingml/2006/main" xmlns:pic="http://schemas.openxmlformats.org/drawingml/2006/picture">
            <wp:extent cx="3158836" cy="2394065"/>
            <wp:docPr id="49" name="Picture 49"/>
            <wp:cNvGraphicFramePr>
              <a:graphicFrameLocks noChangeAspect="1"/>
            </wp:cNvGraphicFramePr>
            <a:graphic>
              <a:graphicData uri="http://schemas.openxmlformats.org/drawingml/2006/picture">
                <pic:pic>
                  <pic:nvPicPr>
                    <pic:cNvPr id="0" name="photo_monture_fill_failure.png"/>
                    <pic:cNvPicPr/>
                  </pic:nvPicPr>
                  <pic:blipFill>
                    <a:blip r:embed="rId79"/>
                    <a:stretch>
                      <a:fillRect/>
                    </a:stretch>
                  </pic:blipFill>
                  <pic:spPr>
                    <a:xfrm>
                      <a:off x="0" y="0"/>
                      <a:ext cx="3158836" cy="2394065"/>
                    </a:xfrm>
                    <a:prstGeom prst="rect"/>
                  </pic:spPr>
                </pic:pic>
              </a:graphicData>
            </a:graphic>
          </wp:inline>
        </w:drawing>
      </w:r>
    </w:p>
    <w:p>
      <w:bookmarkStart w:id="88" w:name="BM_FIGIV_10"/>
      <w:pPr>
        <w:jc w:val="center"/>
      </w:pPr>
      <w:r>
        <w:rPr>
          <w:rFonts w:ascii="Times New Roman" w:hAnsi="Times New Roman" w:cs="Times New Roman" w:eastAsia="Times New Roman"/>
          <w:b/>
          <w:sz w:val="20"/>
        </w:rPr>
        <w:t>Figure IV.10 — Rupture du remblai de culée au Monture Bridge, avec dommages limités à l’ouvrage</w:t>
      </w:r>
      <w:bookmarkEnd w:id="88"/>
    </w:p>
    <w:p>
      <w:pPr>
        <w:jc w:val="right"/>
      </w:pPr>
      <w:r>
        <w:rPr>
          <w:rFonts w:ascii="Times New Roman" w:hAnsi="Times New Roman" w:cs="Times New Roman" w:eastAsia="Times New Roman"/>
          <w:b w:val="0"/>
          <w:color w:val="59636B"/>
          <w:sz w:val="20"/>
        </w:rPr>
        <w:t>Source : USDA Forest Service, « Bridge Scour Evaluation » (1998), figure 15.</w:t>
      </w:r>
    </w:p>
    <w:p>
      <w:pPr>
        <w:jc w:val="both"/>
      </w:pPr>
      <w:r>
        <w:rPr>
          <w:rFonts w:ascii="Times New Roman" w:hAnsi="Times New Roman" w:cs="Times New Roman" w:eastAsia="Times New Roman"/>
          <w:b w:val="0"/>
          <w:sz w:val="24"/>
        </w:rPr>
        <w:t>En matière de durabilité, l’écaillage est un indice visuel à localiser et à suivre. La photographie ne démontre pas à elle seule son origine chimique ou l’état des armatures ; l’enquête doit associer matériaux, exposition et mesures complémentaires.</w:t>
      </w:r>
    </w:p>
    <w:p>
      <w:pPr>
        <w:keepNext/>
        <w:jc w:val="center"/>
      </w:pPr>
      <w:r>
        <w:drawing>
          <wp:inline xmlns:a="http://schemas.openxmlformats.org/drawingml/2006/main" xmlns:pic="http://schemas.openxmlformats.org/drawingml/2006/picture">
            <wp:extent cx="4156363" cy="3117272"/>
            <wp:docPr id="50" name="Picture 50"/>
            <wp:cNvGraphicFramePr>
              <a:graphicFrameLocks noChangeAspect="1"/>
            </wp:cNvGraphicFramePr>
            <a:graphic>
              <a:graphicData uri="http://schemas.openxmlformats.org/drawingml/2006/picture">
                <pic:pic>
                  <pic:nvPicPr>
                    <pic:cNvPr id="0" name="photo_bridge_spalling.png"/>
                    <pic:cNvPicPr/>
                  </pic:nvPicPr>
                  <pic:blipFill>
                    <a:blip r:embed="rId80"/>
                    <a:stretch>
                      <a:fillRect/>
                    </a:stretch>
                  </pic:blipFill>
                  <pic:spPr>
                    <a:xfrm>
                      <a:off x="0" y="0"/>
                      <a:ext cx="4156363" cy="3117272"/>
                    </a:xfrm>
                    <a:prstGeom prst="rect"/>
                  </pic:spPr>
                </pic:pic>
              </a:graphicData>
            </a:graphic>
          </wp:inline>
        </w:drawing>
      </w:r>
    </w:p>
    <w:p>
      <w:bookmarkStart w:id="89" w:name="BM_FIGIV_11"/>
      <w:pPr>
        <w:jc w:val="center"/>
      </w:pPr>
      <w:r>
        <w:rPr>
          <w:rFonts w:ascii="Times New Roman" w:hAnsi="Times New Roman" w:cs="Times New Roman" w:eastAsia="Times New Roman"/>
          <w:b/>
          <w:sz w:val="20"/>
        </w:rPr>
        <w:t>Figure IV.11 — Écaillage du béton au Lewis River Bridge : exemple d’indice visuel à documenter</w:t>
      </w:r>
      <w:bookmarkEnd w:id="89"/>
    </w:p>
    <w:p>
      <w:pPr>
        <w:jc w:val="right"/>
      </w:pPr>
      <w:r>
        <w:rPr>
          <w:rFonts w:ascii="Times New Roman" w:hAnsi="Times New Roman" w:cs="Times New Roman" w:eastAsia="Times New Roman"/>
          <w:b w:val="0"/>
          <w:color w:val="59636B"/>
          <w:sz w:val="20"/>
        </w:rPr>
        <w:t>Source : NPS / Doug Madsen, Yellowstone National Park, domaine public, via Wikimedia Commons.</w:t>
      </w:r>
    </w:p>
    <w:p>
      <w:pPr>
        <w:pStyle w:val="Heading2"/>
      </w:pPr>
      <w:r>
        <w:rPr>
          <w:rFonts w:ascii="Times New Roman" w:hAnsi="Times New Roman" w:cs="Times New Roman" w:eastAsia="Times New Roman"/>
          <w:b/>
          <w:color w:val="1F4E79"/>
          <w:sz w:val="24"/>
        </w:rPr>
        <w:t>IV.12 Conclusion du chapitre</w:t>
      </w:r>
    </w:p>
    <w:p>
      <w:pPr>
        <w:jc w:val="both"/>
      </w:pPr>
      <w:r>
        <w:rPr>
          <w:rFonts w:ascii="Times New Roman" w:hAnsi="Times New Roman" w:cs="Times New Roman" w:eastAsia="Times New Roman"/>
          <w:b w:val="0"/>
          <w:sz w:val="24"/>
        </w:rPr>
        <w:t>Les risques propres aux ponts sont liés par l’eau, les déplacements du terrain et le fonctionnement de l’ouvrage. Leur analyse exige des scénarios et des preuves plutôt qu’une liste de pourcentages ou de seuils généraux. L’affouillement est décomposé sans confusion, l’érosion interne est distinguée du renard seul, la liquéfaction est reliée à la sollicitation et aux conséquences, et l’agressivité est rattachée à l’exposition et aux matériaux.</w:t>
      </w:r>
    </w:p>
    <w:p>
      <w:pPr>
        <w:jc w:val="both"/>
      </w:pPr>
      <w:r>
        <w:rPr>
          <w:rFonts w:ascii="Times New Roman" w:hAnsi="Times New Roman" w:cs="Times New Roman" w:eastAsia="Times New Roman"/>
          <w:b w:val="0"/>
          <w:sz w:val="24"/>
        </w:rPr>
        <w:t>La priorisation conserve les incertitudes et les interactions. Elle prépare le passage à l’interprétation des données et au dimensionnement : le chapitre V examine comment choisir les paramètres, comparer les fondations et organiser la revue pendant l’exécution.</w:t>
      </w:r>
    </w:p>
    <w:p>
      <w:pPr>
        <w:sectPr>
          <w:headerReference w:type="default" r:id="rId66"/>
          <w:footerReference w:type="default" r:id="rId67"/>
          <w:headerReference w:type="first" r:id="rId68"/>
          <w:footerReference w:type="first" r:id="rId69"/>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V — INTERPRÉTATION DES DONNÉES ET DÉCISIONS DE FONDATION</w:t>
      </w:r>
    </w:p>
    <w:p>
      <w:pPr>
        <w:pStyle w:val="Heading2"/>
      </w:pPr>
      <w:r>
        <w:rPr>
          <w:rFonts w:ascii="Times New Roman" w:hAnsi="Times New Roman" w:cs="Times New Roman" w:eastAsia="Times New Roman"/>
          <w:b/>
          <w:color w:val="1F4E79"/>
          <w:sz w:val="24"/>
        </w:rPr>
        <w:t>V.1 Introduction</w:t>
      </w:r>
    </w:p>
    <w:p>
      <w:pPr>
        <w:jc w:val="both"/>
      </w:pPr>
      <w:r>
        <w:rPr>
          <w:rFonts w:ascii="Times New Roman" w:hAnsi="Times New Roman" w:cs="Times New Roman" w:eastAsia="Times New Roman"/>
          <w:b w:val="0"/>
          <w:sz w:val="24"/>
        </w:rPr>
        <w:t>L’interprétation géotechnique transforme des observations en paramètres et des paramètres en décisions. Chaque transformation ajoute des hypothèses. Une valeur mesurée devient une valeur corrigée, puis une estimation de propriété, une valeur caractéristique et enfin une valeur de calcul. La traçabilité de cette chaîne est aussi importante que le résultat final.</w:t>
      </w:r>
    </w:p>
    <w:p>
      <w:pPr>
        <w:jc w:val="both"/>
      </w:pPr>
      <w:r>
        <w:rPr>
          <w:rFonts w:ascii="Times New Roman" w:hAnsi="Times New Roman" w:cs="Times New Roman" w:eastAsia="Times New Roman"/>
          <w:b w:val="0"/>
          <w:sz w:val="24"/>
        </w:rPr>
        <w:t>Ce chapitre propose une méthode pour valider les données, construire le modèle, choisir les paramètres et comparer les fondations. Il distingue portance, déplacements, constructibilité et durabilité. Les approches de calcul sont présentées sans mélanger les coefficients de référentiels différents ni appliquer deux fois une réduction déjà incluse dans une résistance de calcul.</w:t>
      </w:r>
    </w:p>
    <w:p>
      <w:pPr>
        <w:pStyle w:val="Heading2"/>
      </w:pPr>
      <w:r>
        <w:rPr>
          <w:rFonts w:ascii="Times New Roman" w:hAnsi="Times New Roman" w:cs="Times New Roman" w:eastAsia="Times New Roman"/>
          <w:b/>
          <w:color w:val="1F4E79"/>
          <w:sz w:val="24"/>
        </w:rPr>
        <w:t>V.2 Validation et organisation des données</w:t>
      </w:r>
    </w:p>
    <w:p>
      <w:pPr>
        <w:pStyle w:val="Heading3"/>
      </w:pPr>
      <w:r>
        <w:rPr>
          <w:rFonts w:ascii="Times New Roman" w:hAnsi="Times New Roman" w:cs="Times New Roman" w:eastAsia="Times New Roman"/>
          <w:b/>
          <w:color w:val="233741"/>
          <w:sz w:val="24"/>
        </w:rPr>
        <w:t>V.2.1 Quatre niveaux de valeurs</w:t>
      </w:r>
    </w:p>
    <w:p>
      <w:pPr>
        <w:jc w:val="both"/>
      </w:pPr>
      <w:r>
        <w:rPr>
          <w:rFonts w:ascii="Times New Roman" w:hAnsi="Times New Roman" w:cs="Times New Roman" w:eastAsia="Times New Roman"/>
          <w:b w:val="0"/>
          <w:sz w:val="24"/>
        </w:rPr>
        <w:t>Le premier niveau est la donnée brute : nombre de coups, pression, profondeur, teneur en eau ou déplacement. Le deuxième est la donnée corrigée, par exemple une résistance SPT normalisée en énergie ou une résistance CPT corrigée de la pression interstitielle. Le troisième est le paramètre interprété : cohésion, angle de frottement, module ou perméabilité. Le quatrième est la valeur retenue pour un état limite.</w:t>
      </w:r>
    </w:p>
    <w:p>
      <w:pPr>
        <w:jc w:val="both"/>
      </w:pPr>
      <w:r>
        <w:rPr>
          <w:rFonts w:ascii="Times New Roman" w:hAnsi="Times New Roman" w:cs="Times New Roman" w:eastAsia="Times New Roman"/>
          <w:b w:val="0"/>
          <w:sz w:val="24"/>
        </w:rPr>
        <w:t>Les formules, unités et références utilisées à chaque étape doivent être conservées. Une feuille de synthèse qui ne contient que le paramètre final empêche de vérifier si une correction a été appliquée deux fois ou si une corrélation sort de son domaine.</w:t>
      </w:r>
    </w:p>
    <w:p>
      <w:pPr>
        <w:pStyle w:val="Heading3"/>
      </w:pPr>
      <w:r>
        <w:rPr>
          <w:rFonts w:ascii="Times New Roman" w:hAnsi="Times New Roman" w:cs="Times New Roman" w:eastAsia="Times New Roman"/>
          <w:b/>
          <w:color w:val="233741"/>
          <w:sz w:val="24"/>
        </w:rPr>
        <w:t>V.2.2 Cohérence et valeurs atypiques</w:t>
      </w:r>
    </w:p>
    <w:p>
      <w:pPr>
        <w:jc w:val="both"/>
      </w:pPr>
      <w:r>
        <w:rPr>
          <w:rFonts w:ascii="Times New Roman" w:hAnsi="Times New Roman" w:cs="Times New Roman" w:eastAsia="Times New Roman"/>
          <w:b w:val="0"/>
          <w:sz w:val="24"/>
        </w:rPr>
        <w:t>Les résultats sont comparés par couche, par méthode et par position. Une valeur atypique peut être une erreur, mais aussi le signe d’une lentille, d’une cavité ou d’une variation de faciès. Elle n’est ni supprimée ni moyennée automatiquement.</w:t>
      </w:r>
    </w:p>
    <w:p>
      <w:pPr>
        <w:jc w:val="both"/>
      </w:pPr>
      <w:r>
        <w:rPr>
          <w:rFonts w:ascii="Times New Roman" w:hAnsi="Times New Roman" w:cs="Times New Roman" w:eastAsia="Times New Roman"/>
          <w:b w:val="0"/>
          <w:sz w:val="24"/>
        </w:rPr>
        <w:t>Les contrôles comprennent la répétition d’essais, la comparaison avec les logs, l’examen des enregistrements bruts et la vérification des calculs. Si une valeur est écartée, la raison technique est documentée. Si elle est conservée, son influence sur le modèle et les décisions est examinée.</w:t>
      </w:r>
    </w:p>
    <w:p>
      <w:pPr>
        <w:pStyle w:val="Heading3"/>
      </w:pPr>
      <w:r>
        <w:rPr>
          <w:rFonts w:ascii="Times New Roman" w:hAnsi="Times New Roman" w:cs="Times New Roman" w:eastAsia="Times New Roman"/>
          <w:b/>
          <w:color w:val="233741"/>
          <w:sz w:val="24"/>
        </w:rPr>
        <w:t>V.2.3 Du point au volume</w:t>
      </w:r>
    </w:p>
    <w:p>
      <w:pPr>
        <w:jc w:val="both"/>
      </w:pPr>
      <w:r>
        <w:rPr>
          <w:rFonts w:ascii="Times New Roman" w:hAnsi="Times New Roman" w:cs="Times New Roman" w:eastAsia="Times New Roman"/>
          <w:b w:val="0"/>
          <w:sz w:val="24"/>
        </w:rPr>
        <w:t>Le passage à un volume de sol exige une interprétation spatiale. Les unités sont définies à partir de la géologie et de la réponse mécanique, pas seulement d’une classification par couleur ou par valeur de pénétration. Les transitions et les zones incertaines sont représentées.</w:t>
      </w:r>
    </w:p>
    <w:p>
      <w:pPr>
        <w:jc w:val="both"/>
      </w:pPr>
      <w:r>
        <w:rPr>
          <w:rFonts w:ascii="Times New Roman" w:hAnsi="Times New Roman" w:cs="Times New Roman" w:eastAsia="Times New Roman"/>
          <w:b w:val="0"/>
          <w:sz w:val="24"/>
        </w:rPr>
        <w:t>La figure V.1 rappelle le rôle du modèle conceptuel dans cette transformation. Il relie les mesures aux décisions et reçoit en retour les questions soulevées par le projet.</w:t>
      </w:r>
    </w:p>
    <w:p>
      <w:pPr>
        <w:keepNext/>
        <w:jc w:val="center"/>
      </w:pPr>
      <w:r>
        <w:drawing>
          <wp:inline xmlns:a="http://schemas.openxmlformats.org/drawingml/2006/main" xmlns:pic="http://schemas.openxmlformats.org/drawingml/2006/picture">
            <wp:extent cx="5760000" cy="3510139"/>
            <wp:docPr id="51" name="Picture 51"/>
            <wp:cNvGraphicFramePr>
              <a:graphicFrameLocks noChangeAspect="1"/>
            </wp:cNvGraphicFramePr>
            <a:graphic>
              <a:graphicData uri="http://schemas.openxmlformats.org/drawingml/2006/picture">
                <pic:pic>
                  <pic:nvPicPr>
                    <pic:cNvPr id="0" name="data_to_ground_model.png"/>
                    <pic:cNvPicPr/>
                  </pic:nvPicPr>
                  <pic:blipFill>
                    <a:blip r:embed="rId85"/>
                    <a:stretch>
                      <a:fillRect/>
                    </a:stretch>
                  </pic:blipFill>
                  <pic:spPr>
                    <a:xfrm>
                      <a:off x="0" y="0"/>
                      <a:ext cx="5760000" cy="3510139"/>
                    </a:xfrm>
                    <a:prstGeom prst="rect"/>
                  </pic:spPr>
                </pic:pic>
              </a:graphicData>
            </a:graphic>
          </wp:inline>
        </w:drawing>
      </w:r>
    </w:p>
    <w:p>
      <w:bookmarkStart w:id="90" w:name="BM_FIGV_1"/>
      <w:pPr>
        <w:jc w:val="center"/>
      </w:pPr>
      <w:r>
        <w:rPr>
          <w:rFonts w:ascii="Times New Roman" w:hAnsi="Times New Roman" w:cs="Times New Roman" w:eastAsia="Times New Roman"/>
          <w:b/>
          <w:sz w:val="20"/>
        </w:rPr>
        <w:t>Figure V.1 — Des observations au modèle géotechnique puis aux décisions de fondation</w:t>
      </w:r>
      <w:bookmarkEnd w:id="90"/>
    </w:p>
    <w:p>
      <w:pPr>
        <w:jc w:val="right"/>
      </w:pPr>
      <w:r>
        <w:rPr>
          <w:rFonts w:ascii="Times New Roman" w:hAnsi="Times New Roman" w:cs="Times New Roman" w:eastAsia="Times New Roman"/>
          <w:b w:val="0"/>
          <w:color w:val="59636B"/>
          <w:sz w:val="20"/>
        </w:rPr>
        <w:t>Source : schéma original de synthèse.</w:t>
      </w:r>
    </w:p>
    <w:p>
      <w:bookmarkStart w:id="91" w:name="BM_TABV_1"/>
      <w:pPr>
        <w:keepNext/>
        <w:jc w:val="center"/>
      </w:pPr>
      <w:r>
        <w:rPr>
          <w:rFonts w:ascii="Times New Roman" w:hAnsi="Times New Roman" w:cs="Times New Roman" w:eastAsia="Times New Roman"/>
          <w:b/>
          <w:sz w:val="20"/>
        </w:rPr>
        <w:t>Tableau V.1 — Traçabilité des valeurs géotechniques</w:t>
      </w:r>
      <w:bookmarkEnd w:id="9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Niveau</w:t>
            </w:r>
          </w:p>
        </w:tc>
        <w:tc>
          <w:tcPr>
            <w:tcW w:type="dxa" w:w="3628"/>
            <w:vAlign w:val="center"/>
            <w:shd w:fill="1F4E79"/>
          </w:tcPr>
          <w:p>
            <w:pPr>
              <w:spacing w:after="30"/>
            </w:pPr>
            <w:r>
              <w:rPr>
                <w:rFonts w:ascii="Times New Roman" w:hAnsi="Times New Roman" w:cs="Times New Roman" w:eastAsia="Times New Roman"/>
                <w:b/>
                <w:color w:val="FFFFFF"/>
                <w:sz w:val="17"/>
              </w:rPr>
              <w:t>Exemple</w:t>
            </w:r>
          </w:p>
        </w:tc>
        <w:tc>
          <w:tcPr>
            <w:tcW w:type="dxa" w:w="3628"/>
            <w:vAlign w:val="center"/>
            <w:shd w:fill="1F4E79"/>
          </w:tcPr>
          <w:p>
            <w:pPr>
              <w:spacing w:after="30"/>
            </w:pPr>
            <w:r>
              <w:rPr>
                <w:rFonts w:ascii="Times New Roman" w:hAnsi="Times New Roman" w:cs="Times New Roman" w:eastAsia="Times New Roman"/>
                <w:b/>
                <w:color w:val="FFFFFF"/>
                <w:sz w:val="17"/>
              </w:rPr>
              <w:t>Information à conserver</w:t>
            </w:r>
          </w:p>
        </w:tc>
      </w:tr>
      <w:tr>
        <w:trPr>
          <w:cantSplit/>
        </w:trPr>
        <w:tc>
          <w:tcPr>
            <w:tcW w:type="dxa" w:w="1814"/>
            <w:vAlign w:val="center"/>
          </w:tcPr>
          <w:p>
            <w:pPr>
              <w:spacing w:after="30"/>
            </w:pPr>
            <w:r>
              <w:rPr>
                <w:rFonts w:ascii="Times New Roman" w:hAnsi="Times New Roman" w:cs="Times New Roman" w:eastAsia="Times New Roman"/>
                <w:b w:val="0"/>
                <w:sz w:val="17"/>
              </w:rPr>
              <w:t>Mesure brute</w:t>
            </w:r>
          </w:p>
        </w:tc>
        <w:tc>
          <w:tcPr>
            <w:tcW w:type="dxa" w:w="3628"/>
            <w:vAlign w:val="center"/>
          </w:tcPr>
          <w:p>
            <w:pPr>
              <w:spacing w:after="30"/>
            </w:pPr>
            <w:r>
              <w:rPr>
                <w:rFonts w:ascii="Times New Roman" w:hAnsi="Times New Roman" w:cs="Times New Roman" w:eastAsia="Times New Roman"/>
                <w:b w:val="0"/>
                <w:sz w:val="17"/>
              </w:rPr>
              <w:t>N, qc, pression PMT, lecture œdométrique</w:t>
            </w:r>
          </w:p>
        </w:tc>
        <w:tc>
          <w:tcPr>
            <w:tcW w:type="dxa" w:w="3628"/>
            <w:vAlign w:val="center"/>
          </w:tcPr>
          <w:p>
            <w:pPr>
              <w:spacing w:after="30"/>
            </w:pPr>
            <w:r>
              <w:rPr>
                <w:rFonts w:ascii="Times New Roman" w:hAnsi="Times New Roman" w:cs="Times New Roman" w:eastAsia="Times New Roman"/>
                <w:b w:val="0"/>
                <w:sz w:val="17"/>
              </w:rPr>
              <w:t>Appareil, date, position, profondeur, unité et conditions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Valeur corrigée</w:t>
            </w:r>
          </w:p>
        </w:tc>
        <w:tc>
          <w:tcPr>
            <w:tcW w:type="dxa" w:w="3628"/>
            <w:vAlign w:val="center"/>
            <w:shd w:fill="F3F6F8"/>
          </w:tcPr>
          <w:p>
            <w:pPr>
              <w:spacing w:after="30"/>
            </w:pPr>
            <w:r>
              <w:rPr>
                <w:rFonts w:ascii="Times New Roman" w:hAnsi="Times New Roman" w:cs="Times New Roman" w:eastAsia="Times New Roman"/>
                <w:b w:val="0"/>
                <w:sz w:val="17"/>
              </w:rPr>
              <w:t>N₆₀, qt ou courbe pression–volume corrigée</w:t>
            </w:r>
          </w:p>
        </w:tc>
        <w:tc>
          <w:tcPr>
            <w:tcW w:type="dxa" w:w="3628"/>
            <w:vAlign w:val="center"/>
            <w:shd w:fill="F3F6F8"/>
          </w:tcPr>
          <w:p>
            <w:pPr>
              <w:spacing w:after="30"/>
            </w:pPr>
            <w:r>
              <w:rPr>
                <w:rFonts w:ascii="Times New Roman" w:hAnsi="Times New Roman" w:cs="Times New Roman" w:eastAsia="Times New Roman"/>
                <w:b w:val="0"/>
                <w:sz w:val="17"/>
              </w:rPr>
              <w:t>Formule, coefficient, référence et contrôle qualité</w:t>
            </w:r>
          </w:p>
        </w:tc>
      </w:tr>
      <w:tr>
        <w:trPr>
          <w:cantSplit/>
        </w:trPr>
        <w:tc>
          <w:tcPr>
            <w:tcW w:type="dxa" w:w="1814"/>
            <w:vAlign w:val="center"/>
          </w:tcPr>
          <w:p>
            <w:pPr>
              <w:spacing w:after="30"/>
            </w:pPr>
            <w:r>
              <w:rPr>
                <w:rFonts w:ascii="Times New Roman" w:hAnsi="Times New Roman" w:cs="Times New Roman" w:eastAsia="Times New Roman"/>
                <w:b w:val="0"/>
                <w:sz w:val="17"/>
              </w:rPr>
              <w:t>Paramètre interprété</w:t>
            </w:r>
          </w:p>
        </w:tc>
        <w:tc>
          <w:tcPr>
            <w:tcW w:type="dxa" w:w="3628"/>
            <w:vAlign w:val="center"/>
          </w:tcPr>
          <w:p>
            <w:pPr>
              <w:spacing w:after="30"/>
            </w:pPr>
            <w:r>
              <w:rPr>
                <w:rFonts w:ascii="Times New Roman" w:hAnsi="Times New Roman" w:cs="Times New Roman" w:eastAsia="Times New Roman"/>
                <w:b w:val="0"/>
                <w:sz w:val="17"/>
              </w:rPr>
              <w:t>c′, φ′, cu, module ou perméabilité</w:t>
            </w:r>
          </w:p>
        </w:tc>
        <w:tc>
          <w:tcPr>
            <w:tcW w:type="dxa" w:w="3628"/>
            <w:vAlign w:val="center"/>
          </w:tcPr>
          <w:p>
            <w:pPr>
              <w:spacing w:after="30"/>
            </w:pPr>
            <w:r>
              <w:rPr>
                <w:rFonts w:ascii="Times New Roman" w:hAnsi="Times New Roman" w:cs="Times New Roman" w:eastAsia="Times New Roman"/>
                <w:b w:val="0"/>
                <w:sz w:val="17"/>
              </w:rPr>
              <w:t>Modèle, corrélation, domaine et incertitude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Valeur représentative d’unité</w:t>
            </w:r>
          </w:p>
        </w:tc>
        <w:tc>
          <w:tcPr>
            <w:tcW w:type="dxa" w:w="3628"/>
            <w:vAlign w:val="center"/>
            <w:shd w:fill="F3F6F8"/>
          </w:tcPr>
          <w:p>
            <w:pPr>
              <w:spacing w:after="30"/>
            </w:pPr>
            <w:r>
              <w:rPr>
                <w:rFonts w:ascii="Times New Roman" w:hAnsi="Times New Roman" w:cs="Times New Roman" w:eastAsia="Times New Roman"/>
                <w:b w:val="0"/>
                <w:sz w:val="17"/>
              </w:rPr>
              <w:t>Distribution ou estimation prudente pour une couche</w:t>
            </w:r>
          </w:p>
        </w:tc>
        <w:tc>
          <w:tcPr>
            <w:tcW w:type="dxa" w:w="3628"/>
            <w:vAlign w:val="center"/>
            <w:shd w:fill="F3F6F8"/>
          </w:tcPr>
          <w:p>
            <w:pPr>
              <w:spacing w:after="30"/>
            </w:pPr>
            <w:r>
              <w:rPr>
                <w:rFonts w:ascii="Times New Roman" w:hAnsi="Times New Roman" w:cs="Times New Roman" w:eastAsia="Times New Roman"/>
                <w:b w:val="0"/>
                <w:sz w:val="17"/>
              </w:rPr>
              <w:t>Volume concerné, variabilité et nombre de données</w:t>
            </w:r>
          </w:p>
        </w:tc>
      </w:tr>
      <w:tr>
        <w:trPr>
          <w:cantSplit/>
        </w:trPr>
        <w:tc>
          <w:tcPr>
            <w:tcW w:type="dxa" w:w="1814"/>
            <w:vAlign w:val="center"/>
          </w:tcPr>
          <w:p>
            <w:pPr>
              <w:spacing w:after="30"/>
            </w:pPr>
            <w:r>
              <w:rPr>
                <w:rFonts w:ascii="Times New Roman" w:hAnsi="Times New Roman" w:cs="Times New Roman" w:eastAsia="Times New Roman"/>
                <w:b w:val="0"/>
                <w:sz w:val="17"/>
              </w:rPr>
              <w:t>Valeur caractéristique</w:t>
            </w:r>
          </w:p>
        </w:tc>
        <w:tc>
          <w:tcPr>
            <w:tcW w:type="dxa" w:w="3628"/>
            <w:vAlign w:val="center"/>
          </w:tcPr>
          <w:p>
            <w:pPr>
              <w:spacing w:after="30"/>
            </w:pPr>
            <w:r>
              <w:rPr>
                <w:rFonts w:ascii="Times New Roman" w:hAnsi="Times New Roman" w:cs="Times New Roman" w:eastAsia="Times New Roman"/>
                <w:b w:val="0"/>
                <w:sz w:val="17"/>
              </w:rPr>
              <w:t>Valeur affectant un état limite</w:t>
            </w:r>
          </w:p>
        </w:tc>
        <w:tc>
          <w:tcPr>
            <w:tcW w:type="dxa" w:w="3628"/>
            <w:vAlign w:val="center"/>
          </w:tcPr>
          <w:p>
            <w:pPr>
              <w:spacing w:after="30"/>
            </w:pPr>
            <w:r>
              <w:rPr>
                <w:rFonts w:ascii="Times New Roman" w:hAnsi="Times New Roman" w:cs="Times New Roman" w:eastAsia="Times New Roman"/>
                <w:b w:val="0"/>
                <w:sz w:val="17"/>
              </w:rPr>
              <w:t>État limite, scénario et justification du choix</w:t>
            </w:r>
          </w:p>
        </w:tc>
      </w:tr>
      <w:tr>
        <w:trPr>
          <w:cantSplit/>
        </w:trPr>
        <w:tc>
          <w:tcPr>
            <w:tcW w:type="dxa" w:w="1814"/>
            <w:vAlign w:val="center"/>
            <w:shd w:fill="F3F6F8"/>
          </w:tcPr>
          <w:p>
            <w:pPr>
              <w:spacing w:after="30"/>
            </w:pPr>
            <w:r>
              <w:rPr>
                <w:rFonts w:ascii="Times New Roman" w:hAnsi="Times New Roman" w:cs="Times New Roman" w:eastAsia="Times New Roman"/>
                <w:b w:val="0"/>
                <w:sz w:val="17"/>
              </w:rPr>
              <w:t>Valeur de calcul</w:t>
            </w:r>
          </w:p>
        </w:tc>
        <w:tc>
          <w:tcPr>
            <w:tcW w:type="dxa" w:w="3628"/>
            <w:vAlign w:val="center"/>
            <w:shd w:fill="F3F6F8"/>
          </w:tcPr>
          <w:p>
            <w:pPr>
              <w:spacing w:after="30"/>
            </w:pPr>
            <w:r>
              <w:rPr>
                <w:rFonts w:ascii="Times New Roman" w:hAnsi="Times New Roman" w:cs="Times New Roman" w:eastAsia="Times New Roman"/>
                <w:b w:val="0"/>
                <w:sz w:val="17"/>
              </w:rPr>
              <w:t>Valeur après application du référentiel</w:t>
            </w:r>
          </w:p>
        </w:tc>
        <w:tc>
          <w:tcPr>
            <w:tcW w:type="dxa" w:w="3628"/>
            <w:vAlign w:val="center"/>
            <w:shd w:fill="F3F6F8"/>
          </w:tcPr>
          <w:p>
            <w:pPr>
              <w:spacing w:after="30"/>
            </w:pPr>
            <w:r>
              <w:rPr>
                <w:rFonts w:ascii="Times New Roman" w:hAnsi="Times New Roman" w:cs="Times New Roman" w:eastAsia="Times New Roman"/>
                <w:b w:val="0"/>
                <w:sz w:val="17"/>
              </w:rPr>
              <w:t>Facteur utilisé et preuve qu’il n’est pas appliqué deux fois</w:t>
            </w:r>
          </w:p>
        </w:tc>
      </w:tr>
    </w:tbl>
    <w:p>
      <w:pPr>
        <w:spacing w:after="20"/>
      </w:pPr>
    </w:p>
    <w:p>
      <w:pPr>
        <w:pStyle w:val="Heading2"/>
      </w:pPr>
      <w:r>
        <w:rPr>
          <w:rFonts w:ascii="Times New Roman" w:hAnsi="Times New Roman" w:cs="Times New Roman" w:eastAsia="Times New Roman"/>
          <w:b/>
          <w:color w:val="1F4E79"/>
          <w:sz w:val="24"/>
        </w:rPr>
        <w:t>V.3 Choix des paramètres et incertitudes</w:t>
      </w:r>
    </w:p>
    <w:p>
      <w:pPr>
        <w:pStyle w:val="Heading3"/>
      </w:pPr>
      <w:r>
        <w:rPr>
          <w:rFonts w:ascii="Times New Roman" w:hAnsi="Times New Roman" w:cs="Times New Roman" w:eastAsia="Times New Roman"/>
          <w:b/>
          <w:color w:val="233741"/>
          <w:sz w:val="24"/>
        </w:rPr>
        <w:t>V.3.1 Paramètres mesurés et corrélations</w:t>
      </w:r>
    </w:p>
    <w:p>
      <w:pPr>
        <w:jc w:val="both"/>
      </w:pPr>
      <w:r>
        <w:rPr>
          <w:rFonts w:ascii="Times New Roman" w:hAnsi="Times New Roman" w:cs="Times New Roman" w:eastAsia="Times New Roman"/>
          <w:b w:val="0"/>
          <w:sz w:val="24"/>
        </w:rPr>
        <w:t>Certaines propriétés sont mesurées directement dans les limites d’un essai ; d’autres sont estimées par corrélations. La résistance non drainée d’un scissomètre, le module d’un essai triaxial et la perméabilité d’un essai de pompage ne relèvent pas du même niveau d’interprétation qu’un angle de frottement estimé à partir de N.</w:t>
      </w:r>
    </w:p>
    <w:p>
      <w:pPr>
        <w:jc w:val="both"/>
      </w:pPr>
      <w:r>
        <w:rPr>
          <w:rFonts w:ascii="Times New Roman" w:hAnsi="Times New Roman" w:cs="Times New Roman" w:eastAsia="Times New Roman"/>
          <w:b w:val="0"/>
          <w:sz w:val="24"/>
        </w:rPr>
        <w:t>Les corrélations doivent être choisies selon le type de sol, la plage de mesure, la procédure et le paramètre recherché. Leur dispersion est examinée. WROTH (1984) souligne l’importance des principes d’interprétation des essais in situ ; les travaux de PHOON et KULHAWY (1999a, 1999b) fournissent une base pour analyser la variabilité géotechnique.</w:t>
      </w:r>
    </w:p>
    <w:p>
      <w:pPr>
        <w:jc w:val="both"/>
      </w:pPr>
      <w:r>
        <w:rPr>
          <w:rFonts w:ascii="Times New Roman" w:hAnsi="Times New Roman" w:cs="Times New Roman" w:eastAsia="Times New Roman"/>
          <w:b w:val="0"/>
          <w:sz w:val="24"/>
        </w:rPr>
        <w:t>Un paramètre issu d’une corrélation n’acquiert pas une précision supérieure parce qu’il est écrit avec plusieurs décimales. Le nombre de chiffres significatifs doit rester compatible avec la connaissance.</w:t>
      </w:r>
    </w:p>
    <w:p>
      <w:pPr>
        <w:pStyle w:val="Heading3"/>
      </w:pPr>
      <w:r>
        <w:rPr>
          <w:rFonts w:ascii="Times New Roman" w:hAnsi="Times New Roman" w:cs="Times New Roman" w:eastAsia="Times New Roman"/>
          <w:b/>
          <w:color w:val="233741"/>
          <w:sz w:val="24"/>
        </w:rPr>
        <w:t>V.3.2 Valeur caractéristique et état limite</w:t>
      </w:r>
    </w:p>
    <w:p>
      <w:pPr>
        <w:jc w:val="both"/>
      </w:pPr>
      <w:r>
        <w:rPr>
          <w:rFonts w:ascii="Times New Roman" w:hAnsi="Times New Roman" w:cs="Times New Roman" w:eastAsia="Times New Roman"/>
          <w:b w:val="0"/>
          <w:sz w:val="24"/>
        </w:rPr>
        <w:t>L’Eurocode 7 définit la valeur caractéristique comme une estimation prudente de la valeur qui affecte l’occurrence de l’état limite considéré (CEN, 2004). Cette définition ne se réduit pas à « moyenne moins 1,64 écart-type ». Lorsque des méthodes statistiques sont utilisées, le texte distingue notamment l’estimation d’une moyenne et celle d’une valeur locale, avec des niveaux de confiance et de fractiles adaptés.</w:t>
      </w:r>
    </w:p>
    <w:p>
      <w:pPr>
        <w:jc w:val="both"/>
      </w:pPr>
      <w:r>
        <w:rPr>
          <w:rFonts w:ascii="Times New Roman" w:hAnsi="Times New Roman" w:cs="Times New Roman" w:eastAsia="Times New Roman"/>
          <w:b w:val="0"/>
          <w:sz w:val="24"/>
        </w:rPr>
        <w:t>Le choix dépend donc du mécanisme : une rupture mobilisant un grand volume peut être gouvernée par une propriété moyenne sur ce volume, tandis qu’un mécanisme local peut dépendre d’une valeur défavorable localisée. Le nombre de données, leur indépendance et la représentativité de l’échantillon sont examinés.</w:t>
      </w:r>
    </w:p>
    <w:p>
      <w:pPr>
        <w:jc w:val="both"/>
      </w:pPr>
      <w:r>
        <w:rPr>
          <w:rFonts w:ascii="Times New Roman" w:hAnsi="Times New Roman" w:cs="Times New Roman" w:eastAsia="Times New Roman"/>
          <w:b w:val="0"/>
          <w:sz w:val="24"/>
        </w:rPr>
        <w:t>Une distribution normale et un coefficient 1,64 ne sont appliqués que si le modèle statistique est justifié et si la question posée correspond à ce fractile. Dans tous les cas, le jugement géologique et l’expérience établie complètent le calcul.</w:t>
      </w:r>
    </w:p>
    <w:p>
      <w:pPr>
        <w:pStyle w:val="Heading3"/>
      </w:pPr>
      <w:r>
        <w:rPr>
          <w:rFonts w:ascii="Times New Roman" w:hAnsi="Times New Roman" w:cs="Times New Roman" w:eastAsia="Times New Roman"/>
          <w:b/>
          <w:color w:val="233741"/>
          <w:sz w:val="24"/>
        </w:rPr>
        <w:t>V.3.3 Variabilité et scénarios</w:t>
      </w:r>
    </w:p>
    <w:p>
      <w:pPr>
        <w:jc w:val="both"/>
      </w:pPr>
      <w:r>
        <w:rPr>
          <w:rFonts w:ascii="Times New Roman" w:hAnsi="Times New Roman" w:cs="Times New Roman" w:eastAsia="Times New Roman"/>
          <w:b w:val="0"/>
          <w:sz w:val="24"/>
        </w:rPr>
        <w:t>La variabilité comprend la dispersion spatiale, les erreurs de mesure, l’incertitude des corrélations et l’incertitude du modèle. Elle peut être explorée par des scénarios bas, central et haut, par des analyses de sensibilité ou par une approche probabiliste lorsque les données le justifient.</w:t>
      </w:r>
    </w:p>
    <w:p>
      <w:pPr>
        <w:jc w:val="both"/>
      </w:pPr>
      <w:r>
        <w:rPr>
          <w:rFonts w:ascii="Times New Roman" w:hAnsi="Times New Roman" w:cs="Times New Roman" w:eastAsia="Times New Roman"/>
          <w:b w:val="0"/>
          <w:sz w:val="24"/>
        </w:rPr>
        <w:t>Un coefficient de variation unique n’est pas attribué à un paramètre pour tous les sites. Les valeurs bibliographiques décrivent des populations particulières. Le projet doit plutôt indiquer quelles variations changent réellement la décision : niveau d’ancrage, type de fondation, épaisseur de couche compressible ou cote d’affouillement.</w:t>
      </w:r>
    </w:p>
    <w:p>
      <w:bookmarkStart w:id="92" w:name="BM_TABV_2"/>
      <w:pPr>
        <w:keepNext/>
        <w:jc w:val="center"/>
      </w:pPr>
      <w:r>
        <w:rPr>
          <w:rFonts w:ascii="Times New Roman" w:hAnsi="Times New Roman" w:cs="Times New Roman" w:eastAsia="Times New Roman"/>
          <w:b/>
          <w:sz w:val="20"/>
        </w:rPr>
        <w:t>Tableau V.2 — Types d’incertitude et réponses possibles</w:t>
      </w:r>
      <w:bookmarkEnd w:id="92"/>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Source d’incertitude</w:t>
            </w:r>
          </w:p>
        </w:tc>
        <w:tc>
          <w:tcPr>
            <w:tcW w:type="dxa" w:w="3628"/>
            <w:vAlign w:val="center"/>
            <w:shd w:fill="1F4E79"/>
          </w:tcPr>
          <w:p>
            <w:pPr>
              <w:spacing w:after="30"/>
            </w:pPr>
            <w:r>
              <w:rPr>
                <w:rFonts w:ascii="Times New Roman" w:hAnsi="Times New Roman" w:cs="Times New Roman" w:eastAsia="Times New Roman"/>
                <w:b/>
                <w:color w:val="FFFFFF"/>
                <w:sz w:val="17"/>
              </w:rPr>
              <w:t>Exemple</w:t>
            </w:r>
          </w:p>
        </w:tc>
        <w:tc>
          <w:tcPr>
            <w:tcW w:type="dxa" w:w="3628"/>
            <w:vAlign w:val="center"/>
            <w:shd w:fill="1F4E79"/>
          </w:tcPr>
          <w:p>
            <w:pPr>
              <w:spacing w:after="30"/>
            </w:pPr>
            <w:r>
              <w:rPr>
                <w:rFonts w:ascii="Times New Roman" w:hAnsi="Times New Roman" w:cs="Times New Roman" w:eastAsia="Times New Roman"/>
                <w:b/>
                <w:color w:val="FFFFFF"/>
                <w:sz w:val="17"/>
              </w:rPr>
              <w:t>Réponse méthodologique</w:t>
            </w:r>
          </w:p>
        </w:tc>
      </w:tr>
      <w:tr>
        <w:trPr>
          <w:cantSplit/>
        </w:trPr>
        <w:tc>
          <w:tcPr>
            <w:tcW w:type="dxa" w:w="1814"/>
            <w:vAlign w:val="center"/>
          </w:tcPr>
          <w:p>
            <w:pPr>
              <w:spacing w:after="30"/>
            </w:pPr>
            <w:r>
              <w:rPr>
                <w:rFonts w:ascii="Times New Roman" w:hAnsi="Times New Roman" w:cs="Times New Roman" w:eastAsia="Times New Roman"/>
                <w:b w:val="0"/>
                <w:sz w:val="17"/>
              </w:rPr>
              <w:t>Mesure</w:t>
            </w:r>
          </w:p>
        </w:tc>
        <w:tc>
          <w:tcPr>
            <w:tcW w:type="dxa" w:w="3628"/>
            <w:vAlign w:val="center"/>
          </w:tcPr>
          <w:p>
            <w:pPr>
              <w:spacing w:after="30"/>
            </w:pPr>
            <w:r>
              <w:rPr>
                <w:rFonts w:ascii="Times New Roman" w:hAnsi="Times New Roman" w:cs="Times New Roman" w:eastAsia="Times New Roman"/>
                <w:b w:val="0"/>
                <w:sz w:val="17"/>
              </w:rPr>
              <w:t>Énergie SPT inconnue ou capteur mal saturé</w:t>
            </w:r>
          </w:p>
        </w:tc>
        <w:tc>
          <w:tcPr>
            <w:tcW w:type="dxa" w:w="3628"/>
            <w:vAlign w:val="center"/>
          </w:tcPr>
          <w:p>
            <w:pPr>
              <w:spacing w:after="30"/>
            </w:pPr>
            <w:r>
              <w:rPr>
                <w:rFonts w:ascii="Times New Roman" w:hAnsi="Times New Roman" w:cs="Times New Roman" w:eastAsia="Times New Roman"/>
                <w:b w:val="0"/>
                <w:sz w:val="17"/>
              </w:rPr>
              <w:t>Contrôle, calibration et limitation de l’usage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Échantillonnage</w:t>
            </w:r>
          </w:p>
        </w:tc>
        <w:tc>
          <w:tcPr>
            <w:tcW w:type="dxa" w:w="3628"/>
            <w:vAlign w:val="center"/>
            <w:shd w:fill="F3F6F8"/>
          </w:tcPr>
          <w:p>
            <w:pPr>
              <w:spacing w:after="30"/>
            </w:pPr>
            <w:r>
              <w:rPr>
                <w:rFonts w:ascii="Times New Roman" w:hAnsi="Times New Roman" w:cs="Times New Roman" w:eastAsia="Times New Roman"/>
                <w:b w:val="0"/>
                <w:sz w:val="17"/>
              </w:rPr>
              <w:t>Couche peu représentée ou appui non accessible</w:t>
            </w:r>
          </w:p>
        </w:tc>
        <w:tc>
          <w:tcPr>
            <w:tcW w:type="dxa" w:w="3628"/>
            <w:vAlign w:val="center"/>
            <w:shd w:fill="F3F6F8"/>
          </w:tcPr>
          <w:p>
            <w:pPr>
              <w:spacing w:after="30"/>
            </w:pPr>
            <w:r>
              <w:rPr>
                <w:rFonts w:ascii="Times New Roman" w:hAnsi="Times New Roman" w:cs="Times New Roman" w:eastAsia="Times New Roman"/>
                <w:b w:val="0"/>
                <w:sz w:val="17"/>
              </w:rPr>
              <w:t>Investigation ciblée ou scénario explicite</w:t>
            </w:r>
          </w:p>
        </w:tc>
      </w:tr>
      <w:tr>
        <w:trPr>
          <w:cantSplit/>
        </w:trPr>
        <w:tc>
          <w:tcPr>
            <w:tcW w:type="dxa" w:w="1814"/>
            <w:vAlign w:val="center"/>
          </w:tcPr>
          <w:p>
            <w:pPr>
              <w:spacing w:after="30"/>
            </w:pPr>
            <w:r>
              <w:rPr>
                <w:rFonts w:ascii="Times New Roman" w:hAnsi="Times New Roman" w:cs="Times New Roman" w:eastAsia="Times New Roman"/>
                <w:b w:val="0"/>
                <w:sz w:val="17"/>
              </w:rPr>
              <w:t>Corrélation</w:t>
            </w:r>
          </w:p>
        </w:tc>
        <w:tc>
          <w:tcPr>
            <w:tcW w:type="dxa" w:w="3628"/>
            <w:vAlign w:val="center"/>
          </w:tcPr>
          <w:p>
            <w:pPr>
              <w:spacing w:after="30"/>
            </w:pPr>
            <w:r>
              <w:rPr>
                <w:rFonts w:ascii="Times New Roman" w:hAnsi="Times New Roman" w:cs="Times New Roman" w:eastAsia="Times New Roman"/>
                <w:b w:val="0"/>
                <w:sz w:val="17"/>
              </w:rPr>
              <w:t>Paramètre estimé hors de la base initiale</w:t>
            </w:r>
          </w:p>
        </w:tc>
        <w:tc>
          <w:tcPr>
            <w:tcW w:type="dxa" w:w="3628"/>
            <w:vAlign w:val="center"/>
          </w:tcPr>
          <w:p>
            <w:pPr>
              <w:spacing w:after="30"/>
            </w:pPr>
            <w:r>
              <w:rPr>
                <w:rFonts w:ascii="Times New Roman" w:hAnsi="Times New Roman" w:cs="Times New Roman" w:eastAsia="Times New Roman"/>
                <w:b w:val="0"/>
                <w:sz w:val="17"/>
              </w:rPr>
              <w:t>Autre essai, comparaison et prudence documentée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Modèle spatial</w:t>
            </w:r>
          </w:p>
        </w:tc>
        <w:tc>
          <w:tcPr>
            <w:tcW w:type="dxa" w:w="3628"/>
            <w:vAlign w:val="center"/>
            <w:shd w:fill="F3F6F8"/>
          </w:tcPr>
          <w:p>
            <w:pPr>
              <w:spacing w:after="30"/>
            </w:pPr>
            <w:r>
              <w:rPr>
                <w:rFonts w:ascii="Times New Roman" w:hAnsi="Times New Roman" w:cs="Times New Roman" w:eastAsia="Times New Roman"/>
                <w:b w:val="0"/>
                <w:sz w:val="17"/>
              </w:rPr>
              <w:t>Limite de couche interpolée</w:t>
            </w:r>
          </w:p>
        </w:tc>
        <w:tc>
          <w:tcPr>
            <w:tcW w:type="dxa" w:w="3628"/>
            <w:vAlign w:val="center"/>
            <w:shd w:fill="F3F6F8"/>
          </w:tcPr>
          <w:p>
            <w:pPr>
              <w:spacing w:after="30"/>
            </w:pPr>
            <w:r>
              <w:rPr>
                <w:rFonts w:ascii="Times New Roman" w:hAnsi="Times New Roman" w:cs="Times New Roman" w:eastAsia="Times New Roman"/>
                <w:b w:val="0"/>
                <w:sz w:val="17"/>
              </w:rPr>
              <w:t>Variante de géométrie et investigation complémentaire</w:t>
            </w:r>
          </w:p>
        </w:tc>
      </w:tr>
      <w:tr>
        <w:trPr>
          <w:cantSplit/>
        </w:trPr>
        <w:tc>
          <w:tcPr>
            <w:tcW w:type="dxa" w:w="1814"/>
            <w:vAlign w:val="center"/>
          </w:tcPr>
          <w:p>
            <w:pPr>
              <w:spacing w:after="30"/>
            </w:pPr>
            <w:r>
              <w:rPr>
                <w:rFonts w:ascii="Times New Roman" w:hAnsi="Times New Roman" w:cs="Times New Roman" w:eastAsia="Times New Roman"/>
                <w:b w:val="0"/>
                <w:sz w:val="17"/>
              </w:rPr>
              <w:t>Modèle de comportement</w:t>
            </w:r>
          </w:p>
        </w:tc>
        <w:tc>
          <w:tcPr>
            <w:tcW w:type="dxa" w:w="3628"/>
            <w:vAlign w:val="center"/>
          </w:tcPr>
          <w:p>
            <w:pPr>
              <w:spacing w:after="30"/>
            </w:pPr>
            <w:r>
              <w:rPr>
                <w:rFonts w:ascii="Times New Roman" w:hAnsi="Times New Roman" w:cs="Times New Roman" w:eastAsia="Times New Roman"/>
                <w:b w:val="0"/>
                <w:sz w:val="17"/>
              </w:rPr>
              <w:t>Drainage ou mécanisme mal choisi</w:t>
            </w:r>
          </w:p>
        </w:tc>
        <w:tc>
          <w:tcPr>
            <w:tcW w:type="dxa" w:w="3628"/>
            <w:vAlign w:val="center"/>
          </w:tcPr>
          <w:p>
            <w:pPr>
              <w:spacing w:after="30"/>
            </w:pPr>
            <w:r>
              <w:rPr>
                <w:rFonts w:ascii="Times New Roman" w:hAnsi="Times New Roman" w:cs="Times New Roman" w:eastAsia="Times New Roman"/>
                <w:b w:val="0"/>
                <w:sz w:val="17"/>
              </w:rPr>
              <w:t>Comparaison de modèles et revue par les disciplines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Scénario</w:t>
            </w:r>
          </w:p>
        </w:tc>
        <w:tc>
          <w:tcPr>
            <w:tcW w:type="dxa" w:w="3628"/>
            <w:vAlign w:val="center"/>
            <w:shd w:fill="F3F6F8"/>
          </w:tcPr>
          <w:p>
            <w:pPr>
              <w:spacing w:after="30"/>
            </w:pPr>
            <w:r>
              <w:rPr>
                <w:rFonts w:ascii="Times New Roman" w:hAnsi="Times New Roman" w:cs="Times New Roman" w:eastAsia="Times New Roman"/>
                <w:b w:val="0"/>
                <w:sz w:val="17"/>
              </w:rPr>
              <w:t>Crue, nappe ou phasage futur incertain</w:t>
            </w:r>
          </w:p>
        </w:tc>
        <w:tc>
          <w:tcPr>
            <w:tcW w:type="dxa" w:w="3628"/>
            <w:vAlign w:val="center"/>
            <w:shd w:fill="F3F6F8"/>
          </w:tcPr>
          <w:p>
            <w:pPr>
              <w:spacing w:after="30"/>
            </w:pPr>
            <w:r>
              <w:rPr>
                <w:rFonts w:ascii="Times New Roman" w:hAnsi="Times New Roman" w:cs="Times New Roman" w:eastAsia="Times New Roman"/>
                <w:b w:val="0"/>
                <w:sz w:val="17"/>
              </w:rPr>
              <w:t>Analyse de sensibilité et suivi</w:t>
            </w:r>
          </w:p>
        </w:tc>
      </w:tr>
    </w:tbl>
    <w:p>
      <w:pPr>
        <w:spacing w:after="20"/>
      </w:pPr>
    </w:p>
    <w:p>
      <w:pPr>
        <w:pStyle w:val="Heading2"/>
      </w:pPr>
      <w:r>
        <w:rPr>
          <w:rFonts w:ascii="Times New Roman" w:hAnsi="Times New Roman" w:cs="Times New Roman" w:eastAsia="Times New Roman"/>
          <w:b/>
          <w:color w:val="1F4E79"/>
          <w:sz w:val="24"/>
        </w:rPr>
        <w:t>V.4 Vérifications des fondations superficielles</w:t>
      </w:r>
    </w:p>
    <w:p>
      <w:pPr>
        <w:pStyle w:val="Heading3"/>
      </w:pPr>
      <w:r>
        <w:rPr>
          <w:rFonts w:ascii="Times New Roman" w:hAnsi="Times New Roman" w:cs="Times New Roman" w:eastAsia="Times New Roman"/>
          <w:b/>
          <w:color w:val="233741"/>
          <w:sz w:val="24"/>
        </w:rPr>
        <w:t>V.4.1 Mécanismes à examiner</w:t>
      </w:r>
    </w:p>
    <w:p>
      <w:pPr>
        <w:jc w:val="both"/>
      </w:pPr>
      <w:r>
        <w:rPr>
          <w:rFonts w:ascii="Times New Roman" w:hAnsi="Times New Roman" w:cs="Times New Roman" w:eastAsia="Times New Roman"/>
          <w:b w:val="0"/>
          <w:sz w:val="24"/>
        </w:rPr>
        <w:t>Une fondation superficielle est vérifiée pour la rupture de portance, le glissement, le renversement ou l’équilibre global selon la configuration, ainsi que pour les déplacements et la durabilité. La géométrie de calcul inclut l’encastrement disponible dans la situation considérée. Sous une pile exposée à l’affouillement, le terrain potentiellement perdu n’est pas compté comme un soutien permanent sans justification.</w:t>
      </w:r>
    </w:p>
    <w:p>
      <w:pPr>
        <w:jc w:val="both"/>
      </w:pPr>
      <w:r>
        <w:rPr>
          <w:rFonts w:ascii="Times New Roman" w:hAnsi="Times New Roman" w:cs="Times New Roman" w:eastAsia="Times New Roman"/>
          <w:b w:val="0"/>
          <w:sz w:val="24"/>
        </w:rPr>
        <w:t>Les conditions drainées et non drainées sont distinguées. Les paramètres effectifs c′ et φ′ conviennent à une analyse en contraintes effectives ; une analyse non drainée utilise une résistance adaptée et un modèle correspondant. La même expression ne doit pas être utilisée en remplaçant simplement un paramètre sans revoir le mécanisme.</w:t>
      </w:r>
    </w:p>
    <w:p>
      <w:pPr>
        <w:pStyle w:val="Heading3"/>
      </w:pPr>
      <w:r>
        <w:rPr>
          <w:rFonts w:ascii="Times New Roman" w:hAnsi="Times New Roman" w:cs="Times New Roman" w:eastAsia="Times New Roman"/>
          <w:b/>
          <w:color w:val="233741"/>
          <w:sz w:val="24"/>
        </w:rPr>
        <w:t>V.4.2 Forme classique de portance drainée</w:t>
      </w:r>
    </w:p>
    <w:p>
      <w:pPr>
        <w:jc w:val="both"/>
      </w:pPr>
      <w:r>
        <w:rPr>
          <w:rFonts w:ascii="Times New Roman" w:hAnsi="Times New Roman" w:cs="Times New Roman" w:eastAsia="Times New Roman"/>
          <w:b w:val="0"/>
          <w:sz w:val="24"/>
        </w:rPr>
        <w:t>Pour une semelle filante, une charge verticale centrée et un modèle classique de rupture générale en conditions drainées, une expression de référence est :</w:t>
      </w:r>
    </w:p>
    <w:p>
      <w:pPr>
        <w:jc w:val="center"/>
      </w:pPr>
      <w:r>
        <w:rPr>
          <w:rFonts w:ascii="Times New Roman" w:hAnsi="Times New Roman" w:cs="Times New Roman" w:eastAsia="Times New Roman"/>
          <w:b w:val="0"/>
          <w:sz w:val="24"/>
        </w:rPr>
        <w:t>qᵤₗₜ = c′N꜀ + q′N_q + 0,5γ′B N_γ</w:t>
      </w:r>
    </w:p>
    <w:p>
      <w:pPr>
        <w:jc w:val="both"/>
      </w:pPr>
      <w:r>
        <w:rPr>
          <w:rFonts w:ascii="Times New Roman" w:hAnsi="Times New Roman" w:cs="Times New Roman" w:eastAsia="Times New Roman"/>
          <w:b w:val="0"/>
          <w:sz w:val="24"/>
        </w:rPr>
        <w:t>c′ est la cohésion effective, q′ la contrainte effective de couverture au niveau de la base, γ′ le poids volumique pertinent, B la largeur et N꜀, N_q, N_γ les facteurs de portance de la méthode choisie. Les définitions et valeurs de ces facteurs varient selon les formulations ; ils doivent être repris d’une seule source cohérente.</w:t>
      </w:r>
    </w:p>
    <w:p>
      <w:pPr>
        <w:jc w:val="both"/>
      </w:pPr>
      <w:r>
        <w:rPr>
          <w:rFonts w:ascii="Times New Roman" w:hAnsi="Times New Roman" w:cs="Times New Roman" w:eastAsia="Times New Roman"/>
          <w:b w:val="0"/>
          <w:sz w:val="24"/>
        </w:rPr>
        <w:t>Cette forme ne tient pas compte à elle seule de l’excentrement, de l’inclinaison, de la forme, de la pente ou de la proximité d’une rive. Les extensions de MEYERHOF, HANSEN ou VESIĆ introduisent des corrections spécifiques. La notice de VESIĆ (1975) est retenue pour la discussion générale des fondations superficielles, mais aucun tableau de facteurs n’est reproduit sans recalcul et sans vérifier la formulation.</w:t>
      </w:r>
    </w:p>
    <w:p>
      <w:pPr>
        <w:pStyle w:val="Heading3"/>
      </w:pPr>
      <w:r>
        <w:rPr>
          <w:rFonts w:ascii="Times New Roman" w:hAnsi="Times New Roman" w:cs="Times New Roman" w:eastAsia="Times New Roman"/>
          <w:b/>
          <w:color w:val="233741"/>
          <w:sz w:val="24"/>
        </w:rPr>
        <w:t>V.4.3 Tassements</w:t>
      </w:r>
    </w:p>
    <w:p>
      <w:pPr>
        <w:jc w:val="both"/>
      </w:pPr>
      <w:r>
        <w:rPr>
          <w:rFonts w:ascii="Times New Roman" w:hAnsi="Times New Roman" w:cs="Times New Roman" w:eastAsia="Times New Roman"/>
          <w:b w:val="0"/>
          <w:sz w:val="24"/>
        </w:rPr>
        <w:t>Les tassements sont évalués à partir du chemin de contrainte et de la compressibilité des couches. La méthode œdométrique utilise la variation d’indice des vides et distingue recompression et compression vierge lorsque le sol est surconsolidé. Dans les sables, des approches fondées sur les essais de pénétration peuvent être employées avec leurs limites ; SCHMERTMANN (1970) constitue une référence historique pour le tassement à partir du CPT.</w:t>
      </w:r>
    </w:p>
    <w:p>
      <w:pPr>
        <w:jc w:val="both"/>
      </w:pPr>
      <w:r>
        <w:rPr>
          <w:rFonts w:ascii="Times New Roman" w:hAnsi="Times New Roman" w:cs="Times New Roman" w:eastAsia="Times New Roman"/>
          <w:b w:val="0"/>
          <w:sz w:val="24"/>
        </w:rPr>
        <w:t>Le résultat comprend une estimation des déplacements entre appuis et de leur chronologie. La comparaison aux mouvements acceptables est effectuée avec le modèle structural. Une valeur forfaitaire de tassement admissible ne remplace pas cette interaction.</w:t>
      </w:r>
    </w:p>
    <w:p>
      <w:pPr>
        <w:pStyle w:val="Heading2"/>
      </w:pPr>
      <w:r>
        <w:rPr>
          <w:rFonts w:ascii="Times New Roman" w:hAnsi="Times New Roman" w:cs="Times New Roman" w:eastAsia="Times New Roman"/>
          <w:b/>
          <w:color w:val="1F4E79"/>
          <w:sz w:val="24"/>
        </w:rPr>
        <w:t>V.5 Vérifications des fondations profondes</w:t>
      </w:r>
    </w:p>
    <w:p>
      <w:pPr>
        <w:pStyle w:val="Heading3"/>
      </w:pPr>
      <w:r>
        <w:rPr>
          <w:rFonts w:ascii="Times New Roman" w:hAnsi="Times New Roman" w:cs="Times New Roman" w:eastAsia="Times New Roman"/>
          <w:b/>
          <w:color w:val="233741"/>
          <w:sz w:val="24"/>
        </w:rPr>
        <w:t>V.5.1 Résistance axiale et mécanismes</w:t>
      </w:r>
    </w:p>
    <w:p>
      <w:pPr>
        <w:jc w:val="both"/>
      </w:pPr>
      <w:r>
        <w:rPr>
          <w:rFonts w:ascii="Times New Roman" w:hAnsi="Times New Roman" w:cs="Times New Roman" w:eastAsia="Times New Roman"/>
          <w:b w:val="0"/>
          <w:sz w:val="24"/>
        </w:rPr>
        <w:t>La résistance d’un pieu peut être décomposée en contribution de pointe et contribution de frottement latéral :</w:t>
      </w:r>
    </w:p>
    <w:p>
      <w:pPr>
        <w:jc w:val="center"/>
      </w:pPr>
      <w:r>
        <w:rPr>
          <w:rFonts w:ascii="Times New Roman" w:hAnsi="Times New Roman" w:cs="Times New Roman" w:eastAsia="Times New Roman"/>
          <w:b w:val="0"/>
          <w:sz w:val="24"/>
        </w:rPr>
        <w:t>R = R_b + R_s</w:t>
      </w:r>
    </w:p>
    <w:p>
      <w:pPr>
        <w:jc w:val="both"/>
      </w:pPr>
      <w:r>
        <w:rPr>
          <w:rFonts w:ascii="Times New Roman" w:hAnsi="Times New Roman" w:cs="Times New Roman" w:eastAsia="Times New Roman"/>
          <w:b w:val="0"/>
          <w:sz w:val="24"/>
        </w:rPr>
        <w:t>R_b est la contribution de base et R_s la contribution du fût pour le mécanisme et le niveau de déformation considérés. Cette écriture ne signifie pas que les maxima des deux contributions sont nécessairement mobilisés au même déplacement. La compatibilité des déformations et le comportement du groupe doivent être examinés.</w:t>
      </w:r>
    </w:p>
    <w:p>
      <w:pPr>
        <w:jc w:val="both"/>
      </w:pPr>
      <w:r>
        <w:rPr>
          <w:rFonts w:ascii="Times New Roman" w:hAnsi="Times New Roman" w:cs="Times New Roman" w:eastAsia="Times New Roman"/>
          <w:b w:val="0"/>
          <w:sz w:val="24"/>
        </w:rPr>
        <w:t>Le frottement négatif est traité comme une action ou un effet du tassement du sol selon le référentiel, et non ajouté arbitrairement à la résistance. Les situations de soulèvement, de chargement horizontal et de séisme exigent des modèles spécifiques. POULOS et DAVIS (1980) présentent les principes d’analyse des pieux et des groupes.</w:t>
      </w:r>
    </w:p>
    <w:p>
      <w:pPr>
        <w:pStyle w:val="Heading3"/>
      </w:pPr>
      <w:r>
        <w:rPr>
          <w:rFonts w:ascii="Times New Roman" w:hAnsi="Times New Roman" w:cs="Times New Roman" w:eastAsia="Times New Roman"/>
          <w:b/>
          <w:color w:val="233741"/>
          <w:sz w:val="24"/>
        </w:rPr>
        <w:t>V.5.2 Mode d’installation</w:t>
      </w:r>
    </w:p>
    <w:p>
      <w:pPr>
        <w:jc w:val="both"/>
      </w:pPr>
      <w:r>
        <w:rPr>
          <w:rFonts w:ascii="Times New Roman" w:hAnsi="Times New Roman" w:cs="Times New Roman" w:eastAsia="Times New Roman"/>
          <w:b w:val="0"/>
          <w:sz w:val="24"/>
        </w:rPr>
        <w:t>Le mode d’installation modifie le sol et la résistance. Les pieux battus peuvent densifier certains matériaux et générer des pressions interstitielles ; les pieux forés peuvent entraîner une décompression et un remaniement. Les paramètres issus d’une base de données pour une méthode ne sont pas transférés à une autre sans justification.</w:t>
      </w:r>
    </w:p>
    <w:p>
      <w:pPr>
        <w:jc w:val="both"/>
      </w:pPr>
      <w:r>
        <w:rPr>
          <w:rFonts w:ascii="Times New Roman" w:hAnsi="Times New Roman" w:cs="Times New Roman" w:eastAsia="Times New Roman"/>
          <w:b w:val="0"/>
          <w:sz w:val="24"/>
        </w:rPr>
        <w:t>Les guides FHWA sur les pieux battus (FHWA, 2016b, 2016c) et les ouvrages de TOMLINSON (2001) insistent sur le lien entre calcul et construction. Les refus, les reprises de battage, les enregistrements de forage et les contrôles de bétonnage apportent des informations sur la cohérence du modèle.</w:t>
      </w:r>
    </w:p>
    <w:p>
      <w:pPr>
        <w:jc w:val="both"/>
      </w:pPr>
      <w:r>
        <w:rPr>
          <w:rFonts w:ascii="Times New Roman" w:hAnsi="Times New Roman" w:cs="Times New Roman" w:eastAsia="Times New Roman"/>
          <w:b w:val="0"/>
          <w:sz w:val="24"/>
        </w:rPr>
        <w:t>Le matériel de forage conditionne la stabilité du trou, les paramètres d’exécution et les contrôles possibles. Cette foreuse à tarière photographiée à Auckland illustre un équipement de pieux de fondation ; le chantier n’est pas un pont et n’est pas attribué à l’auteur.</w:t>
      </w:r>
    </w:p>
    <w:p>
      <w:pPr>
        <w:keepNext/>
        <w:jc w:val="center"/>
      </w:pPr>
      <w:r>
        <w:drawing>
          <wp:inline xmlns:a="http://schemas.openxmlformats.org/drawingml/2006/main" xmlns:pic="http://schemas.openxmlformats.org/drawingml/2006/picture">
            <wp:extent cx="3918918" cy="5219999"/>
            <wp:docPr id="52" name="Picture 52"/>
            <wp:cNvGraphicFramePr>
              <a:graphicFrameLocks noChangeAspect="1"/>
            </wp:cNvGraphicFramePr>
            <a:graphic>
              <a:graphicData uri="http://schemas.openxmlformats.org/drawingml/2006/picture">
                <pic:pic>
                  <pic:nvPicPr>
                    <pic:cNvPr id="0" name="photo_auger_pile_rig.png"/>
                    <pic:cNvPicPr/>
                  </pic:nvPicPr>
                  <pic:blipFill>
                    <a:blip r:embed="rId86"/>
                    <a:stretch>
                      <a:fillRect/>
                    </a:stretch>
                  </pic:blipFill>
                  <pic:spPr>
                    <a:xfrm>
                      <a:off x="0" y="0"/>
                      <a:ext cx="3918918" cy="5219999"/>
                    </a:xfrm>
                    <a:prstGeom prst="rect"/>
                  </pic:spPr>
                </pic:pic>
              </a:graphicData>
            </a:graphic>
          </wp:inline>
        </w:drawing>
      </w:r>
    </w:p>
    <w:p>
      <w:bookmarkStart w:id="93" w:name="BM_FIGV_2"/>
      <w:pPr>
        <w:jc w:val="center"/>
      </w:pPr>
      <w:r>
        <w:rPr>
          <w:rFonts w:ascii="Times New Roman" w:hAnsi="Times New Roman" w:cs="Times New Roman" w:eastAsia="Times New Roman"/>
          <w:b/>
          <w:sz w:val="20"/>
        </w:rPr>
        <w:t>Figure V.2 — Foreuse à tarière pour pieux de fondation sur un chantier à Auckland (Nouvelle-Zélande)</w:t>
      </w:r>
      <w:bookmarkEnd w:id="93"/>
    </w:p>
    <w:p>
      <w:pPr>
        <w:jc w:val="right"/>
      </w:pPr>
      <w:r>
        <w:rPr>
          <w:rFonts w:ascii="Times New Roman" w:hAnsi="Times New Roman" w:cs="Times New Roman" w:eastAsia="Times New Roman"/>
          <w:b w:val="0"/>
          <w:color w:val="59636B"/>
          <w:sz w:val="20"/>
        </w:rPr>
        <w:t>Source : Ingolfson, Wikimedia Commons, domaine public.</w:t>
      </w:r>
    </w:p>
    <w:p>
      <w:pPr>
        <w:pStyle w:val="Heading3"/>
      </w:pPr>
      <w:r>
        <w:rPr>
          <w:rFonts w:ascii="Times New Roman" w:hAnsi="Times New Roman" w:cs="Times New Roman" w:eastAsia="Times New Roman"/>
          <w:b/>
          <w:color w:val="233741"/>
          <w:sz w:val="24"/>
        </w:rPr>
        <w:t>V.5.3 Déplacements et interaction</w:t>
      </w:r>
    </w:p>
    <w:p>
      <w:pPr>
        <w:jc w:val="both"/>
      </w:pPr>
      <w:r>
        <w:rPr>
          <w:rFonts w:ascii="Times New Roman" w:hAnsi="Times New Roman" w:cs="Times New Roman" w:eastAsia="Times New Roman"/>
          <w:b w:val="0"/>
          <w:sz w:val="24"/>
        </w:rPr>
        <w:t>Les vérifications incluent le tassement du pieu et du groupe, les déplacements horizontaux, les rotations et la flexion induite par les mouvements du terrain. Les réactions du sol peuvent être représentées par des relations non linéaires ou des modèles de continuum selon le niveau d’analyse requis.</w:t>
      </w:r>
    </w:p>
    <w:p>
      <w:pPr>
        <w:jc w:val="both"/>
      </w:pPr>
      <w:r>
        <w:rPr>
          <w:rFonts w:ascii="Times New Roman" w:hAnsi="Times New Roman" w:cs="Times New Roman" w:eastAsia="Times New Roman"/>
          <w:b w:val="0"/>
          <w:sz w:val="24"/>
        </w:rPr>
        <w:t>Le choix du modèle dépend de la question. Une analyse détaillée n’est utile que si les paramètres et les conditions aux limites sont suffisamment contraints. Un modèle complexe alimenté par des données arbitraires ne constitue pas une amélioration de preuve.</w:t>
      </w:r>
    </w:p>
    <w:p>
      <w:bookmarkStart w:id="94" w:name="BM_TABV_3"/>
      <w:pPr>
        <w:keepNext/>
        <w:jc w:val="center"/>
      </w:pPr>
      <w:r>
        <w:rPr>
          <w:rFonts w:ascii="Times New Roman" w:hAnsi="Times New Roman" w:cs="Times New Roman" w:eastAsia="Times New Roman"/>
          <w:b/>
          <w:sz w:val="20"/>
        </w:rPr>
        <w:t>Tableau V.3 — Principales vérifications par famille de fondation</w:t>
      </w:r>
      <w:bookmarkEnd w:id="94"/>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3024"/>
            <w:vAlign w:val="center"/>
            <w:shd w:fill="1F4E79"/>
          </w:tcPr>
          <w:p>
            <w:pPr>
              <w:spacing w:after="30"/>
            </w:pPr>
            <w:r>
              <w:rPr>
                <w:rFonts w:ascii="Times New Roman" w:hAnsi="Times New Roman" w:cs="Times New Roman" w:eastAsia="Times New Roman"/>
                <w:b/>
                <w:color w:val="FFFFFF"/>
                <w:sz w:val="17"/>
              </w:rPr>
              <w:t>Famille</w:t>
            </w:r>
          </w:p>
        </w:tc>
        <w:tc>
          <w:tcPr>
            <w:tcW w:type="dxa" w:w="3024"/>
            <w:vAlign w:val="center"/>
            <w:shd w:fill="1F4E79"/>
          </w:tcPr>
          <w:p>
            <w:pPr>
              <w:spacing w:after="30"/>
            </w:pPr>
            <w:r>
              <w:rPr>
                <w:rFonts w:ascii="Times New Roman" w:hAnsi="Times New Roman" w:cs="Times New Roman" w:eastAsia="Times New Roman"/>
                <w:b/>
                <w:color w:val="FFFFFF"/>
                <w:sz w:val="17"/>
              </w:rPr>
              <w:t>États ultimes à examiner</w:t>
            </w:r>
          </w:p>
        </w:tc>
        <w:tc>
          <w:tcPr>
            <w:tcW w:type="dxa" w:w="3024"/>
            <w:vAlign w:val="center"/>
            <w:shd w:fill="1F4E79"/>
          </w:tcPr>
          <w:p>
            <w:pPr>
              <w:spacing w:after="30"/>
            </w:pPr>
            <w:r>
              <w:rPr>
                <w:rFonts w:ascii="Times New Roman" w:hAnsi="Times New Roman" w:cs="Times New Roman" w:eastAsia="Times New Roman"/>
                <w:b/>
                <w:color w:val="FFFFFF"/>
                <w:sz w:val="17"/>
              </w:rPr>
              <w:t>États de service et autres vérifications</w:t>
            </w:r>
          </w:p>
        </w:tc>
      </w:tr>
      <w:tr>
        <w:trPr>
          <w:cantSplit/>
        </w:trPr>
        <w:tc>
          <w:tcPr>
            <w:tcW w:type="dxa" w:w="3024"/>
            <w:vAlign w:val="center"/>
          </w:tcPr>
          <w:p>
            <w:pPr>
              <w:spacing w:after="30"/>
            </w:pPr>
            <w:r>
              <w:rPr>
                <w:rFonts w:ascii="Times New Roman" w:hAnsi="Times New Roman" w:cs="Times New Roman" w:eastAsia="Times New Roman"/>
                <w:b w:val="0"/>
                <w:sz w:val="17"/>
              </w:rPr>
              <w:t>Semelle / radier</w:t>
            </w:r>
          </w:p>
        </w:tc>
        <w:tc>
          <w:tcPr>
            <w:tcW w:type="dxa" w:w="3024"/>
            <w:vAlign w:val="center"/>
          </w:tcPr>
          <w:p>
            <w:pPr>
              <w:spacing w:after="30"/>
            </w:pPr>
            <w:r>
              <w:rPr>
                <w:rFonts w:ascii="Times New Roman" w:hAnsi="Times New Roman" w:cs="Times New Roman" w:eastAsia="Times New Roman"/>
                <w:b w:val="0"/>
                <w:sz w:val="17"/>
              </w:rPr>
              <w:t>Portance, glissement, équilibre global et géométrie après érosion</w:t>
            </w:r>
          </w:p>
        </w:tc>
        <w:tc>
          <w:tcPr>
            <w:tcW w:type="dxa" w:w="3024"/>
            <w:vAlign w:val="center"/>
          </w:tcPr>
          <w:p>
            <w:pPr>
              <w:spacing w:after="30"/>
            </w:pPr>
            <w:r>
              <w:rPr>
                <w:rFonts w:ascii="Times New Roman" w:hAnsi="Times New Roman" w:cs="Times New Roman" w:eastAsia="Times New Roman"/>
                <w:b w:val="0"/>
                <w:sz w:val="17"/>
              </w:rPr>
              <w:t>Tassements, rotations, drainage, durabilité et exécution de fouille</w:t>
            </w:r>
          </w:p>
        </w:tc>
      </w:tr>
      <w:tr>
        <w:trPr>
          <w:cantSplit/>
        </w:trPr>
        <w:tc>
          <w:tcPr>
            <w:tcW w:type="dxa" w:w="3024"/>
            <w:vAlign w:val="center"/>
            <w:shd w:fill="F3F6F8"/>
          </w:tcPr>
          <w:p>
            <w:pPr>
              <w:spacing w:after="30"/>
            </w:pPr>
            <w:r>
              <w:rPr>
                <w:rFonts w:ascii="Times New Roman" w:hAnsi="Times New Roman" w:cs="Times New Roman" w:eastAsia="Times New Roman"/>
                <w:b w:val="0"/>
                <w:sz w:val="17"/>
              </w:rPr>
              <w:t>Pieux / barrettes</w:t>
            </w:r>
          </w:p>
        </w:tc>
        <w:tc>
          <w:tcPr>
            <w:tcW w:type="dxa" w:w="3024"/>
            <w:vAlign w:val="center"/>
            <w:shd w:fill="F3F6F8"/>
          </w:tcPr>
          <w:p>
            <w:pPr>
              <w:spacing w:after="30"/>
            </w:pPr>
            <w:r>
              <w:rPr>
                <w:rFonts w:ascii="Times New Roman" w:hAnsi="Times New Roman" w:cs="Times New Roman" w:eastAsia="Times New Roman"/>
                <w:b w:val="0"/>
                <w:sz w:val="17"/>
              </w:rPr>
              <w:t>Pointe, frottement, groupe, soulèvement, charges horizontales et stabilité globale</w:t>
            </w:r>
          </w:p>
        </w:tc>
        <w:tc>
          <w:tcPr>
            <w:tcW w:type="dxa" w:w="3024"/>
            <w:vAlign w:val="center"/>
            <w:shd w:fill="F3F6F8"/>
          </w:tcPr>
          <w:p>
            <w:pPr>
              <w:spacing w:after="30"/>
            </w:pPr>
            <w:r>
              <w:rPr>
                <w:rFonts w:ascii="Times New Roman" w:hAnsi="Times New Roman" w:cs="Times New Roman" w:eastAsia="Times New Roman"/>
                <w:b w:val="0"/>
                <w:sz w:val="17"/>
              </w:rPr>
              <w:t>Déplacements, frottement négatif, interaction et intégrité</w:t>
            </w:r>
          </w:p>
        </w:tc>
      </w:tr>
      <w:tr>
        <w:trPr>
          <w:cantSplit/>
        </w:trPr>
        <w:tc>
          <w:tcPr>
            <w:tcW w:type="dxa" w:w="3024"/>
            <w:vAlign w:val="center"/>
          </w:tcPr>
          <w:p>
            <w:pPr>
              <w:spacing w:after="30"/>
            </w:pPr>
            <w:r>
              <w:rPr>
                <w:rFonts w:ascii="Times New Roman" w:hAnsi="Times New Roman" w:cs="Times New Roman" w:eastAsia="Times New Roman"/>
                <w:b w:val="0"/>
                <w:sz w:val="17"/>
              </w:rPr>
              <w:t>Puits / caissons</w:t>
            </w:r>
          </w:p>
        </w:tc>
        <w:tc>
          <w:tcPr>
            <w:tcW w:type="dxa" w:w="3024"/>
            <w:vAlign w:val="center"/>
          </w:tcPr>
          <w:p>
            <w:pPr>
              <w:spacing w:after="30"/>
            </w:pPr>
            <w:r>
              <w:rPr>
                <w:rFonts w:ascii="Times New Roman" w:hAnsi="Times New Roman" w:cs="Times New Roman" w:eastAsia="Times New Roman"/>
                <w:b w:val="0"/>
                <w:sz w:val="17"/>
              </w:rPr>
              <w:t>Portance, stabilité pendant et après descente, base et fût</w:t>
            </w:r>
          </w:p>
        </w:tc>
        <w:tc>
          <w:tcPr>
            <w:tcW w:type="dxa" w:w="3024"/>
            <w:vAlign w:val="center"/>
          </w:tcPr>
          <w:p>
            <w:pPr>
              <w:spacing w:after="30"/>
            </w:pPr>
            <w:r>
              <w:rPr>
                <w:rFonts w:ascii="Times New Roman" w:hAnsi="Times New Roman" w:cs="Times New Roman" w:eastAsia="Times New Roman"/>
                <w:b w:val="0"/>
                <w:sz w:val="17"/>
              </w:rPr>
              <w:t>Contrôle du fond, déformations, étanchéité et conditions de travail</w:t>
            </w:r>
          </w:p>
        </w:tc>
      </w:tr>
      <w:tr>
        <w:trPr>
          <w:cantSplit/>
        </w:trPr>
        <w:tc>
          <w:tcPr>
            <w:tcW w:type="dxa" w:w="3024"/>
            <w:vAlign w:val="center"/>
            <w:shd w:fill="F3F6F8"/>
          </w:tcPr>
          <w:p>
            <w:pPr>
              <w:spacing w:after="30"/>
            </w:pPr>
            <w:r>
              <w:rPr>
                <w:rFonts w:ascii="Times New Roman" w:hAnsi="Times New Roman" w:cs="Times New Roman" w:eastAsia="Times New Roman"/>
                <w:b w:val="0"/>
                <w:sz w:val="17"/>
              </w:rPr>
              <w:t>Scellement dans le rocher</w:t>
            </w:r>
          </w:p>
        </w:tc>
        <w:tc>
          <w:tcPr>
            <w:tcW w:type="dxa" w:w="3024"/>
            <w:vAlign w:val="center"/>
            <w:shd w:fill="F3F6F8"/>
          </w:tcPr>
          <w:p>
            <w:pPr>
              <w:spacing w:after="30"/>
            </w:pPr>
            <w:r>
              <w:rPr>
                <w:rFonts w:ascii="Times New Roman" w:hAnsi="Times New Roman" w:cs="Times New Roman" w:eastAsia="Times New Roman"/>
                <w:b w:val="0"/>
                <w:sz w:val="17"/>
              </w:rPr>
              <w:t>Rupture du massif et de l’interface</w:t>
            </w:r>
          </w:p>
        </w:tc>
        <w:tc>
          <w:tcPr>
            <w:tcW w:type="dxa" w:w="3024"/>
            <w:vAlign w:val="center"/>
            <w:shd w:fill="F3F6F8"/>
          </w:tcPr>
          <w:p>
            <w:pPr>
              <w:spacing w:after="30"/>
            </w:pPr>
            <w:r>
              <w:rPr>
                <w:rFonts w:ascii="Times New Roman" w:hAnsi="Times New Roman" w:cs="Times New Roman" w:eastAsia="Times New Roman"/>
                <w:b w:val="0"/>
                <w:sz w:val="17"/>
              </w:rPr>
              <w:t>Discontinuités, altération, déformations et contrôle du scellement</w:t>
            </w:r>
          </w:p>
        </w:tc>
      </w:tr>
      <w:tr>
        <w:trPr>
          <w:cantSplit/>
        </w:trPr>
        <w:tc>
          <w:tcPr>
            <w:tcW w:type="dxa" w:w="3024"/>
            <w:vAlign w:val="center"/>
          </w:tcPr>
          <w:p>
            <w:pPr>
              <w:spacing w:after="30"/>
            </w:pPr>
            <w:r>
              <w:rPr>
                <w:rFonts w:ascii="Times New Roman" w:hAnsi="Times New Roman" w:cs="Times New Roman" w:eastAsia="Times New Roman"/>
                <w:b w:val="0"/>
                <w:sz w:val="17"/>
              </w:rPr>
              <w:t>Sol amélioré</w:t>
            </w:r>
          </w:p>
        </w:tc>
        <w:tc>
          <w:tcPr>
            <w:tcW w:type="dxa" w:w="3024"/>
            <w:vAlign w:val="center"/>
          </w:tcPr>
          <w:p>
            <w:pPr>
              <w:spacing w:after="30"/>
            </w:pPr>
            <w:r>
              <w:rPr>
                <w:rFonts w:ascii="Times New Roman" w:hAnsi="Times New Roman" w:cs="Times New Roman" w:eastAsia="Times New Roman"/>
                <w:b w:val="0"/>
                <w:sz w:val="17"/>
              </w:rPr>
              <w:t>Stabilité du massif traité et du système composite</w:t>
            </w:r>
          </w:p>
        </w:tc>
        <w:tc>
          <w:tcPr>
            <w:tcW w:type="dxa" w:w="3024"/>
            <w:vAlign w:val="center"/>
          </w:tcPr>
          <w:p>
            <w:pPr>
              <w:spacing w:after="30"/>
            </w:pPr>
            <w:r>
              <w:rPr>
                <w:rFonts w:ascii="Times New Roman" w:hAnsi="Times New Roman" w:cs="Times New Roman" w:eastAsia="Times New Roman"/>
                <w:b w:val="0"/>
                <w:sz w:val="17"/>
              </w:rPr>
              <w:t>Homogénéité, performance mesurée et durabilité du traitement</w:t>
            </w:r>
          </w:p>
        </w:tc>
      </w:tr>
    </w:tbl>
    <w:p>
      <w:pPr>
        <w:spacing w:after="20"/>
      </w:pPr>
    </w:p>
    <w:p>
      <w:pPr>
        <w:pStyle w:val="Heading2"/>
      </w:pPr>
      <w:r>
        <w:rPr>
          <w:rFonts w:ascii="Times New Roman" w:hAnsi="Times New Roman" w:cs="Times New Roman" w:eastAsia="Times New Roman"/>
          <w:b/>
          <w:color w:val="1F4E79"/>
          <w:sz w:val="24"/>
        </w:rPr>
        <w:t>V.6 Démarche comparative de choix</w:t>
      </w:r>
    </w:p>
    <w:p>
      <w:pPr>
        <w:jc w:val="both"/>
      </w:pPr>
      <w:r>
        <w:rPr>
          <w:rFonts w:ascii="Times New Roman" w:hAnsi="Times New Roman" w:cs="Times New Roman" w:eastAsia="Times New Roman"/>
          <w:b w:val="0"/>
          <w:sz w:val="24"/>
        </w:rPr>
        <w:t>Le choix compare des solutions complètes : fondation, méthode d’exécution, protection, contrôle et suivi. Une semelle avec protection contre l’affouillement et une fondation profonde sans entretien ne sont pas des alternatives équivalentes si leurs risques résiduels diffèrent.</w:t>
      </w:r>
    </w:p>
    <w:p>
      <w:pPr>
        <w:jc w:val="both"/>
      </w:pPr>
      <w:r>
        <w:rPr>
          <w:rFonts w:ascii="Times New Roman" w:hAnsi="Times New Roman" w:cs="Times New Roman" w:eastAsia="Times New Roman"/>
          <w:b w:val="0"/>
          <w:sz w:val="24"/>
        </w:rPr>
        <w:t>Les critères incluent la sécurité, les déplacements, la durabilité, la constructibilité, le délai, l’impact environnemental, le coût global et la capacité d’inspection. Les options écartées sont documentées avec la raison technique. Si les données sont insuffisantes pour décider, une investigation complémentaire est elle-même un résultat du processus.</w:t>
      </w:r>
    </w:p>
    <w:p>
      <w:pPr>
        <w:keepNext/>
        <w:jc w:val="center"/>
      </w:pPr>
      <w:r>
        <w:drawing>
          <wp:inline xmlns:a="http://schemas.openxmlformats.org/drawingml/2006/main" xmlns:pic="http://schemas.openxmlformats.org/drawingml/2006/picture">
            <wp:extent cx="5760000" cy="3572265"/>
            <wp:docPr id="53" name="Picture 53"/>
            <wp:cNvGraphicFramePr>
              <a:graphicFrameLocks noChangeAspect="1"/>
            </wp:cNvGraphicFramePr>
            <a:graphic>
              <a:graphicData uri="http://schemas.openxmlformats.org/drawingml/2006/picture">
                <pic:pic>
                  <pic:nvPicPr>
                    <pic:cNvPr id="0" name="foundation_selection.png"/>
                    <pic:cNvPicPr/>
                  </pic:nvPicPr>
                  <pic:blipFill>
                    <a:blip r:embed="rId87"/>
                    <a:stretch>
                      <a:fillRect/>
                    </a:stretch>
                  </pic:blipFill>
                  <pic:spPr>
                    <a:xfrm>
                      <a:off x="0" y="0"/>
                      <a:ext cx="5760000" cy="3572265"/>
                    </a:xfrm>
                    <a:prstGeom prst="rect"/>
                  </pic:spPr>
                </pic:pic>
              </a:graphicData>
            </a:graphic>
          </wp:inline>
        </w:drawing>
      </w:r>
    </w:p>
    <w:p>
      <w:bookmarkStart w:id="95" w:name="BM_FIGV_3"/>
      <w:pPr>
        <w:jc w:val="center"/>
      </w:pPr>
      <w:r>
        <w:rPr>
          <w:rFonts w:ascii="Times New Roman" w:hAnsi="Times New Roman" w:cs="Times New Roman" w:eastAsia="Times New Roman"/>
          <w:b/>
          <w:sz w:val="20"/>
        </w:rPr>
        <w:t>Figure V.3 — Comparaison des solutions de fondation et d’adaptation du site</w:t>
      </w:r>
      <w:bookmarkEnd w:id="95"/>
    </w:p>
    <w:p>
      <w:pPr>
        <w:jc w:val="right"/>
      </w:pPr>
      <w:r>
        <w:rPr>
          <w:rFonts w:ascii="Times New Roman" w:hAnsi="Times New Roman" w:cs="Times New Roman" w:eastAsia="Times New Roman"/>
          <w:b w:val="0"/>
          <w:color w:val="59636B"/>
          <w:sz w:val="20"/>
        </w:rPr>
        <w:t>Source : schéma original de synthèse.</w:t>
      </w:r>
    </w:p>
    <w:p>
      <w:bookmarkStart w:id="96" w:name="BM_TABV_4"/>
      <w:pPr>
        <w:keepNext/>
        <w:jc w:val="center"/>
      </w:pPr>
      <w:r>
        <w:rPr>
          <w:rFonts w:ascii="Times New Roman" w:hAnsi="Times New Roman" w:cs="Times New Roman" w:eastAsia="Times New Roman"/>
          <w:b/>
          <w:sz w:val="20"/>
        </w:rPr>
        <w:t>Tableau V.4 — Exemple de matrice de décision sans poids universels</w:t>
      </w:r>
      <w:bookmarkEnd w:id="96"/>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Critère</w:t>
            </w:r>
          </w:p>
        </w:tc>
        <w:tc>
          <w:tcPr>
            <w:tcW w:type="dxa" w:w="2268"/>
            <w:vAlign w:val="center"/>
            <w:shd w:fill="1F4E79"/>
          </w:tcPr>
          <w:p>
            <w:pPr>
              <w:spacing w:after="30"/>
            </w:pPr>
            <w:r>
              <w:rPr>
                <w:rFonts w:ascii="Times New Roman" w:hAnsi="Times New Roman" w:cs="Times New Roman" w:eastAsia="Times New Roman"/>
                <w:b/>
                <w:color w:val="FFFFFF"/>
                <w:sz w:val="17"/>
              </w:rPr>
              <w:t>Question de comparaison</w:t>
            </w:r>
          </w:p>
        </w:tc>
        <w:tc>
          <w:tcPr>
            <w:tcW w:type="dxa" w:w="2268"/>
            <w:vAlign w:val="center"/>
            <w:shd w:fill="1F4E79"/>
          </w:tcPr>
          <w:p>
            <w:pPr>
              <w:spacing w:after="30"/>
            </w:pPr>
            <w:r>
              <w:rPr>
                <w:rFonts w:ascii="Times New Roman" w:hAnsi="Times New Roman" w:cs="Times New Roman" w:eastAsia="Times New Roman"/>
                <w:b/>
                <w:color w:val="FFFFFF"/>
                <w:sz w:val="17"/>
              </w:rPr>
              <w:t>Preuve attendue</w:t>
            </w:r>
          </w:p>
        </w:tc>
        <w:tc>
          <w:tcPr>
            <w:tcW w:type="dxa" w:w="2268"/>
            <w:vAlign w:val="center"/>
            <w:shd w:fill="1F4E79"/>
          </w:tcPr>
          <w:p>
            <w:pPr>
              <w:spacing w:after="30"/>
            </w:pPr>
            <w:r>
              <w:rPr>
                <w:rFonts w:ascii="Times New Roman" w:hAnsi="Times New Roman" w:cs="Times New Roman" w:eastAsia="Times New Roman"/>
                <w:b/>
                <w:color w:val="FFFFFF"/>
                <w:sz w:val="17"/>
              </w:rPr>
              <w:t>Conséquence d’une lacune</w:t>
            </w:r>
          </w:p>
        </w:tc>
      </w:tr>
      <w:tr>
        <w:trPr>
          <w:cantSplit/>
        </w:trPr>
        <w:tc>
          <w:tcPr>
            <w:tcW w:type="dxa" w:w="2268"/>
            <w:vAlign w:val="center"/>
          </w:tcPr>
          <w:p>
            <w:pPr>
              <w:spacing w:after="30"/>
            </w:pPr>
            <w:r>
              <w:rPr>
                <w:rFonts w:ascii="Times New Roman" w:hAnsi="Times New Roman" w:cs="Times New Roman" w:eastAsia="Times New Roman"/>
                <w:b w:val="0"/>
                <w:sz w:val="17"/>
              </w:rPr>
              <w:t>Sécurité géotechnique</w:t>
            </w:r>
          </w:p>
        </w:tc>
        <w:tc>
          <w:tcPr>
            <w:tcW w:type="dxa" w:w="2268"/>
            <w:vAlign w:val="center"/>
          </w:tcPr>
          <w:p>
            <w:pPr>
              <w:spacing w:after="30"/>
            </w:pPr>
            <w:r>
              <w:rPr>
                <w:rFonts w:ascii="Times New Roman" w:hAnsi="Times New Roman" w:cs="Times New Roman" w:eastAsia="Times New Roman"/>
                <w:b w:val="0"/>
                <w:sz w:val="17"/>
              </w:rPr>
              <w:t>Les mécanismes ultimes sont-ils vérifiés ?</w:t>
            </w:r>
          </w:p>
        </w:tc>
        <w:tc>
          <w:tcPr>
            <w:tcW w:type="dxa" w:w="2268"/>
            <w:vAlign w:val="center"/>
          </w:tcPr>
          <w:p>
            <w:pPr>
              <w:spacing w:after="30"/>
            </w:pPr>
            <w:r>
              <w:rPr>
                <w:rFonts w:ascii="Times New Roman" w:hAnsi="Times New Roman" w:cs="Times New Roman" w:eastAsia="Times New Roman"/>
                <w:b w:val="0"/>
                <w:sz w:val="17"/>
              </w:rPr>
              <w:t>Modèles, paramètres et scénarios</w:t>
            </w:r>
          </w:p>
        </w:tc>
        <w:tc>
          <w:tcPr>
            <w:tcW w:type="dxa" w:w="2268"/>
            <w:vAlign w:val="center"/>
          </w:tcPr>
          <w:p>
            <w:pPr>
              <w:spacing w:after="30"/>
            </w:pPr>
            <w:r>
              <w:rPr>
                <w:rFonts w:ascii="Times New Roman" w:hAnsi="Times New Roman" w:cs="Times New Roman" w:eastAsia="Times New Roman"/>
                <w:b w:val="0"/>
                <w:sz w:val="17"/>
              </w:rPr>
              <w:t>Option non validée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Déplacements</w:t>
            </w:r>
          </w:p>
        </w:tc>
        <w:tc>
          <w:tcPr>
            <w:tcW w:type="dxa" w:w="2268"/>
            <w:vAlign w:val="center"/>
            <w:shd w:fill="F3F6F8"/>
          </w:tcPr>
          <w:p>
            <w:pPr>
              <w:spacing w:after="30"/>
            </w:pPr>
            <w:r>
              <w:rPr>
                <w:rFonts w:ascii="Times New Roman" w:hAnsi="Times New Roman" w:cs="Times New Roman" w:eastAsia="Times New Roman"/>
                <w:b w:val="0"/>
                <w:sz w:val="17"/>
              </w:rPr>
              <w:t>La structure accepte-t-elle les mouvements prévus ?</w:t>
            </w:r>
          </w:p>
        </w:tc>
        <w:tc>
          <w:tcPr>
            <w:tcW w:type="dxa" w:w="2268"/>
            <w:vAlign w:val="center"/>
            <w:shd w:fill="F3F6F8"/>
          </w:tcPr>
          <w:p>
            <w:pPr>
              <w:spacing w:after="30"/>
            </w:pPr>
            <w:r>
              <w:rPr>
                <w:rFonts w:ascii="Times New Roman" w:hAnsi="Times New Roman" w:cs="Times New Roman" w:eastAsia="Times New Roman"/>
                <w:b w:val="0"/>
                <w:sz w:val="17"/>
              </w:rPr>
              <w:t>Analyse sol–structure et critères du projet</w:t>
            </w:r>
          </w:p>
        </w:tc>
        <w:tc>
          <w:tcPr>
            <w:tcW w:type="dxa" w:w="2268"/>
            <w:vAlign w:val="center"/>
            <w:shd w:fill="F3F6F8"/>
          </w:tcPr>
          <w:p>
            <w:pPr>
              <w:spacing w:after="30"/>
            </w:pPr>
            <w:r>
              <w:rPr>
                <w:rFonts w:ascii="Times New Roman" w:hAnsi="Times New Roman" w:cs="Times New Roman" w:eastAsia="Times New Roman"/>
                <w:b w:val="0"/>
                <w:sz w:val="17"/>
              </w:rPr>
              <w:t>Risque de désordre ou de redimensionnement</w:t>
            </w:r>
          </w:p>
        </w:tc>
      </w:tr>
      <w:tr>
        <w:trPr>
          <w:cantSplit/>
        </w:trPr>
        <w:tc>
          <w:tcPr>
            <w:tcW w:type="dxa" w:w="2268"/>
            <w:vAlign w:val="center"/>
          </w:tcPr>
          <w:p>
            <w:pPr>
              <w:spacing w:after="30"/>
            </w:pPr>
            <w:r>
              <w:rPr>
                <w:rFonts w:ascii="Times New Roman" w:hAnsi="Times New Roman" w:cs="Times New Roman" w:eastAsia="Times New Roman"/>
                <w:b w:val="0"/>
                <w:sz w:val="17"/>
              </w:rPr>
              <w:t>Constructibilité</w:t>
            </w:r>
          </w:p>
        </w:tc>
        <w:tc>
          <w:tcPr>
            <w:tcW w:type="dxa" w:w="2268"/>
            <w:vAlign w:val="center"/>
          </w:tcPr>
          <w:p>
            <w:pPr>
              <w:spacing w:after="30"/>
            </w:pPr>
            <w:r>
              <w:rPr>
                <w:rFonts w:ascii="Times New Roman" w:hAnsi="Times New Roman" w:cs="Times New Roman" w:eastAsia="Times New Roman"/>
                <w:b w:val="0"/>
                <w:sz w:val="17"/>
              </w:rPr>
              <w:t>La qualité supposée est-elle réalisable ?</w:t>
            </w:r>
          </w:p>
        </w:tc>
        <w:tc>
          <w:tcPr>
            <w:tcW w:type="dxa" w:w="2268"/>
            <w:vAlign w:val="center"/>
          </w:tcPr>
          <w:p>
            <w:pPr>
              <w:spacing w:after="30"/>
            </w:pPr>
            <w:r>
              <w:rPr>
                <w:rFonts w:ascii="Times New Roman" w:hAnsi="Times New Roman" w:cs="Times New Roman" w:eastAsia="Times New Roman"/>
                <w:b w:val="0"/>
                <w:sz w:val="17"/>
              </w:rPr>
              <w:t>Méthode, accès, contrôles et retour d’expérience</w:t>
            </w:r>
          </w:p>
        </w:tc>
        <w:tc>
          <w:tcPr>
            <w:tcW w:type="dxa" w:w="2268"/>
            <w:vAlign w:val="center"/>
          </w:tcPr>
          <w:p>
            <w:pPr>
              <w:spacing w:after="30"/>
            </w:pPr>
            <w:r>
              <w:rPr>
                <w:rFonts w:ascii="Times New Roman" w:hAnsi="Times New Roman" w:cs="Times New Roman" w:eastAsia="Times New Roman"/>
                <w:b w:val="0"/>
                <w:sz w:val="17"/>
              </w:rPr>
              <w:t>Modification de méthode ou investigation</w:t>
            </w:r>
          </w:p>
        </w:tc>
      </w:tr>
      <w:tr>
        <w:trPr>
          <w:cantSplit/>
        </w:trPr>
        <w:tc>
          <w:tcPr>
            <w:tcW w:type="dxa" w:w="2268"/>
            <w:vAlign w:val="center"/>
            <w:shd w:fill="F3F6F8"/>
          </w:tcPr>
          <w:p>
            <w:pPr>
              <w:spacing w:after="30"/>
            </w:pPr>
            <w:r>
              <w:rPr>
                <w:rFonts w:ascii="Times New Roman" w:hAnsi="Times New Roman" w:cs="Times New Roman" w:eastAsia="Times New Roman"/>
                <w:b w:val="0"/>
                <w:sz w:val="17"/>
              </w:rPr>
              <w:t>Hydraulique et érosion</w:t>
            </w:r>
          </w:p>
        </w:tc>
        <w:tc>
          <w:tcPr>
            <w:tcW w:type="dxa" w:w="2268"/>
            <w:vAlign w:val="center"/>
            <w:shd w:fill="F3F6F8"/>
          </w:tcPr>
          <w:p>
            <w:pPr>
              <w:spacing w:after="30"/>
            </w:pPr>
            <w:r>
              <w:rPr>
                <w:rFonts w:ascii="Times New Roman" w:hAnsi="Times New Roman" w:cs="Times New Roman" w:eastAsia="Times New Roman"/>
                <w:b w:val="0"/>
                <w:sz w:val="17"/>
              </w:rPr>
              <w:t>La solution reste-t-elle stable dans la géométrie future ?</w:t>
            </w:r>
          </w:p>
        </w:tc>
        <w:tc>
          <w:tcPr>
            <w:tcW w:type="dxa" w:w="2268"/>
            <w:vAlign w:val="center"/>
            <w:shd w:fill="F3F6F8"/>
          </w:tcPr>
          <w:p>
            <w:pPr>
              <w:spacing w:after="30"/>
            </w:pPr>
            <w:r>
              <w:rPr>
                <w:rFonts w:ascii="Times New Roman" w:hAnsi="Times New Roman" w:cs="Times New Roman" w:eastAsia="Times New Roman"/>
                <w:b w:val="0"/>
                <w:sz w:val="17"/>
              </w:rPr>
              <w:t>Cote de calcul et protection</w:t>
            </w:r>
          </w:p>
        </w:tc>
        <w:tc>
          <w:tcPr>
            <w:tcW w:type="dxa" w:w="2268"/>
            <w:vAlign w:val="center"/>
            <w:shd w:fill="F3F6F8"/>
          </w:tcPr>
          <w:p>
            <w:pPr>
              <w:spacing w:after="30"/>
            </w:pPr>
            <w:r>
              <w:rPr>
                <w:rFonts w:ascii="Times New Roman" w:hAnsi="Times New Roman" w:cs="Times New Roman" w:eastAsia="Times New Roman"/>
                <w:b w:val="0"/>
                <w:sz w:val="17"/>
              </w:rPr>
              <w:t>Adaptation ou suivi obligatoire</w:t>
            </w:r>
          </w:p>
        </w:tc>
      </w:tr>
      <w:tr>
        <w:trPr>
          <w:cantSplit/>
        </w:trPr>
        <w:tc>
          <w:tcPr>
            <w:tcW w:type="dxa" w:w="2268"/>
            <w:vAlign w:val="center"/>
          </w:tcPr>
          <w:p>
            <w:pPr>
              <w:spacing w:after="30"/>
            </w:pPr>
            <w:r>
              <w:rPr>
                <w:rFonts w:ascii="Times New Roman" w:hAnsi="Times New Roman" w:cs="Times New Roman" w:eastAsia="Times New Roman"/>
                <w:b w:val="0"/>
                <w:sz w:val="17"/>
              </w:rPr>
              <w:t>Durabilité</w:t>
            </w:r>
          </w:p>
        </w:tc>
        <w:tc>
          <w:tcPr>
            <w:tcW w:type="dxa" w:w="2268"/>
            <w:vAlign w:val="center"/>
          </w:tcPr>
          <w:p>
            <w:pPr>
              <w:spacing w:after="30"/>
            </w:pPr>
            <w:r>
              <w:rPr>
                <w:rFonts w:ascii="Times New Roman" w:hAnsi="Times New Roman" w:cs="Times New Roman" w:eastAsia="Times New Roman"/>
                <w:b w:val="0"/>
                <w:sz w:val="17"/>
              </w:rPr>
              <w:t>Les matériaux et détails résistent-ils à l’exposition ?</w:t>
            </w:r>
          </w:p>
        </w:tc>
        <w:tc>
          <w:tcPr>
            <w:tcW w:type="dxa" w:w="2268"/>
            <w:vAlign w:val="center"/>
          </w:tcPr>
          <w:p>
            <w:pPr>
              <w:spacing w:after="30"/>
            </w:pPr>
            <w:r>
              <w:rPr>
                <w:rFonts w:ascii="Times New Roman" w:hAnsi="Times New Roman" w:cs="Times New Roman" w:eastAsia="Times New Roman"/>
                <w:b w:val="0"/>
                <w:sz w:val="17"/>
              </w:rPr>
              <w:t>Classes d’exposition et dispositions</w:t>
            </w:r>
          </w:p>
        </w:tc>
        <w:tc>
          <w:tcPr>
            <w:tcW w:type="dxa" w:w="2268"/>
            <w:vAlign w:val="center"/>
          </w:tcPr>
          <w:p>
            <w:pPr>
              <w:spacing w:after="30"/>
            </w:pPr>
            <w:r>
              <w:rPr>
                <w:rFonts w:ascii="Times New Roman" w:hAnsi="Times New Roman" w:cs="Times New Roman" w:eastAsia="Times New Roman"/>
                <w:b w:val="0"/>
                <w:sz w:val="17"/>
              </w:rPr>
              <w:t>Protection ou révision des matériaux</w:t>
            </w:r>
          </w:p>
        </w:tc>
      </w:tr>
      <w:tr>
        <w:trPr>
          <w:cantSplit/>
        </w:trPr>
        <w:tc>
          <w:tcPr>
            <w:tcW w:type="dxa" w:w="2268"/>
            <w:vAlign w:val="center"/>
            <w:shd w:fill="F3F6F8"/>
          </w:tcPr>
          <w:p>
            <w:pPr>
              <w:spacing w:after="30"/>
            </w:pPr>
            <w:r>
              <w:rPr>
                <w:rFonts w:ascii="Times New Roman" w:hAnsi="Times New Roman" w:cs="Times New Roman" w:eastAsia="Times New Roman"/>
                <w:b w:val="0"/>
                <w:sz w:val="17"/>
              </w:rPr>
              <w:t>Coût global et entretien</w:t>
            </w:r>
          </w:p>
        </w:tc>
        <w:tc>
          <w:tcPr>
            <w:tcW w:type="dxa" w:w="2268"/>
            <w:vAlign w:val="center"/>
            <w:shd w:fill="F3F6F8"/>
          </w:tcPr>
          <w:p>
            <w:pPr>
              <w:spacing w:after="30"/>
            </w:pPr>
            <w:r>
              <w:rPr>
                <w:rFonts w:ascii="Times New Roman" w:hAnsi="Times New Roman" w:cs="Times New Roman" w:eastAsia="Times New Roman"/>
                <w:b w:val="0"/>
                <w:sz w:val="17"/>
              </w:rPr>
              <w:t>Quels coûts et risques sur le cycle de vie ?</w:t>
            </w:r>
          </w:p>
        </w:tc>
        <w:tc>
          <w:tcPr>
            <w:tcW w:type="dxa" w:w="2268"/>
            <w:vAlign w:val="center"/>
            <w:shd w:fill="F3F6F8"/>
          </w:tcPr>
          <w:p>
            <w:pPr>
              <w:spacing w:after="30"/>
            </w:pPr>
            <w:r>
              <w:rPr>
                <w:rFonts w:ascii="Times New Roman" w:hAnsi="Times New Roman" w:cs="Times New Roman" w:eastAsia="Times New Roman"/>
                <w:b w:val="0"/>
                <w:sz w:val="17"/>
              </w:rPr>
              <w:t>Hypothèses économiques séparées des faits techniques</w:t>
            </w:r>
          </w:p>
        </w:tc>
        <w:tc>
          <w:tcPr>
            <w:tcW w:type="dxa" w:w="2268"/>
            <w:vAlign w:val="center"/>
            <w:shd w:fill="F3F6F8"/>
          </w:tcPr>
          <w:p>
            <w:pPr>
              <w:spacing w:after="30"/>
            </w:pPr>
            <w:r>
              <w:rPr>
                <w:rFonts w:ascii="Times New Roman" w:hAnsi="Times New Roman" w:cs="Times New Roman" w:eastAsia="Times New Roman"/>
                <w:b w:val="0"/>
                <w:sz w:val="17"/>
              </w:rPr>
              <w:t>Comparaison à documenter, sans ratio inventé</w:t>
            </w:r>
          </w:p>
        </w:tc>
      </w:tr>
    </w:tbl>
    <w:p>
      <w:pPr>
        <w:spacing w:after="20"/>
      </w:pPr>
    </w:p>
    <w:p>
      <w:pPr>
        <w:pStyle w:val="Heading2"/>
      </w:pPr>
      <w:r>
        <w:rPr>
          <w:rFonts w:ascii="Times New Roman" w:hAnsi="Times New Roman" w:cs="Times New Roman" w:eastAsia="Times New Roman"/>
          <w:b/>
          <w:color w:val="1F4E79"/>
          <w:sz w:val="24"/>
        </w:rPr>
        <w:t>V.7 États limites et approches de calcul</w:t>
      </w:r>
    </w:p>
    <w:p>
      <w:pPr>
        <w:pStyle w:val="Heading3"/>
      </w:pPr>
      <w:r>
        <w:rPr>
          <w:rFonts w:ascii="Times New Roman" w:hAnsi="Times New Roman" w:cs="Times New Roman" w:eastAsia="Times New Roman"/>
          <w:b/>
          <w:color w:val="233741"/>
          <w:sz w:val="24"/>
        </w:rPr>
        <w:t>V.7.1 Principe général</w:t>
      </w:r>
    </w:p>
    <w:p>
      <w:pPr>
        <w:jc w:val="both"/>
      </w:pPr>
      <w:r>
        <w:rPr>
          <w:rFonts w:ascii="Times New Roman" w:hAnsi="Times New Roman" w:cs="Times New Roman" w:eastAsia="Times New Roman"/>
          <w:b w:val="0"/>
          <w:sz w:val="24"/>
        </w:rPr>
        <w:t>Une vérification aux états limites compare les effets des actions à une résistance ou à un critère de performance dans une situation définie. Pour la stabilité géotechnique, une forme conceptuelle est :</w:t>
      </w:r>
    </w:p>
    <w:p>
      <w:pPr>
        <w:jc w:val="center"/>
      </w:pPr>
      <w:r>
        <w:rPr>
          <w:rFonts w:ascii="Times New Roman" w:hAnsi="Times New Roman" w:cs="Times New Roman" w:eastAsia="Times New Roman"/>
          <w:b w:val="0"/>
          <w:sz w:val="24"/>
        </w:rPr>
        <w:t>E_d ≤ R_d</w:t>
      </w:r>
    </w:p>
    <w:p>
      <w:pPr>
        <w:jc w:val="both"/>
      </w:pPr>
      <w:r>
        <w:rPr>
          <w:rFonts w:ascii="Times New Roman" w:hAnsi="Times New Roman" w:cs="Times New Roman" w:eastAsia="Times New Roman"/>
          <w:b w:val="0"/>
          <w:sz w:val="24"/>
        </w:rPr>
        <w:t>E_d est la valeur de calcul de l’effet et R_d la valeur de calcul de la résistance. Lorsque le référentiel applique un facteur de résistance à une valeur caractéristique, on peut écrire R_d = R_k/γ_R. Si R_d est déjà obtenue par une méthode qui inclut les réductions, il ne faut pas la diviser une seconde fois.</w:t>
      </w:r>
    </w:p>
    <w:p>
      <w:pPr>
        <w:jc w:val="both"/>
      </w:pPr>
      <w:r>
        <w:rPr>
          <w:rFonts w:ascii="Times New Roman" w:hAnsi="Times New Roman" w:cs="Times New Roman" w:eastAsia="Times New Roman"/>
          <w:b w:val="0"/>
          <w:sz w:val="24"/>
        </w:rPr>
        <w:t>Les états de service comparent les déplacements ou autres indicateurs aux critères du projet. Ils ne sont pas déduits automatiquement des coefficients ultimes.</w:t>
      </w:r>
    </w:p>
    <w:p>
      <w:pPr>
        <w:pStyle w:val="Heading3"/>
      </w:pPr>
      <w:r>
        <w:rPr>
          <w:rFonts w:ascii="Times New Roman" w:hAnsi="Times New Roman" w:cs="Times New Roman" w:eastAsia="Times New Roman"/>
          <w:b/>
          <w:color w:val="233741"/>
          <w:sz w:val="24"/>
        </w:rPr>
        <w:t>V.7.2 Approches de l’Eurocode 7</w:t>
      </w:r>
    </w:p>
    <w:p>
      <w:pPr>
        <w:jc w:val="both"/>
      </w:pPr>
      <w:r>
        <w:rPr>
          <w:rFonts w:ascii="Times New Roman" w:hAnsi="Times New Roman" w:cs="Times New Roman" w:eastAsia="Times New Roman"/>
          <w:b w:val="0"/>
          <w:sz w:val="24"/>
        </w:rPr>
        <w:t>L’Eurocode 7 définit des ensembles de facteurs pour les actions, les paramètres de sol et les résistances. Leur emploi dépend de l’approche de calcul et de l’annexe nationale. Le tableau V.4 rappelle la structure générale des ensembles A, M et R pour les vérifications géotechniques, sans attribuer de valeurs numériques universelles.</w:t>
      </w:r>
    </w:p>
    <w:p>
      <w:bookmarkStart w:id="97" w:name="BM_TABV_5"/>
      <w:pPr>
        <w:keepNext/>
        <w:jc w:val="center"/>
      </w:pPr>
      <w:r>
        <w:rPr>
          <w:rFonts w:ascii="Times New Roman" w:hAnsi="Times New Roman" w:cs="Times New Roman" w:eastAsia="Times New Roman"/>
          <w:b/>
          <w:sz w:val="20"/>
        </w:rPr>
        <w:t>Tableau V.5 — Structure générale des approches de calcul de l’Eurocode 7 pour GEO</w:t>
      </w:r>
      <w:bookmarkEnd w:id="97"/>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Approche</w:t>
            </w:r>
          </w:p>
        </w:tc>
        <w:tc>
          <w:tcPr>
            <w:tcW w:type="dxa" w:w="1814"/>
            <w:vAlign w:val="center"/>
            <w:shd w:fill="1F4E79"/>
          </w:tcPr>
          <w:p>
            <w:pPr>
              <w:spacing w:after="30"/>
            </w:pPr>
            <w:r>
              <w:rPr>
                <w:rFonts w:ascii="Times New Roman" w:hAnsi="Times New Roman" w:cs="Times New Roman" w:eastAsia="Times New Roman"/>
                <w:b/>
                <w:color w:val="FFFFFF"/>
                <w:sz w:val="17"/>
              </w:rPr>
              <w:t>Actions</w:t>
            </w:r>
          </w:p>
        </w:tc>
        <w:tc>
          <w:tcPr>
            <w:tcW w:type="dxa" w:w="1814"/>
            <w:vAlign w:val="center"/>
            <w:shd w:fill="1F4E79"/>
          </w:tcPr>
          <w:p>
            <w:pPr>
              <w:spacing w:after="30"/>
            </w:pPr>
            <w:r>
              <w:rPr>
                <w:rFonts w:ascii="Times New Roman" w:hAnsi="Times New Roman" w:cs="Times New Roman" w:eastAsia="Times New Roman"/>
                <w:b/>
                <w:color w:val="FFFFFF"/>
                <w:sz w:val="17"/>
              </w:rPr>
              <w:t>Paramètres de sol</w:t>
            </w:r>
          </w:p>
        </w:tc>
        <w:tc>
          <w:tcPr>
            <w:tcW w:type="dxa" w:w="3628"/>
            <w:vAlign w:val="center"/>
            <w:shd w:fill="1F4E79"/>
          </w:tcPr>
          <w:p>
            <w:pPr>
              <w:spacing w:after="30"/>
            </w:pPr>
            <w:r>
              <w:rPr>
                <w:rFonts w:ascii="Times New Roman" w:hAnsi="Times New Roman" w:cs="Times New Roman" w:eastAsia="Times New Roman"/>
                <w:b/>
                <w:color w:val="FFFFFF"/>
                <w:sz w:val="17"/>
              </w:rPr>
              <w:t>Résistances et remarques</w:t>
            </w:r>
          </w:p>
        </w:tc>
      </w:tr>
      <w:tr>
        <w:trPr>
          <w:cantSplit/>
        </w:trPr>
        <w:tc>
          <w:tcPr>
            <w:tcW w:type="dxa" w:w="1814"/>
            <w:vAlign w:val="center"/>
          </w:tcPr>
          <w:p>
            <w:pPr>
              <w:spacing w:after="30"/>
            </w:pPr>
            <w:r>
              <w:rPr>
                <w:rFonts w:ascii="Times New Roman" w:hAnsi="Times New Roman" w:cs="Times New Roman" w:eastAsia="Times New Roman"/>
                <w:b w:val="0"/>
                <w:sz w:val="17"/>
              </w:rPr>
              <w:t>DA1 — combinaison 1</w:t>
            </w:r>
          </w:p>
        </w:tc>
        <w:tc>
          <w:tcPr>
            <w:tcW w:type="dxa" w:w="1814"/>
            <w:vAlign w:val="center"/>
          </w:tcPr>
          <w:p>
            <w:pPr>
              <w:spacing w:after="30"/>
            </w:pPr>
            <w:r>
              <w:rPr>
                <w:rFonts w:ascii="Times New Roman" w:hAnsi="Times New Roman" w:cs="Times New Roman" w:eastAsia="Times New Roman"/>
                <w:b w:val="0"/>
                <w:sz w:val="17"/>
              </w:rPr>
              <w:t>A1</w:t>
            </w:r>
          </w:p>
        </w:tc>
        <w:tc>
          <w:tcPr>
            <w:tcW w:type="dxa" w:w="1814"/>
            <w:vAlign w:val="center"/>
          </w:tcPr>
          <w:p>
            <w:pPr>
              <w:spacing w:after="30"/>
            </w:pPr>
            <w:r>
              <w:rPr>
                <w:rFonts w:ascii="Times New Roman" w:hAnsi="Times New Roman" w:cs="Times New Roman" w:eastAsia="Times New Roman"/>
                <w:b w:val="0"/>
                <w:sz w:val="17"/>
              </w:rPr>
              <w:t>M1</w:t>
            </w:r>
          </w:p>
        </w:tc>
        <w:tc>
          <w:tcPr>
            <w:tcW w:type="dxa" w:w="3628"/>
            <w:vAlign w:val="center"/>
          </w:tcPr>
          <w:p>
            <w:pPr>
              <w:spacing w:after="30"/>
            </w:pPr>
            <w:r>
              <w:rPr>
                <w:rFonts w:ascii="Times New Roman" w:hAnsi="Times New Roman" w:cs="Times New Roman" w:eastAsia="Times New Roman"/>
                <w:b w:val="0"/>
                <w:sz w:val="17"/>
              </w:rPr>
              <w:t>R1 ; vérifier cette combinaison avec l’autre lorsque requis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DA1 — combinaison 2</w:t>
            </w:r>
          </w:p>
        </w:tc>
        <w:tc>
          <w:tcPr>
            <w:tcW w:type="dxa" w:w="1814"/>
            <w:vAlign w:val="center"/>
            <w:shd w:fill="F3F6F8"/>
          </w:tcPr>
          <w:p>
            <w:pPr>
              <w:spacing w:after="30"/>
            </w:pPr>
            <w:r>
              <w:rPr>
                <w:rFonts w:ascii="Times New Roman" w:hAnsi="Times New Roman" w:cs="Times New Roman" w:eastAsia="Times New Roman"/>
                <w:b w:val="0"/>
                <w:sz w:val="17"/>
              </w:rPr>
              <w:t>A2</w:t>
            </w:r>
          </w:p>
        </w:tc>
        <w:tc>
          <w:tcPr>
            <w:tcW w:type="dxa" w:w="1814"/>
            <w:vAlign w:val="center"/>
            <w:shd w:fill="F3F6F8"/>
          </w:tcPr>
          <w:p>
            <w:pPr>
              <w:spacing w:after="30"/>
            </w:pPr>
            <w:r>
              <w:rPr>
                <w:rFonts w:ascii="Times New Roman" w:hAnsi="Times New Roman" w:cs="Times New Roman" w:eastAsia="Times New Roman"/>
                <w:b w:val="0"/>
                <w:sz w:val="17"/>
              </w:rPr>
              <w:t>M2</w:t>
            </w:r>
          </w:p>
        </w:tc>
        <w:tc>
          <w:tcPr>
            <w:tcW w:type="dxa" w:w="3628"/>
            <w:vAlign w:val="center"/>
            <w:shd w:fill="F3F6F8"/>
          </w:tcPr>
          <w:p>
            <w:pPr>
              <w:spacing w:after="30"/>
            </w:pPr>
            <w:r>
              <w:rPr>
                <w:rFonts w:ascii="Times New Roman" w:hAnsi="Times New Roman" w:cs="Times New Roman" w:eastAsia="Times New Roman"/>
                <w:b w:val="0"/>
                <w:sz w:val="17"/>
              </w:rPr>
              <w:t>R1 ; ne pas substituer R3 à cette combinaison</w:t>
            </w:r>
          </w:p>
        </w:tc>
      </w:tr>
      <w:tr>
        <w:trPr>
          <w:cantSplit/>
        </w:trPr>
        <w:tc>
          <w:tcPr>
            <w:tcW w:type="dxa" w:w="1814"/>
            <w:vAlign w:val="center"/>
          </w:tcPr>
          <w:p>
            <w:pPr>
              <w:spacing w:after="30"/>
            </w:pPr>
            <w:r>
              <w:rPr>
                <w:rFonts w:ascii="Times New Roman" w:hAnsi="Times New Roman" w:cs="Times New Roman" w:eastAsia="Times New Roman"/>
                <w:b w:val="0"/>
                <w:sz w:val="17"/>
              </w:rPr>
              <w:t>DA2</w:t>
            </w:r>
          </w:p>
        </w:tc>
        <w:tc>
          <w:tcPr>
            <w:tcW w:type="dxa" w:w="1814"/>
            <w:vAlign w:val="center"/>
          </w:tcPr>
          <w:p>
            <w:pPr>
              <w:spacing w:after="30"/>
            </w:pPr>
            <w:r>
              <w:rPr>
                <w:rFonts w:ascii="Times New Roman" w:hAnsi="Times New Roman" w:cs="Times New Roman" w:eastAsia="Times New Roman"/>
                <w:b w:val="0"/>
                <w:sz w:val="17"/>
              </w:rPr>
              <w:t>A1</w:t>
            </w:r>
          </w:p>
        </w:tc>
        <w:tc>
          <w:tcPr>
            <w:tcW w:type="dxa" w:w="1814"/>
            <w:vAlign w:val="center"/>
          </w:tcPr>
          <w:p>
            <w:pPr>
              <w:spacing w:after="30"/>
            </w:pPr>
            <w:r>
              <w:rPr>
                <w:rFonts w:ascii="Times New Roman" w:hAnsi="Times New Roman" w:cs="Times New Roman" w:eastAsia="Times New Roman"/>
                <w:b w:val="0"/>
                <w:sz w:val="17"/>
              </w:rPr>
              <w:t>M1</w:t>
            </w:r>
          </w:p>
        </w:tc>
        <w:tc>
          <w:tcPr>
            <w:tcW w:type="dxa" w:w="3628"/>
            <w:vAlign w:val="center"/>
          </w:tcPr>
          <w:p>
            <w:pPr>
              <w:spacing w:after="30"/>
            </w:pPr>
            <w:r>
              <w:rPr>
                <w:rFonts w:ascii="Times New Roman" w:hAnsi="Times New Roman" w:cs="Times New Roman" w:eastAsia="Times New Roman"/>
                <w:b w:val="0"/>
                <w:sz w:val="17"/>
              </w:rPr>
              <w:t>R2 ; facteurs de résistance selon le référentiel national</w:t>
            </w:r>
          </w:p>
        </w:tc>
      </w:tr>
      <w:tr>
        <w:trPr>
          <w:cantSplit/>
        </w:trPr>
        <w:tc>
          <w:tcPr>
            <w:tcW w:type="dxa" w:w="1814"/>
            <w:vAlign w:val="center"/>
            <w:shd w:fill="F3F6F8"/>
          </w:tcPr>
          <w:p>
            <w:pPr>
              <w:spacing w:after="30"/>
            </w:pPr>
            <w:r>
              <w:rPr>
                <w:rFonts w:ascii="Times New Roman" w:hAnsi="Times New Roman" w:cs="Times New Roman" w:eastAsia="Times New Roman"/>
                <w:b w:val="0"/>
                <w:sz w:val="17"/>
              </w:rPr>
              <w:t>DA3</w:t>
            </w:r>
          </w:p>
        </w:tc>
        <w:tc>
          <w:tcPr>
            <w:tcW w:type="dxa" w:w="1814"/>
            <w:vAlign w:val="center"/>
            <w:shd w:fill="F3F6F8"/>
          </w:tcPr>
          <w:p>
            <w:pPr>
              <w:spacing w:after="30"/>
            </w:pPr>
            <w:r>
              <w:rPr>
                <w:rFonts w:ascii="Times New Roman" w:hAnsi="Times New Roman" w:cs="Times New Roman" w:eastAsia="Times New Roman"/>
                <w:b w:val="0"/>
                <w:sz w:val="17"/>
              </w:rPr>
              <w:t>A2</w:t>
            </w:r>
          </w:p>
        </w:tc>
        <w:tc>
          <w:tcPr>
            <w:tcW w:type="dxa" w:w="1814"/>
            <w:vAlign w:val="center"/>
            <w:shd w:fill="F3F6F8"/>
          </w:tcPr>
          <w:p>
            <w:pPr>
              <w:spacing w:after="30"/>
            </w:pPr>
            <w:r>
              <w:rPr>
                <w:rFonts w:ascii="Times New Roman" w:hAnsi="Times New Roman" w:cs="Times New Roman" w:eastAsia="Times New Roman"/>
                <w:b w:val="0"/>
                <w:sz w:val="17"/>
              </w:rPr>
              <w:t>M2</w:t>
            </w:r>
          </w:p>
        </w:tc>
        <w:tc>
          <w:tcPr>
            <w:tcW w:type="dxa" w:w="3628"/>
            <w:vAlign w:val="center"/>
            <w:shd w:fill="F3F6F8"/>
          </w:tcPr>
          <w:p>
            <w:pPr>
              <w:spacing w:after="30"/>
            </w:pPr>
            <w:r>
              <w:rPr>
                <w:rFonts w:ascii="Times New Roman" w:hAnsi="Times New Roman" w:cs="Times New Roman" w:eastAsia="Times New Roman"/>
                <w:b w:val="0"/>
                <w:sz w:val="17"/>
              </w:rPr>
              <w:t>R3 ; domaine et application à vérifier pour l’ouvrage</w:t>
            </w:r>
          </w:p>
        </w:tc>
      </w:tr>
    </w:tbl>
    <w:p>
      <w:pPr>
        <w:spacing w:after="20"/>
      </w:pPr>
    </w:p>
    <w:p>
      <w:pPr>
        <w:jc w:val="both"/>
      </w:pPr>
      <w:r>
        <w:rPr>
          <w:rFonts w:ascii="Times New Roman" w:hAnsi="Times New Roman" w:cs="Times New Roman" w:eastAsia="Times New Roman"/>
          <w:b w:val="0"/>
          <w:sz w:val="24"/>
        </w:rPr>
        <w:t>Le tableau ne constitue pas une liste complète des règles. Les ensembles applicables aux actions structurales et géotechniques, aux situations accidentelles et aux éléments de structure doivent être examinés dans le texte et l’annexe nationale retenus (CEN, 2004). Aucune approche n’est déclarée systématiquement la plus défavorable : les combinaisons requises sont vérifiées et le cas gouvernant est identifié par le calcul.</w:t>
      </w:r>
    </w:p>
    <w:p>
      <w:pPr>
        <w:pStyle w:val="Heading3"/>
      </w:pPr>
      <w:r>
        <w:rPr>
          <w:rFonts w:ascii="Times New Roman" w:hAnsi="Times New Roman" w:cs="Times New Roman" w:eastAsia="Times New Roman"/>
          <w:b/>
          <w:color w:val="233741"/>
          <w:sz w:val="24"/>
        </w:rPr>
        <w:t>V.7.3 Documents nationaux et versions</w:t>
      </w:r>
    </w:p>
    <w:p>
      <w:pPr>
        <w:jc w:val="both"/>
      </w:pPr>
      <w:r>
        <w:rPr>
          <w:rFonts w:ascii="Times New Roman" w:hAnsi="Times New Roman" w:cs="Times New Roman" w:eastAsia="Times New Roman"/>
          <w:b w:val="0"/>
          <w:sz w:val="24"/>
        </w:rPr>
        <w:t>Le choix du référentiel est une décision contractuelle et réglementaire. Pour un projet algérien, les DTR et règlements applicables doivent être identifiés, notamment le DTR-BC 2.33 approuvé en 2024 pour les fondations et soutènements. Les coefficients ne doivent pas être reconstruits à partir d’un résumé ou d’un autre pays.</w:t>
      </w:r>
    </w:p>
    <w:p>
      <w:pPr>
        <w:jc w:val="both"/>
      </w:pPr>
      <w:r>
        <w:rPr>
          <w:rFonts w:ascii="Times New Roman" w:hAnsi="Times New Roman" w:cs="Times New Roman" w:eastAsia="Times New Roman"/>
          <w:b w:val="0"/>
          <w:sz w:val="24"/>
        </w:rPr>
        <w:t>La date du document, ses amendements et son domaine sont consignés. Les comparaisons entre Eurocode, FHWA et règlements algériens portent sur leurs objets et leurs méthodes, sans créer de tableau d’équivalence artificiel.</w:t>
      </w:r>
    </w:p>
    <w:p>
      <w:pPr>
        <w:pStyle w:val="Heading2"/>
      </w:pPr>
      <w:r>
        <w:rPr>
          <w:rFonts w:ascii="Times New Roman" w:hAnsi="Times New Roman" w:cs="Times New Roman" w:eastAsia="Times New Roman"/>
          <w:b/>
          <w:color w:val="1F4E79"/>
          <w:sz w:val="24"/>
        </w:rPr>
        <w:t>V.8 Sensibilité et revue des hypothèses</w:t>
      </w:r>
    </w:p>
    <w:p>
      <w:pPr>
        <w:jc w:val="both"/>
      </w:pPr>
      <w:r>
        <w:rPr>
          <w:rFonts w:ascii="Times New Roman" w:hAnsi="Times New Roman" w:cs="Times New Roman" w:eastAsia="Times New Roman"/>
          <w:b w:val="0"/>
          <w:sz w:val="24"/>
        </w:rPr>
        <w:t>Une analyse de sensibilité fait varier les paramètres et scénarios qui ont une influence possible sur la décision. Elle peut porter sur l’épaisseur d’une couche, la nappe, la résistance, le module, la cote d’affouillement ou l’angle d’attaque. Les résultats sont examinés en termes de changement de solution, pas seulement de pourcentage de variation d’un calcul.</w:t>
      </w:r>
    </w:p>
    <w:p>
      <w:pPr>
        <w:jc w:val="both"/>
      </w:pPr>
      <w:r>
        <w:rPr>
          <w:rFonts w:ascii="Times New Roman" w:hAnsi="Times New Roman" w:cs="Times New Roman" w:eastAsia="Times New Roman"/>
          <w:b w:val="0"/>
          <w:sz w:val="24"/>
        </w:rPr>
        <w:t>Les hypothèses critiques sont celles dont une modification plausible inverse le choix ou franchit un critère. Elles deviennent des priorités pour les investigations complémentaires ou pour le suivi. Les hypothèses sans influence peuvent être conservées avec une justification plus simple.</w:t>
      </w:r>
    </w:p>
    <w:p>
      <w:bookmarkStart w:id="98" w:name="BM_TABV_6"/>
      <w:pPr>
        <w:keepNext/>
        <w:jc w:val="center"/>
      </w:pPr>
      <w:r>
        <w:rPr>
          <w:rFonts w:ascii="Times New Roman" w:hAnsi="Times New Roman" w:cs="Times New Roman" w:eastAsia="Times New Roman"/>
          <w:b/>
          <w:sz w:val="20"/>
        </w:rPr>
        <w:t>Tableau V.6 — Exemple de lecture d’une analyse de sensibilité</w:t>
      </w:r>
      <w:bookmarkEnd w:id="98"/>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Hypothèse testée</w:t>
            </w:r>
          </w:p>
        </w:tc>
        <w:tc>
          <w:tcPr>
            <w:tcW w:type="dxa" w:w="3628"/>
            <w:vAlign w:val="center"/>
            <w:shd w:fill="1F4E79"/>
          </w:tcPr>
          <w:p>
            <w:pPr>
              <w:spacing w:after="30"/>
            </w:pPr>
            <w:r>
              <w:rPr>
                <w:rFonts w:ascii="Times New Roman" w:hAnsi="Times New Roman" w:cs="Times New Roman" w:eastAsia="Times New Roman"/>
                <w:b/>
                <w:color w:val="FFFFFF"/>
                <w:sz w:val="17"/>
              </w:rPr>
              <w:t>Résultat à examiner</w:t>
            </w:r>
          </w:p>
        </w:tc>
        <w:tc>
          <w:tcPr>
            <w:tcW w:type="dxa" w:w="3628"/>
            <w:vAlign w:val="center"/>
            <w:shd w:fill="1F4E79"/>
          </w:tcPr>
          <w:p>
            <w:pPr>
              <w:spacing w:after="30"/>
            </w:pPr>
            <w:r>
              <w:rPr>
                <w:rFonts w:ascii="Times New Roman" w:hAnsi="Times New Roman" w:cs="Times New Roman" w:eastAsia="Times New Roman"/>
                <w:b/>
                <w:color w:val="FFFFFF"/>
                <w:sz w:val="17"/>
              </w:rPr>
              <w:t>Décision possible</w:t>
            </w:r>
          </w:p>
        </w:tc>
      </w:tr>
      <w:tr>
        <w:trPr>
          <w:cantSplit/>
        </w:trPr>
        <w:tc>
          <w:tcPr>
            <w:tcW w:type="dxa" w:w="1814"/>
            <w:vAlign w:val="center"/>
          </w:tcPr>
          <w:p>
            <w:pPr>
              <w:spacing w:after="30"/>
            </w:pPr>
            <w:r>
              <w:rPr>
                <w:rFonts w:ascii="Times New Roman" w:hAnsi="Times New Roman" w:cs="Times New Roman" w:eastAsia="Times New Roman"/>
                <w:b w:val="0"/>
                <w:sz w:val="17"/>
              </w:rPr>
              <w:t>Épaisseur de couche compressible</w:t>
            </w:r>
          </w:p>
        </w:tc>
        <w:tc>
          <w:tcPr>
            <w:tcW w:type="dxa" w:w="3628"/>
            <w:vAlign w:val="center"/>
          </w:tcPr>
          <w:p>
            <w:pPr>
              <w:spacing w:after="30"/>
            </w:pPr>
            <w:r>
              <w:rPr>
                <w:rFonts w:ascii="Times New Roman" w:hAnsi="Times New Roman" w:cs="Times New Roman" w:eastAsia="Times New Roman"/>
                <w:b w:val="0"/>
                <w:sz w:val="17"/>
              </w:rPr>
              <w:t>Tassement différentiel et chronologie</w:t>
            </w:r>
          </w:p>
        </w:tc>
        <w:tc>
          <w:tcPr>
            <w:tcW w:type="dxa" w:w="3628"/>
            <w:vAlign w:val="center"/>
          </w:tcPr>
          <w:p>
            <w:pPr>
              <w:spacing w:after="30"/>
            </w:pPr>
            <w:r>
              <w:rPr>
                <w:rFonts w:ascii="Times New Roman" w:hAnsi="Times New Roman" w:cs="Times New Roman" w:eastAsia="Times New Roman"/>
                <w:b w:val="0"/>
                <w:sz w:val="17"/>
              </w:rPr>
              <w:t>Investissement dans une investigation ou adaptation de la structure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Niveau de nappe</w:t>
            </w:r>
          </w:p>
        </w:tc>
        <w:tc>
          <w:tcPr>
            <w:tcW w:type="dxa" w:w="3628"/>
            <w:vAlign w:val="center"/>
            <w:shd w:fill="F3F6F8"/>
          </w:tcPr>
          <w:p>
            <w:pPr>
              <w:spacing w:after="30"/>
            </w:pPr>
            <w:r>
              <w:rPr>
                <w:rFonts w:ascii="Times New Roman" w:hAnsi="Times New Roman" w:cs="Times New Roman" w:eastAsia="Times New Roman"/>
                <w:b w:val="0"/>
                <w:sz w:val="17"/>
              </w:rPr>
              <w:t>Portance, stabilité et exécution</w:t>
            </w:r>
          </w:p>
        </w:tc>
        <w:tc>
          <w:tcPr>
            <w:tcW w:type="dxa" w:w="3628"/>
            <w:vAlign w:val="center"/>
            <w:shd w:fill="F3F6F8"/>
          </w:tcPr>
          <w:p>
            <w:pPr>
              <w:spacing w:after="30"/>
            </w:pPr>
            <w:r>
              <w:rPr>
                <w:rFonts w:ascii="Times New Roman" w:hAnsi="Times New Roman" w:cs="Times New Roman" w:eastAsia="Times New Roman"/>
                <w:b w:val="0"/>
                <w:sz w:val="17"/>
              </w:rPr>
              <w:t>Piézométrie prolongée et scénarios de drainage</w:t>
            </w:r>
          </w:p>
        </w:tc>
      </w:tr>
      <w:tr>
        <w:trPr>
          <w:cantSplit/>
        </w:trPr>
        <w:tc>
          <w:tcPr>
            <w:tcW w:type="dxa" w:w="1814"/>
            <w:vAlign w:val="center"/>
          </w:tcPr>
          <w:p>
            <w:pPr>
              <w:spacing w:after="30"/>
            </w:pPr>
            <w:r>
              <w:rPr>
                <w:rFonts w:ascii="Times New Roman" w:hAnsi="Times New Roman" w:cs="Times New Roman" w:eastAsia="Times New Roman"/>
                <w:b w:val="0"/>
                <w:sz w:val="17"/>
              </w:rPr>
              <w:t>Cote d’affouillement</w:t>
            </w:r>
          </w:p>
        </w:tc>
        <w:tc>
          <w:tcPr>
            <w:tcW w:type="dxa" w:w="3628"/>
            <w:vAlign w:val="center"/>
          </w:tcPr>
          <w:p>
            <w:pPr>
              <w:spacing w:after="30"/>
            </w:pPr>
            <w:r>
              <w:rPr>
                <w:rFonts w:ascii="Times New Roman" w:hAnsi="Times New Roman" w:cs="Times New Roman" w:eastAsia="Times New Roman"/>
                <w:b w:val="0"/>
                <w:sz w:val="17"/>
              </w:rPr>
              <w:t>Encastrement et stabilité</w:t>
            </w:r>
          </w:p>
        </w:tc>
        <w:tc>
          <w:tcPr>
            <w:tcW w:type="dxa" w:w="3628"/>
            <w:vAlign w:val="center"/>
          </w:tcPr>
          <w:p>
            <w:pPr>
              <w:spacing w:after="30"/>
            </w:pPr>
            <w:r>
              <w:rPr>
                <w:rFonts w:ascii="Times New Roman" w:hAnsi="Times New Roman" w:cs="Times New Roman" w:eastAsia="Times New Roman"/>
                <w:b w:val="0"/>
                <w:sz w:val="17"/>
              </w:rPr>
              <w:t>Protection, approfondissement ou inspection renforcée</w:t>
            </w:r>
          </w:p>
        </w:tc>
      </w:tr>
      <w:tr>
        <w:trPr>
          <w:cantSplit/>
        </w:trPr>
        <w:tc>
          <w:tcPr>
            <w:tcW w:type="dxa" w:w="1814"/>
            <w:vAlign w:val="center"/>
            <w:shd w:fill="F3F6F8"/>
          </w:tcPr>
          <w:p>
            <w:pPr>
              <w:spacing w:after="30"/>
            </w:pPr>
            <w:r>
              <w:rPr>
                <w:rFonts w:ascii="Times New Roman" w:hAnsi="Times New Roman" w:cs="Times New Roman" w:eastAsia="Times New Roman"/>
                <w:b w:val="0"/>
                <w:sz w:val="17"/>
              </w:rPr>
              <w:t>Paramètre de frottement</w:t>
            </w:r>
          </w:p>
        </w:tc>
        <w:tc>
          <w:tcPr>
            <w:tcW w:type="dxa" w:w="3628"/>
            <w:vAlign w:val="center"/>
            <w:shd w:fill="F3F6F8"/>
          </w:tcPr>
          <w:p>
            <w:pPr>
              <w:spacing w:after="30"/>
            </w:pPr>
            <w:r>
              <w:rPr>
                <w:rFonts w:ascii="Times New Roman" w:hAnsi="Times New Roman" w:cs="Times New Roman" w:eastAsia="Times New Roman"/>
                <w:b w:val="0"/>
                <w:sz w:val="17"/>
              </w:rPr>
              <w:t>Capacité et déplacement des pieux</w:t>
            </w:r>
          </w:p>
        </w:tc>
        <w:tc>
          <w:tcPr>
            <w:tcW w:type="dxa" w:w="3628"/>
            <w:vAlign w:val="center"/>
            <w:shd w:fill="F3F6F8"/>
          </w:tcPr>
          <w:p>
            <w:pPr>
              <w:spacing w:after="30"/>
            </w:pPr>
            <w:r>
              <w:rPr>
                <w:rFonts w:ascii="Times New Roman" w:hAnsi="Times New Roman" w:cs="Times New Roman" w:eastAsia="Times New Roman"/>
                <w:b w:val="0"/>
                <w:sz w:val="17"/>
              </w:rPr>
              <w:t>Essai complémentaire ou modification de fondation</w:t>
            </w:r>
          </w:p>
        </w:tc>
      </w:tr>
      <w:tr>
        <w:trPr>
          <w:cantSplit/>
        </w:trPr>
        <w:tc>
          <w:tcPr>
            <w:tcW w:type="dxa" w:w="1814"/>
            <w:vAlign w:val="center"/>
          </w:tcPr>
          <w:p>
            <w:pPr>
              <w:spacing w:after="30"/>
            </w:pPr>
            <w:r>
              <w:rPr>
                <w:rFonts w:ascii="Times New Roman" w:hAnsi="Times New Roman" w:cs="Times New Roman" w:eastAsia="Times New Roman"/>
                <w:b w:val="0"/>
                <w:sz w:val="17"/>
              </w:rPr>
              <w:t>Géométrie d’une cavité</w:t>
            </w:r>
          </w:p>
        </w:tc>
        <w:tc>
          <w:tcPr>
            <w:tcW w:type="dxa" w:w="3628"/>
            <w:vAlign w:val="center"/>
          </w:tcPr>
          <w:p>
            <w:pPr>
              <w:spacing w:after="30"/>
            </w:pPr>
            <w:r>
              <w:rPr>
                <w:rFonts w:ascii="Times New Roman" w:hAnsi="Times New Roman" w:cs="Times New Roman" w:eastAsia="Times New Roman"/>
                <w:b w:val="0"/>
                <w:sz w:val="17"/>
              </w:rPr>
              <w:t>Mécanisme de rupture et risque résiduel</w:t>
            </w:r>
          </w:p>
        </w:tc>
        <w:tc>
          <w:tcPr>
            <w:tcW w:type="dxa" w:w="3628"/>
            <w:vAlign w:val="center"/>
          </w:tcPr>
          <w:p>
            <w:pPr>
              <w:spacing w:after="30"/>
            </w:pPr>
            <w:r>
              <w:rPr>
                <w:rFonts w:ascii="Times New Roman" w:hAnsi="Times New Roman" w:cs="Times New Roman" w:eastAsia="Times New Roman"/>
                <w:b w:val="0"/>
                <w:sz w:val="17"/>
              </w:rPr>
              <w:t>Sondage ciblé, déplacement d’appui ou traitement</w:t>
            </w:r>
          </w:p>
        </w:tc>
      </w:tr>
    </w:tbl>
    <w:p>
      <w:pPr>
        <w:spacing w:after="20"/>
      </w:pPr>
    </w:p>
    <w:p>
      <w:pPr>
        <w:pStyle w:val="Heading2"/>
      </w:pPr>
      <w:r>
        <w:rPr>
          <w:rFonts w:ascii="Times New Roman" w:hAnsi="Times New Roman" w:cs="Times New Roman" w:eastAsia="Times New Roman"/>
          <w:b/>
          <w:color w:val="1F4E79"/>
          <w:sz w:val="24"/>
        </w:rPr>
        <w:t>V.9 Essais et contrôles pendant l’exécution</w:t>
      </w:r>
    </w:p>
    <w:p>
      <w:pPr>
        <w:jc w:val="both"/>
      </w:pPr>
      <w:r>
        <w:rPr>
          <w:rFonts w:ascii="Times New Roman" w:hAnsi="Times New Roman" w:cs="Times New Roman" w:eastAsia="Times New Roman"/>
          <w:b w:val="0"/>
          <w:sz w:val="24"/>
        </w:rPr>
        <w:t>Les contrôles sont choisis pour vérifier les hypothèses et la qualité des éléments réalisés. Ils peuvent inclure essais de chargement, enregistrements de battage, carottages, contrôles d’intégrité, mesures de béton, inspection de fond de fouille et essais sur le terrain amélioré.</w:t>
      </w:r>
    </w:p>
    <w:p>
      <w:pPr>
        <w:jc w:val="both"/>
      </w:pPr>
      <w:r>
        <w:rPr>
          <w:rFonts w:ascii="Times New Roman" w:hAnsi="Times New Roman" w:cs="Times New Roman" w:eastAsia="Times New Roman"/>
          <w:b w:val="0"/>
          <w:sz w:val="24"/>
        </w:rPr>
        <w:t>Il n’existe pas de pourcentage universel de pieux à tester pour tout projet. Le plan de contrôle dépend de la méthode, de la variabilité, des conséquences d’un défaut, des exigences du référentiel et du retour des premiers éléments. Les résultats sont comparés aux critères définis avant travaux.</w:t>
      </w:r>
    </w:p>
    <w:p>
      <w:pPr>
        <w:jc w:val="both"/>
      </w:pPr>
      <w:r>
        <w:rPr>
          <w:rFonts w:ascii="Times New Roman" w:hAnsi="Times New Roman" w:cs="Times New Roman" w:eastAsia="Times New Roman"/>
          <w:b w:val="0"/>
          <w:sz w:val="24"/>
        </w:rPr>
        <w:t>Un essai bidirectionnel utilise une cellule de chargement incorporée au pieu et ne se confond pas avec un chargement statique appliqué en tête. L’exemple OJACK360 ci-dessous est photographié pendant l’installation sur un chantier de bâtiment ; il illustre le matériel et non un essai de pieu de pont exécuté pour cette étude.</w:t>
      </w:r>
    </w:p>
    <w:p>
      <w:pPr>
        <w:keepNext/>
        <w:jc w:val="center"/>
      </w:pPr>
      <w:r>
        <w:drawing>
          <wp:inline xmlns:a="http://schemas.openxmlformats.org/drawingml/2006/main" xmlns:pic="http://schemas.openxmlformats.org/drawingml/2006/picture">
            <wp:extent cx="4156363" cy="3117272"/>
            <wp:docPr id="54" name="Picture 54"/>
            <wp:cNvGraphicFramePr>
              <a:graphicFrameLocks noChangeAspect="1"/>
            </wp:cNvGraphicFramePr>
            <a:graphic>
              <a:graphicData uri="http://schemas.openxmlformats.org/drawingml/2006/picture">
                <pic:pic>
                  <pic:nvPicPr>
                    <pic:cNvPr id="0" name="photo_ojack_load_test.png"/>
                    <pic:cNvPicPr/>
                  </pic:nvPicPr>
                  <pic:blipFill>
                    <a:blip r:embed="rId88"/>
                    <a:stretch>
                      <a:fillRect/>
                    </a:stretch>
                  </pic:blipFill>
                  <pic:spPr>
                    <a:xfrm>
                      <a:off x="0" y="0"/>
                      <a:ext cx="4156363" cy="3117272"/>
                    </a:xfrm>
                    <a:prstGeom prst="rect"/>
                  </pic:spPr>
                </pic:pic>
              </a:graphicData>
            </a:graphic>
          </wp:inline>
        </w:drawing>
      </w:r>
    </w:p>
    <w:p>
      <w:bookmarkStart w:id="99" w:name="BM_FIGV_4"/>
      <w:pPr>
        <w:jc w:val="center"/>
      </w:pPr>
      <w:r>
        <w:rPr>
          <w:rFonts w:ascii="Times New Roman" w:hAnsi="Times New Roman" w:cs="Times New Roman" w:eastAsia="Times New Roman"/>
          <w:b/>
          <w:sz w:val="20"/>
        </w:rPr>
        <w:t>Figure V.4 — Cellule OJACK360 pour essai bidirectionnel de pieu pendant son installation sur un chantier de bâtiment</w:t>
      </w:r>
      <w:bookmarkEnd w:id="99"/>
    </w:p>
    <w:p>
      <w:pPr>
        <w:jc w:val="right"/>
      </w:pPr>
      <w:r>
        <w:rPr>
          <w:rFonts w:ascii="Times New Roman" w:hAnsi="Times New Roman" w:cs="Times New Roman" w:eastAsia="Times New Roman"/>
          <w:b w:val="0"/>
          <w:color w:val="59636B"/>
          <w:sz w:val="20"/>
        </w:rPr>
        <w:t>Source : Amiruddin1995, Wikimedia Commons, CC BY-SA 4.0.</w:t>
      </w:r>
    </w:p>
    <w:p>
      <w:pPr>
        <w:jc w:val="both"/>
      </w:pPr>
      <w:r>
        <w:rPr>
          <w:rFonts w:ascii="Times New Roman" w:hAnsi="Times New Roman" w:cs="Times New Roman" w:eastAsia="Times New Roman"/>
          <w:b w:val="0"/>
          <w:sz w:val="24"/>
        </w:rPr>
        <w:t>Les détails de cage et d’enrobage font également partie du contrôle préparatoire. La photographie montre un bloc d’enrobage sur une armature de paroi moulée ; elle ne démontre pas à elle seule la conformité de l’ensemble de la cage ou de l’élément bétonné.</w:t>
      </w:r>
    </w:p>
    <w:p>
      <w:pPr>
        <w:keepNext/>
        <w:jc w:val="center"/>
      </w:pPr>
      <w:r>
        <w:drawing>
          <wp:inline xmlns:a="http://schemas.openxmlformats.org/drawingml/2006/main" xmlns:pic="http://schemas.openxmlformats.org/drawingml/2006/picture">
            <wp:extent cx="5760000" cy="4320000"/>
            <wp:docPr id="55" name="Picture 55"/>
            <wp:cNvGraphicFramePr>
              <a:graphicFrameLocks noChangeAspect="1"/>
            </wp:cNvGraphicFramePr>
            <a:graphic>
              <a:graphicData uri="http://schemas.openxmlformats.org/drawingml/2006/picture">
                <pic:pic>
                  <pic:nvPicPr>
                    <pic:cNvPr id="0" name="photo_diaphragm_wall_spacer.png"/>
                    <pic:cNvPicPr/>
                  </pic:nvPicPr>
                  <pic:blipFill>
                    <a:blip r:embed="rId89"/>
                    <a:stretch>
                      <a:fillRect/>
                    </a:stretch>
                  </pic:blipFill>
                  <pic:spPr>
                    <a:xfrm>
                      <a:off x="0" y="0"/>
                      <a:ext cx="5760000" cy="4320000"/>
                    </a:xfrm>
                    <a:prstGeom prst="rect"/>
                  </pic:spPr>
                </pic:pic>
              </a:graphicData>
            </a:graphic>
          </wp:inline>
        </w:drawing>
      </w:r>
    </w:p>
    <w:p>
      <w:bookmarkStart w:id="100" w:name="BM_FIGV_5"/>
      <w:pPr>
        <w:jc w:val="center"/>
      </w:pPr>
      <w:r>
        <w:rPr>
          <w:rFonts w:ascii="Times New Roman" w:hAnsi="Times New Roman" w:cs="Times New Roman" w:eastAsia="Times New Roman"/>
          <w:b/>
          <w:sz w:val="20"/>
        </w:rPr>
        <w:t>Figure V.5 — Bloc d’enrobage fixé sur une armature de paroi moulée</w:t>
      </w:r>
      <w:bookmarkEnd w:id="100"/>
    </w:p>
    <w:p>
      <w:pPr>
        <w:jc w:val="right"/>
      </w:pPr>
      <w:r>
        <w:rPr>
          <w:rFonts w:ascii="Times New Roman" w:hAnsi="Times New Roman" w:cs="Times New Roman" w:eastAsia="Times New Roman"/>
          <w:b w:val="0"/>
          <w:color w:val="59636B"/>
          <w:sz w:val="20"/>
        </w:rPr>
        <w:t>Source : CMMNA, « Diaphragm wall block », Wikimedia Commons, CC BY-SA 3.0.</w:t>
      </w:r>
    </w:p>
    <w:p>
      <w:pPr>
        <w:jc w:val="both"/>
      </w:pPr>
      <w:r>
        <w:rPr>
          <w:rFonts w:ascii="Times New Roman" w:hAnsi="Times New Roman" w:cs="Times New Roman" w:eastAsia="Times New Roman"/>
          <w:b w:val="0"/>
          <w:sz w:val="24"/>
        </w:rPr>
        <w:t>Les non-conformités déclenchent une revue : vérification du matériel, investigation complémentaire, modification du procédé ou réévaluation du modèle. Elles ne doivent pas être seulement archivées.</w:t>
      </w:r>
    </w:p>
    <w:p>
      <w:pPr>
        <w:pStyle w:val="Heading2"/>
      </w:pPr>
      <w:r>
        <w:rPr>
          <w:rFonts w:ascii="Times New Roman" w:hAnsi="Times New Roman" w:cs="Times New Roman" w:eastAsia="Times New Roman"/>
          <w:b/>
          <w:color w:val="1F4E79"/>
          <w:sz w:val="24"/>
        </w:rPr>
        <w:t>V.10 Méthode observationnelle et suivi</w:t>
      </w:r>
    </w:p>
    <w:p>
      <w:pPr>
        <w:jc w:val="both"/>
      </w:pPr>
      <w:r>
        <w:rPr>
          <w:rFonts w:ascii="Times New Roman" w:hAnsi="Times New Roman" w:cs="Times New Roman" w:eastAsia="Times New Roman"/>
          <w:b w:val="0"/>
          <w:sz w:val="24"/>
        </w:rPr>
        <w:t>La méthode observationnelle, discutée notamment par PECK (1969), repose sur des hypothèses explicites, des prévisions, un plan de mesure et des actions prévues en cas d’écart. Elle n’est pas une invitation à improviser après le début des travaux.</w:t>
      </w:r>
    </w:p>
    <w:p>
      <w:pPr>
        <w:jc w:val="both"/>
      </w:pPr>
      <w:r>
        <w:rPr>
          <w:rFonts w:ascii="Times New Roman" w:hAnsi="Times New Roman" w:cs="Times New Roman" w:eastAsia="Times New Roman"/>
          <w:b w:val="0"/>
          <w:sz w:val="24"/>
        </w:rPr>
        <w:t>Avant l’instrumentation, le projet définit ce qui sera mesuré, la fréquence, la précision, les critères d’alerte et les responsabilités. Les mesures sont reliées aux hypothèses : niveau de nappe pour le pompage, déplacement pour un remblai, bathymétrie pour l’affouillement ou intégrité pour une fondation.</w:t>
      </w:r>
    </w:p>
    <w:p>
      <w:pPr>
        <w:keepNext/>
        <w:jc w:val="center"/>
      </w:pPr>
      <w:r>
        <w:drawing>
          <wp:inline xmlns:a="http://schemas.openxmlformats.org/drawingml/2006/main" xmlns:pic="http://schemas.openxmlformats.org/drawingml/2006/picture">
            <wp:extent cx="5760000" cy="3785426"/>
            <wp:docPr id="56" name="Picture 56"/>
            <wp:cNvGraphicFramePr>
              <a:graphicFrameLocks noChangeAspect="1"/>
            </wp:cNvGraphicFramePr>
            <a:graphic>
              <a:graphicData uri="http://schemas.openxmlformats.org/drawingml/2006/picture">
                <pic:pic>
                  <pic:nvPicPr>
                    <pic:cNvPr id="0" name="observational_loop.png"/>
                    <pic:cNvPicPr/>
                  </pic:nvPicPr>
                  <pic:blipFill>
                    <a:blip r:embed="rId90"/>
                    <a:stretch>
                      <a:fillRect/>
                    </a:stretch>
                  </pic:blipFill>
                  <pic:spPr>
                    <a:xfrm>
                      <a:off x="0" y="0"/>
                      <a:ext cx="5760000" cy="3785426"/>
                    </a:xfrm>
                    <a:prstGeom prst="rect"/>
                  </pic:spPr>
                </pic:pic>
              </a:graphicData>
            </a:graphic>
          </wp:inline>
        </w:drawing>
      </w:r>
    </w:p>
    <w:p>
      <w:bookmarkStart w:id="101" w:name="BM_FIGV_6"/>
      <w:pPr>
        <w:jc w:val="center"/>
      </w:pPr>
      <w:r>
        <w:rPr>
          <w:rFonts w:ascii="Times New Roman" w:hAnsi="Times New Roman" w:cs="Times New Roman" w:eastAsia="Times New Roman"/>
          <w:b/>
          <w:sz w:val="20"/>
        </w:rPr>
        <w:t>Figure V.6 — Boucle de la méthode observationnelle pendant l’exécution et l’exploitation</w:t>
      </w:r>
      <w:bookmarkEnd w:id="101"/>
    </w:p>
    <w:p>
      <w:pPr>
        <w:jc w:val="right"/>
      </w:pPr>
      <w:r>
        <w:rPr>
          <w:rFonts w:ascii="Times New Roman" w:hAnsi="Times New Roman" w:cs="Times New Roman" w:eastAsia="Times New Roman"/>
          <w:b w:val="0"/>
          <w:color w:val="59636B"/>
          <w:sz w:val="20"/>
        </w:rPr>
        <w:t>Source : schéma original de synthèse d’après les principes de PECK (1969).</w:t>
      </w:r>
    </w:p>
    <w:p>
      <w:bookmarkStart w:id="102" w:name="BM_TABV_7"/>
      <w:pPr>
        <w:keepNext/>
        <w:jc w:val="center"/>
      </w:pPr>
      <w:r>
        <w:rPr>
          <w:rFonts w:ascii="Times New Roman" w:hAnsi="Times New Roman" w:cs="Times New Roman" w:eastAsia="Times New Roman"/>
          <w:b/>
          <w:sz w:val="20"/>
        </w:rPr>
        <w:t>Tableau V.7 — Exemples de suivi relié à des décisions</w:t>
      </w:r>
      <w:bookmarkEnd w:id="102"/>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Mesure</w:t>
            </w:r>
          </w:p>
        </w:tc>
        <w:tc>
          <w:tcPr>
            <w:tcW w:type="dxa" w:w="2268"/>
            <w:vAlign w:val="center"/>
            <w:shd w:fill="1F4E79"/>
          </w:tcPr>
          <w:p>
            <w:pPr>
              <w:spacing w:after="30"/>
            </w:pPr>
            <w:r>
              <w:rPr>
                <w:rFonts w:ascii="Times New Roman" w:hAnsi="Times New Roman" w:cs="Times New Roman" w:eastAsia="Times New Roman"/>
                <w:b/>
                <w:color w:val="FFFFFF"/>
                <w:sz w:val="17"/>
              </w:rPr>
              <w:t>Hypothèse vérifiée</w:t>
            </w:r>
          </w:p>
        </w:tc>
        <w:tc>
          <w:tcPr>
            <w:tcW w:type="dxa" w:w="2268"/>
            <w:vAlign w:val="center"/>
            <w:shd w:fill="1F4E79"/>
          </w:tcPr>
          <w:p>
            <w:pPr>
              <w:spacing w:after="30"/>
            </w:pPr>
            <w:r>
              <w:rPr>
                <w:rFonts w:ascii="Times New Roman" w:hAnsi="Times New Roman" w:cs="Times New Roman" w:eastAsia="Times New Roman"/>
                <w:b/>
                <w:color w:val="FFFFFF"/>
                <w:sz w:val="17"/>
              </w:rPr>
              <w:t>Critère à définir avant travaux</w:t>
            </w:r>
          </w:p>
        </w:tc>
        <w:tc>
          <w:tcPr>
            <w:tcW w:type="dxa" w:w="2268"/>
            <w:vAlign w:val="center"/>
            <w:shd w:fill="1F4E79"/>
          </w:tcPr>
          <w:p>
            <w:pPr>
              <w:spacing w:after="30"/>
            </w:pPr>
            <w:r>
              <w:rPr>
                <w:rFonts w:ascii="Times New Roman" w:hAnsi="Times New Roman" w:cs="Times New Roman" w:eastAsia="Times New Roman"/>
                <w:b/>
                <w:color w:val="FFFFFF"/>
                <w:sz w:val="17"/>
              </w:rPr>
              <w:t>Action préparée</w:t>
            </w:r>
          </w:p>
        </w:tc>
      </w:tr>
      <w:tr>
        <w:trPr>
          <w:cantSplit/>
        </w:trPr>
        <w:tc>
          <w:tcPr>
            <w:tcW w:type="dxa" w:w="2268"/>
            <w:vAlign w:val="center"/>
          </w:tcPr>
          <w:p>
            <w:pPr>
              <w:spacing w:after="30"/>
            </w:pPr>
            <w:r>
              <w:rPr>
                <w:rFonts w:ascii="Times New Roman" w:hAnsi="Times New Roman" w:cs="Times New Roman" w:eastAsia="Times New Roman"/>
                <w:b w:val="0"/>
                <w:sz w:val="17"/>
              </w:rPr>
              <w:t>Piézométrie</w:t>
            </w:r>
          </w:p>
        </w:tc>
        <w:tc>
          <w:tcPr>
            <w:tcW w:type="dxa" w:w="2268"/>
            <w:vAlign w:val="center"/>
          </w:tcPr>
          <w:p>
            <w:pPr>
              <w:spacing w:after="30"/>
            </w:pPr>
            <w:r>
              <w:rPr>
                <w:rFonts w:ascii="Times New Roman" w:hAnsi="Times New Roman" w:cs="Times New Roman" w:eastAsia="Times New Roman"/>
                <w:b w:val="0"/>
                <w:sz w:val="17"/>
              </w:rPr>
              <w:t>Rabattement et drainage conformes au modèle</w:t>
            </w:r>
          </w:p>
        </w:tc>
        <w:tc>
          <w:tcPr>
            <w:tcW w:type="dxa" w:w="2268"/>
            <w:vAlign w:val="center"/>
          </w:tcPr>
          <w:p>
            <w:pPr>
              <w:spacing w:after="30"/>
            </w:pPr>
            <w:r>
              <w:rPr>
                <w:rFonts w:ascii="Times New Roman" w:hAnsi="Times New Roman" w:cs="Times New Roman" w:eastAsia="Times New Roman"/>
                <w:b w:val="0"/>
                <w:sz w:val="17"/>
              </w:rPr>
              <w:t>Niveau, gradient ou vitesse de variation</w:t>
            </w:r>
          </w:p>
        </w:tc>
        <w:tc>
          <w:tcPr>
            <w:tcW w:type="dxa" w:w="2268"/>
            <w:vAlign w:val="center"/>
          </w:tcPr>
          <w:p>
            <w:pPr>
              <w:spacing w:after="30"/>
            </w:pPr>
            <w:r>
              <w:rPr>
                <w:rFonts w:ascii="Times New Roman" w:hAnsi="Times New Roman" w:cs="Times New Roman" w:eastAsia="Times New Roman"/>
                <w:b w:val="0"/>
                <w:sz w:val="17"/>
              </w:rPr>
              <w:t>Modifier pompage, filtre ou phasage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Déplacement d’appui</w:t>
            </w:r>
          </w:p>
        </w:tc>
        <w:tc>
          <w:tcPr>
            <w:tcW w:type="dxa" w:w="2268"/>
            <w:vAlign w:val="center"/>
            <w:shd w:fill="F3F6F8"/>
          </w:tcPr>
          <w:p>
            <w:pPr>
              <w:spacing w:after="30"/>
            </w:pPr>
            <w:r>
              <w:rPr>
                <w:rFonts w:ascii="Times New Roman" w:hAnsi="Times New Roman" w:cs="Times New Roman" w:eastAsia="Times New Roman"/>
                <w:b w:val="0"/>
                <w:sz w:val="17"/>
              </w:rPr>
              <w:t>Tassement et rotation dans les limites du projet</w:t>
            </w:r>
          </w:p>
        </w:tc>
        <w:tc>
          <w:tcPr>
            <w:tcW w:type="dxa" w:w="2268"/>
            <w:vAlign w:val="center"/>
            <w:shd w:fill="F3F6F8"/>
          </w:tcPr>
          <w:p>
            <w:pPr>
              <w:spacing w:after="30"/>
            </w:pPr>
            <w:r>
              <w:rPr>
                <w:rFonts w:ascii="Times New Roman" w:hAnsi="Times New Roman" w:cs="Times New Roman" w:eastAsia="Times New Roman"/>
                <w:b w:val="0"/>
                <w:sz w:val="17"/>
              </w:rPr>
              <w:t>Seuil lié au modèle structural</w:t>
            </w:r>
          </w:p>
        </w:tc>
        <w:tc>
          <w:tcPr>
            <w:tcW w:type="dxa" w:w="2268"/>
            <w:vAlign w:val="center"/>
            <w:shd w:fill="F3F6F8"/>
          </w:tcPr>
          <w:p>
            <w:pPr>
              <w:spacing w:after="30"/>
            </w:pPr>
            <w:r>
              <w:rPr>
                <w:rFonts w:ascii="Times New Roman" w:hAnsi="Times New Roman" w:cs="Times New Roman" w:eastAsia="Times New Roman"/>
                <w:b w:val="0"/>
                <w:sz w:val="17"/>
              </w:rPr>
              <w:t>Revue du modèle, adaptation ou confortement</w:t>
            </w:r>
          </w:p>
        </w:tc>
      </w:tr>
      <w:tr>
        <w:trPr>
          <w:cantSplit/>
        </w:trPr>
        <w:tc>
          <w:tcPr>
            <w:tcW w:type="dxa" w:w="2268"/>
            <w:vAlign w:val="center"/>
          </w:tcPr>
          <w:p>
            <w:pPr>
              <w:spacing w:after="30"/>
            </w:pPr>
            <w:r>
              <w:rPr>
                <w:rFonts w:ascii="Times New Roman" w:hAnsi="Times New Roman" w:cs="Times New Roman" w:eastAsia="Times New Roman"/>
                <w:b w:val="0"/>
                <w:sz w:val="17"/>
              </w:rPr>
              <w:t>Bathymétrie</w:t>
            </w:r>
          </w:p>
        </w:tc>
        <w:tc>
          <w:tcPr>
            <w:tcW w:type="dxa" w:w="2268"/>
            <w:vAlign w:val="center"/>
          </w:tcPr>
          <w:p>
            <w:pPr>
              <w:spacing w:after="30"/>
            </w:pPr>
            <w:r>
              <w:rPr>
                <w:rFonts w:ascii="Times New Roman" w:hAnsi="Times New Roman" w:cs="Times New Roman" w:eastAsia="Times New Roman"/>
                <w:b w:val="0"/>
                <w:sz w:val="17"/>
              </w:rPr>
              <w:t>Évolution du lit compatible avec le scénario</w:t>
            </w:r>
          </w:p>
        </w:tc>
        <w:tc>
          <w:tcPr>
            <w:tcW w:type="dxa" w:w="2268"/>
            <w:vAlign w:val="center"/>
          </w:tcPr>
          <w:p>
            <w:pPr>
              <w:spacing w:after="30"/>
            </w:pPr>
            <w:r>
              <w:rPr>
                <w:rFonts w:ascii="Times New Roman" w:hAnsi="Times New Roman" w:cs="Times New Roman" w:eastAsia="Times New Roman"/>
                <w:b w:val="0"/>
                <w:sz w:val="17"/>
              </w:rPr>
              <w:t>Cote d’alerte et tendance</w:t>
            </w:r>
          </w:p>
        </w:tc>
        <w:tc>
          <w:tcPr>
            <w:tcW w:type="dxa" w:w="2268"/>
            <w:vAlign w:val="center"/>
          </w:tcPr>
          <w:p>
            <w:pPr>
              <w:spacing w:after="30"/>
            </w:pPr>
            <w:r>
              <w:rPr>
                <w:rFonts w:ascii="Times New Roman" w:hAnsi="Times New Roman" w:cs="Times New Roman" w:eastAsia="Times New Roman"/>
                <w:b w:val="0"/>
                <w:sz w:val="17"/>
              </w:rPr>
              <w:t>Inspection, protection ou restriction selon le projet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Enregistrement de battage</w:t>
            </w:r>
          </w:p>
        </w:tc>
        <w:tc>
          <w:tcPr>
            <w:tcW w:type="dxa" w:w="2268"/>
            <w:vAlign w:val="center"/>
            <w:shd w:fill="F3F6F8"/>
          </w:tcPr>
          <w:p>
            <w:pPr>
              <w:spacing w:after="30"/>
            </w:pPr>
            <w:r>
              <w:rPr>
                <w:rFonts w:ascii="Times New Roman" w:hAnsi="Times New Roman" w:cs="Times New Roman" w:eastAsia="Times New Roman"/>
                <w:b w:val="0"/>
                <w:sz w:val="17"/>
              </w:rPr>
              <w:t>Profil et énergie cohérents avec la fondation</w:t>
            </w:r>
          </w:p>
        </w:tc>
        <w:tc>
          <w:tcPr>
            <w:tcW w:type="dxa" w:w="2268"/>
            <w:vAlign w:val="center"/>
            <w:shd w:fill="F3F6F8"/>
          </w:tcPr>
          <w:p>
            <w:pPr>
              <w:spacing w:after="30"/>
            </w:pPr>
            <w:r>
              <w:rPr>
                <w:rFonts w:ascii="Times New Roman" w:hAnsi="Times New Roman" w:cs="Times New Roman" w:eastAsia="Times New Roman"/>
                <w:b w:val="0"/>
                <w:sz w:val="17"/>
              </w:rPr>
              <w:t>Critères d’arrêt et anomalies</w:t>
            </w:r>
          </w:p>
        </w:tc>
        <w:tc>
          <w:tcPr>
            <w:tcW w:type="dxa" w:w="2268"/>
            <w:vAlign w:val="center"/>
            <w:shd w:fill="F3F6F8"/>
          </w:tcPr>
          <w:p>
            <w:pPr>
              <w:spacing w:after="30"/>
            </w:pPr>
            <w:r>
              <w:rPr>
                <w:rFonts w:ascii="Times New Roman" w:hAnsi="Times New Roman" w:cs="Times New Roman" w:eastAsia="Times New Roman"/>
                <w:b w:val="0"/>
                <w:sz w:val="17"/>
              </w:rPr>
              <w:t>Vérification, essai complémentaire ou adaptation</w:t>
            </w:r>
          </w:p>
        </w:tc>
      </w:tr>
      <w:tr>
        <w:trPr>
          <w:cantSplit/>
        </w:trPr>
        <w:tc>
          <w:tcPr>
            <w:tcW w:type="dxa" w:w="2268"/>
            <w:vAlign w:val="center"/>
          </w:tcPr>
          <w:p>
            <w:pPr>
              <w:spacing w:after="30"/>
            </w:pPr>
            <w:r>
              <w:rPr>
                <w:rFonts w:ascii="Times New Roman" w:hAnsi="Times New Roman" w:cs="Times New Roman" w:eastAsia="Times New Roman"/>
                <w:b w:val="0"/>
                <w:sz w:val="17"/>
              </w:rPr>
              <w:t>Intégrité des pieux</w:t>
            </w:r>
          </w:p>
        </w:tc>
        <w:tc>
          <w:tcPr>
            <w:tcW w:type="dxa" w:w="2268"/>
            <w:vAlign w:val="center"/>
          </w:tcPr>
          <w:p>
            <w:pPr>
              <w:spacing w:after="30"/>
            </w:pPr>
            <w:r>
              <w:rPr>
                <w:rFonts w:ascii="Times New Roman" w:hAnsi="Times New Roman" w:cs="Times New Roman" w:eastAsia="Times New Roman"/>
                <w:b w:val="0"/>
                <w:sz w:val="17"/>
              </w:rPr>
              <w:t>Continuité et qualité de l’exécution</w:t>
            </w:r>
          </w:p>
        </w:tc>
        <w:tc>
          <w:tcPr>
            <w:tcW w:type="dxa" w:w="2268"/>
            <w:vAlign w:val="center"/>
          </w:tcPr>
          <w:p>
            <w:pPr>
              <w:spacing w:after="30"/>
            </w:pPr>
            <w:r>
              <w:rPr>
                <w:rFonts w:ascii="Times New Roman" w:hAnsi="Times New Roman" w:cs="Times New Roman" w:eastAsia="Times New Roman"/>
                <w:b w:val="0"/>
                <w:sz w:val="17"/>
              </w:rPr>
              <w:t>Critères d’acceptation du référentiel</w:t>
            </w:r>
          </w:p>
        </w:tc>
        <w:tc>
          <w:tcPr>
            <w:tcW w:type="dxa" w:w="2268"/>
            <w:vAlign w:val="center"/>
          </w:tcPr>
          <w:p>
            <w:pPr>
              <w:spacing w:after="30"/>
            </w:pPr>
            <w:r>
              <w:rPr>
                <w:rFonts w:ascii="Times New Roman" w:hAnsi="Times New Roman" w:cs="Times New Roman" w:eastAsia="Times New Roman"/>
                <w:b w:val="0"/>
                <w:sz w:val="17"/>
              </w:rPr>
              <w:t>Investigation et traitement de la non-conformité</w:t>
            </w:r>
          </w:p>
        </w:tc>
      </w:tr>
    </w:tbl>
    <w:p>
      <w:pPr>
        <w:spacing w:after="20"/>
      </w:pPr>
    </w:p>
    <w:p>
      <w:pPr>
        <w:jc w:val="both"/>
      </w:pPr>
      <w:r>
        <w:rPr>
          <w:rFonts w:ascii="Times New Roman" w:hAnsi="Times New Roman" w:cs="Times New Roman" w:eastAsia="Times New Roman"/>
          <w:b w:val="0"/>
          <w:sz w:val="24"/>
        </w:rPr>
        <w:t>Les photographies de chantier peuvent compléter les enregistrements d’exécution lorsqu’elles sont datées, localisées et reliées à un élément précis. La vue suivante, extraite du mémoire original, illustre la cage de renforcement, les foreuses et les opérations de réalisation ; elle ne constitue pas une campagne de terrain nouvelle menée pour cette révision.</w:t>
      </w:r>
    </w:p>
    <w:p>
      <w:pPr>
        <w:keepNext/>
        <w:jc w:val="center"/>
      </w:pPr>
      <w:r>
        <w:drawing>
          <wp:inline xmlns:a="http://schemas.openxmlformats.org/drawingml/2006/main" xmlns:pic="http://schemas.openxmlformats.org/drawingml/2006/picture">
            <wp:extent cx="5760000" cy="4036114"/>
            <wp:docPr id="57" name="Picture 57"/>
            <wp:cNvGraphicFramePr>
              <a:graphicFrameLocks noChangeAspect="1"/>
            </wp:cNvGraphicFramePr>
            <a:graphic>
              <a:graphicData uri="http://schemas.openxmlformats.org/drawingml/2006/picture">
                <pic:pic>
                  <pic:nvPicPr>
                    <pic:cNvPr id="0" name="photo_bored_piles_original.png"/>
                    <pic:cNvPicPr/>
                  </pic:nvPicPr>
                  <pic:blipFill>
                    <a:blip r:embed="rId91"/>
                    <a:stretch>
                      <a:fillRect/>
                    </a:stretch>
                  </pic:blipFill>
                  <pic:spPr>
                    <a:xfrm>
                      <a:off x="0" y="0"/>
                      <a:ext cx="5760000" cy="4036114"/>
                    </a:xfrm>
                    <a:prstGeom prst="rect"/>
                  </pic:spPr>
                </pic:pic>
              </a:graphicData>
            </a:graphic>
          </wp:inline>
        </w:drawing>
      </w:r>
    </w:p>
    <w:p>
      <w:bookmarkStart w:id="103" w:name="BM_FIGV_7"/>
      <w:pPr>
        <w:jc w:val="center"/>
      </w:pPr>
      <w:r>
        <w:rPr>
          <w:rFonts w:ascii="Times New Roman" w:hAnsi="Times New Roman" w:cs="Times New Roman" w:eastAsia="Times New Roman"/>
          <w:b/>
          <w:sz w:val="20"/>
        </w:rPr>
        <w:t>Figure V.7 — Réalisation de pieux forés : cage de renforcement et matériel de forage sur chantier</w:t>
      </w:r>
      <w:bookmarkEnd w:id="103"/>
    </w:p>
    <w:p>
      <w:pPr>
        <w:jc w:val="right"/>
      </w:pPr>
      <w:r>
        <w:rPr>
          <w:rFonts w:ascii="Times New Roman" w:hAnsi="Times New Roman" w:cs="Times New Roman" w:eastAsia="Times New Roman"/>
          <w:b w:val="0"/>
          <w:color w:val="59636B"/>
          <w:sz w:val="20"/>
        </w:rPr>
        <w:t>Source : mémoire original, page 38, panneau (b) ; photographie extraite et recadrée.</w:t>
      </w:r>
    </w:p>
    <w:p>
      <w:pPr>
        <w:jc w:val="both"/>
      </w:pPr>
      <w:r>
        <w:rPr>
          <w:rFonts w:ascii="Times New Roman" w:hAnsi="Times New Roman" w:cs="Times New Roman" w:eastAsia="Times New Roman"/>
          <w:b w:val="0"/>
          <w:sz w:val="24"/>
        </w:rPr>
        <w:t>La réparation documentée au Monture Bridge associe reconstitution du remblai et enrochements de protection. Elle illustre une action corrective, mais ne dispense pas de vérifier la granulométrie, le filtre, la mise en place et l’ouverture hydraulique propres au projet.</w:t>
      </w:r>
    </w:p>
    <w:p>
      <w:pPr>
        <w:keepNext/>
        <w:jc w:val="center"/>
      </w:pPr>
      <w:r>
        <w:drawing>
          <wp:inline xmlns:a="http://schemas.openxmlformats.org/drawingml/2006/main" xmlns:pic="http://schemas.openxmlformats.org/drawingml/2006/picture">
            <wp:extent cx="2992581" cy="2244436"/>
            <wp:docPr id="58" name="Picture 58"/>
            <wp:cNvGraphicFramePr>
              <a:graphicFrameLocks noChangeAspect="1"/>
            </wp:cNvGraphicFramePr>
            <a:graphic>
              <a:graphicData uri="http://schemas.openxmlformats.org/drawingml/2006/picture">
                <pic:pic>
                  <pic:nvPicPr>
                    <pic:cNvPr id="0" name="photo_monture_riprap.png"/>
                    <pic:cNvPicPr/>
                  </pic:nvPicPr>
                  <pic:blipFill>
                    <a:blip r:embed="rId92"/>
                    <a:stretch>
                      <a:fillRect/>
                    </a:stretch>
                  </pic:blipFill>
                  <pic:spPr>
                    <a:xfrm>
                      <a:off x="0" y="0"/>
                      <a:ext cx="2992581" cy="2244436"/>
                    </a:xfrm>
                    <a:prstGeom prst="rect"/>
                  </pic:spPr>
                </pic:pic>
              </a:graphicData>
            </a:graphic>
          </wp:inline>
        </w:drawing>
      </w:r>
    </w:p>
    <w:p>
      <w:bookmarkStart w:id="104" w:name="BM_FIGV_8"/>
      <w:pPr>
        <w:jc w:val="center"/>
      </w:pPr>
      <w:r>
        <w:rPr>
          <w:rFonts w:ascii="Times New Roman" w:hAnsi="Times New Roman" w:cs="Times New Roman" w:eastAsia="Times New Roman"/>
          <w:b/>
          <w:sz w:val="20"/>
        </w:rPr>
        <w:t>Figure V.8 — Réparation du remblai de culée et protection par enrochements au Monture Bridge</w:t>
      </w:r>
      <w:bookmarkEnd w:id="104"/>
    </w:p>
    <w:p>
      <w:pPr>
        <w:jc w:val="right"/>
      </w:pPr>
      <w:r>
        <w:rPr>
          <w:rFonts w:ascii="Times New Roman" w:hAnsi="Times New Roman" w:cs="Times New Roman" w:eastAsia="Times New Roman"/>
          <w:b w:val="0"/>
          <w:color w:val="59636B"/>
          <w:sz w:val="20"/>
        </w:rPr>
        <w:t>Source : USDA Forest Service, « Bridge Scour Evaluation » (1998), figure 16.</w:t>
      </w:r>
    </w:p>
    <w:p>
      <w:pPr>
        <w:jc w:val="both"/>
      </w:pPr>
      <w:r>
        <w:rPr>
          <w:rFonts w:ascii="Times New Roman" w:hAnsi="Times New Roman" w:cs="Times New Roman" w:eastAsia="Times New Roman"/>
          <w:b w:val="0"/>
          <w:sz w:val="24"/>
        </w:rPr>
        <w:t>Les photographies anciennes sont également utiles pour comprendre les phases de construction. Ici, les cintres, les arcs et les appuis sont visibles simultanément ; l’image sert à la lecture du phasage et non à la détermination de paramètres géotechniques.</w:t>
      </w:r>
    </w:p>
    <w:p>
      <w:pPr>
        <w:keepNext/>
        <w:jc w:val="center"/>
      </w:pPr>
      <w:r>
        <w:drawing>
          <wp:inline xmlns:a="http://schemas.openxmlformats.org/drawingml/2006/main" xmlns:pic="http://schemas.openxmlformats.org/drawingml/2006/picture">
            <wp:extent cx="4156363" cy="3275214"/>
            <wp:docPr id="59" name="Picture 59"/>
            <wp:cNvGraphicFramePr>
              <a:graphicFrameLocks noChangeAspect="1"/>
            </wp:cNvGraphicFramePr>
            <a:graphic>
              <a:graphicData uri="http://schemas.openxmlformats.org/drawingml/2006/picture">
                <pic:pic>
                  <pic:nvPicPr>
                    <pic:cNvPr id="0" name="photo_monroe_construction.png"/>
                    <pic:cNvPicPr/>
                  </pic:nvPicPr>
                  <pic:blipFill>
                    <a:blip r:embed="rId93"/>
                    <a:stretch>
                      <a:fillRect/>
                    </a:stretch>
                  </pic:blipFill>
                  <pic:spPr>
                    <a:xfrm>
                      <a:off x="0" y="0"/>
                      <a:ext cx="4156363" cy="3275214"/>
                    </a:xfrm>
                    <a:prstGeom prst="rect"/>
                  </pic:spPr>
                </pic:pic>
              </a:graphicData>
            </a:graphic>
          </wp:inline>
        </w:drawing>
      </w:r>
    </w:p>
    <w:p>
      <w:bookmarkStart w:id="105" w:name="BM_FIGV_9"/>
      <w:pPr>
        <w:jc w:val="center"/>
      </w:pPr>
      <w:r>
        <w:rPr>
          <w:rFonts w:ascii="Times New Roman" w:hAnsi="Times New Roman" w:cs="Times New Roman" w:eastAsia="Times New Roman"/>
          <w:b/>
          <w:sz w:val="20"/>
        </w:rPr>
        <w:t>Figure V.9 — Monroe Street Bridge en construction à Spokane en 1911 : cintres, arcs et appuis</w:t>
      </w:r>
      <w:bookmarkEnd w:id="105"/>
    </w:p>
    <w:p>
      <w:pPr>
        <w:jc w:val="right"/>
      </w:pPr>
      <w:r>
        <w:rPr>
          <w:rFonts w:ascii="Times New Roman" w:hAnsi="Times New Roman" w:cs="Times New Roman" w:eastAsia="Times New Roman"/>
          <w:b w:val="0"/>
          <w:color w:val="59636B"/>
          <w:sz w:val="20"/>
        </w:rPr>
        <w:t>Source : William O. Reed, University of Washington, 1er juin 1911, domaine public, via Wikimedia Commons.</w:t>
      </w:r>
    </w:p>
    <w:p>
      <w:pPr>
        <w:jc w:val="both"/>
      </w:pPr>
      <w:r>
        <w:rPr>
          <w:rFonts w:ascii="Times New Roman" w:hAnsi="Times New Roman" w:cs="Times New Roman" w:eastAsia="Times New Roman"/>
          <w:b w:val="0"/>
          <w:sz w:val="24"/>
        </w:rPr>
        <w:t>Une autre archive permet d’isoler l’opération de bétonnage d’une fondation de pile. Elle est utilisée ici pour la lecture du phasage et du contrôle d’exécution, sans extrapolation de ses matériaux ou de sa géométrie à un projet actuel.</w:t>
      </w:r>
    </w:p>
    <w:p>
      <w:pPr>
        <w:keepNext/>
        <w:jc w:val="center"/>
      </w:pPr>
      <w:r>
        <w:drawing>
          <wp:inline xmlns:a="http://schemas.openxmlformats.org/drawingml/2006/main" xmlns:pic="http://schemas.openxmlformats.org/drawingml/2006/picture">
            <wp:extent cx="3924812" cy="5220000"/>
            <wp:docPr id="60" name="Picture 60"/>
            <wp:cNvGraphicFramePr>
              <a:graphicFrameLocks noChangeAspect="1"/>
            </wp:cNvGraphicFramePr>
            <a:graphic>
              <a:graphicData uri="http://schemas.openxmlformats.org/drawingml/2006/picture">
                <pic:pic>
                  <pic:nvPicPr>
                    <pic:cNvPr id="0" name="photo_story_bridge_foundation.png"/>
                    <pic:cNvPicPr/>
                  </pic:nvPicPr>
                  <pic:blipFill>
                    <a:blip r:embed="rId94"/>
                    <a:stretch>
                      <a:fillRect/>
                    </a:stretch>
                  </pic:blipFill>
                  <pic:spPr>
                    <a:xfrm>
                      <a:off x="0" y="0"/>
                      <a:ext cx="3924812" cy="5220000"/>
                    </a:xfrm>
                    <a:prstGeom prst="rect"/>
                  </pic:spPr>
                </pic:pic>
              </a:graphicData>
            </a:graphic>
          </wp:inline>
        </w:drawing>
      </w:r>
    </w:p>
    <w:p>
      <w:bookmarkStart w:id="106" w:name="BM_FIGV_10"/>
      <w:pPr>
        <w:jc w:val="center"/>
      </w:pPr>
      <w:r>
        <w:rPr>
          <w:rFonts w:ascii="Times New Roman" w:hAnsi="Times New Roman" w:cs="Times New Roman" w:eastAsia="Times New Roman"/>
          <w:b/>
          <w:sz w:val="20"/>
        </w:rPr>
        <w:t>Figure V.10 — Bétonnage de la fondation de la pile principale nord du Story Bridge à Brisbane (30 janvier 1936)</w:t>
      </w:r>
      <w:bookmarkEnd w:id="106"/>
    </w:p>
    <w:p>
      <w:pPr>
        <w:jc w:val="right"/>
      </w:pPr>
      <w:r>
        <w:rPr>
          <w:rFonts w:ascii="Times New Roman" w:hAnsi="Times New Roman" w:cs="Times New Roman" w:eastAsia="Times New Roman"/>
          <w:b w:val="0"/>
          <w:color w:val="59636B"/>
          <w:sz w:val="20"/>
        </w:rPr>
        <w:t>Source : Lands Department, Queensland State Archives, image 3147, domaine public, via Wikimedia Commons.</w:t>
      </w:r>
    </w:p>
    <w:p>
      <w:pPr>
        <w:pStyle w:val="Heading2"/>
      </w:pPr>
      <w:r>
        <w:rPr>
          <w:rFonts w:ascii="Times New Roman" w:hAnsi="Times New Roman" w:cs="Times New Roman" w:eastAsia="Times New Roman"/>
          <w:b/>
          <w:color w:val="1F4E79"/>
          <w:sz w:val="24"/>
        </w:rPr>
        <w:t>V.11 Contenu du dossier géotechnique</w:t>
      </w:r>
    </w:p>
    <w:p>
      <w:pPr>
        <w:jc w:val="both"/>
      </w:pPr>
      <w:r>
        <w:rPr>
          <w:rFonts w:ascii="Times New Roman" w:hAnsi="Times New Roman" w:cs="Times New Roman" w:eastAsia="Times New Roman"/>
          <w:b w:val="0"/>
          <w:sz w:val="24"/>
        </w:rPr>
        <w:t>Le dossier final doit permettre à un tiers de reconstruire le raisonnement. Il comprend les données sources, les logs, les résultats bruts et corrigés, le modèle de site, les paramètres, les hypothèses, les vérifications, les exigences de construction et le plan de suivi. Les figures et les tableaux indiquent leur origine et leurs unités.</w:t>
      </w:r>
    </w:p>
    <w:p>
      <w:pPr>
        <w:jc w:val="both"/>
      </w:pPr>
      <w:r>
        <w:rPr>
          <w:rFonts w:ascii="Times New Roman" w:hAnsi="Times New Roman" w:cs="Times New Roman" w:eastAsia="Times New Roman"/>
          <w:b w:val="0"/>
          <w:sz w:val="24"/>
        </w:rPr>
        <w:t>Les limites sont explicites : zones non investiguées, méthodes non applicables, résultats discordants et scénarios non tranchés. Les recommandations identifient celles qui sont impératives pour la sécurité, celles qui optimisent le projet et celles qui restent conditionnées à une décision ultérieure.</w:t>
      </w:r>
    </w:p>
    <w:p>
      <w:pPr>
        <w:pStyle w:val="Heading2"/>
      </w:pPr>
      <w:r>
        <w:rPr>
          <w:rFonts w:ascii="Times New Roman" w:hAnsi="Times New Roman" w:cs="Times New Roman" w:eastAsia="Times New Roman"/>
          <w:b/>
          <w:color w:val="1F4E79"/>
          <w:sz w:val="24"/>
        </w:rPr>
        <w:t>V.12 Conclusion du chapitre</w:t>
      </w:r>
    </w:p>
    <w:p>
      <w:pPr>
        <w:jc w:val="both"/>
      </w:pPr>
      <w:r>
        <w:rPr>
          <w:rFonts w:ascii="Times New Roman" w:hAnsi="Times New Roman" w:cs="Times New Roman" w:eastAsia="Times New Roman"/>
          <w:b w:val="0"/>
          <w:sz w:val="24"/>
        </w:rPr>
        <w:t>L’interprétation des données est une chaîne de décisions contrôlées. La valeur caractéristique n’est pas une formule statistique automatique, la résistance de calcul n’est pas réduite deux fois et les approches de calcul ne sont pas mélangées. Les fondations sont comparées sur la sécurité, les déplacements, la construction, la durabilité et le cycle de vie.</w:t>
      </w:r>
    </w:p>
    <w:p>
      <w:pPr>
        <w:jc w:val="both"/>
      </w:pPr>
      <w:r>
        <w:rPr>
          <w:rFonts w:ascii="Times New Roman" w:hAnsi="Times New Roman" w:cs="Times New Roman" w:eastAsia="Times New Roman"/>
          <w:b w:val="0"/>
          <w:sz w:val="24"/>
        </w:rPr>
        <w:t>La méthode observationnelle prolonge cette démarche pendant l’exécution. Le chapitre VI applique ces principes au contexte algérien, en distinguant les documents réglementaires, les études scientifiques et les événements rapportés par la presse.</w:t>
      </w:r>
    </w:p>
    <w:p>
      <w:pPr>
        <w:sectPr>
          <w:headerReference w:type="default" r:id="rId81"/>
          <w:footerReference w:type="default" r:id="rId82"/>
          <w:headerReference w:type="first" r:id="rId83"/>
          <w:footerReference w:type="first" r:id="rId84"/>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CHAPITRE VI — APPLICATION MÉTHODOLOGIQUE AU CONTEXTE ALGÉRIEN ET SYNTHÈSE MULTIDISCIPLINAIRE</w:t>
      </w:r>
    </w:p>
    <w:p>
      <w:pPr>
        <w:pStyle w:val="Heading2"/>
      </w:pPr>
      <w:r>
        <w:rPr>
          <w:rFonts w:ascii="Times New Roman" w:hAnsi="Times New Roman" w:cs="Times New Roman" w:eastAsia="Times New Roman"/>
          <w:b/>
          <w:color w:val="1F4E79"/>
          <w:sz w:val="24"/>
        </w:rPr>
        <w:t>VI.1 Introduction</w:t>
      </w:r>
    </w:p>
    <w:p>
      <w:pPr>
        <w:jc w:val="both"/>
      </w:pPr>
      <w:r>
        <w:rPr>
          <w:rFonts w:ascii="Times New Roman" w:hAnsi="Times New Roman" w:cs="Times New Roman" w:eastAsia="Times New Roman"/>
          <w:b w:val="0"/>
          <w:sz w:val="24"/>
        </w:rPr>
        <w:t>Le contexte algérien ne constitue pas un modèle géotechnique unique. Les littoraux, les reliefs du nord, les hauts plateaux et le Sahara présentent des lithologies, des régimes hydrologiques et des contraintes de construction différents. Une application responsable consiste donc à organiser les questions et les preuves, non à attribuer une couche ou un aléa à tout le territoire.</w:t>
      </w:r>
    </w:p>
    <w:p>
      <w:pPr>
        <w:jc w:val="both"/>
      </w:pPr>
      <w:r>
        <w:rPr>
          <w:rFonts w:ascii="Times New Roman" w:hAnsi="Times New Roman" w:cs="Times New Roman" w:eastAsia="Times New Roman"/>
          <w:b w:val="0"/>
          <w:sz w:val="24"/>
        </w:rPr>
        <w:t>Ce chapitre replace la démarche dans le cadre documentaire algérien, examine quelques publications locales et distingue les événements rapportés des expertises techniques. Il précise ensuite la collaboration entre géologues, hydrologues, géotechniciens, hydrauliciens, structures, entreprises et gestionnaires. Il ne présente aucune investigation de terrain inédite : son apport est une synthèse bibliographique et une trame applicable à de futurs projets.</w:t>
      </w:r>
    </w:p>
    <w:p>
      <w:pPr>
        <w:pStyle w:val="Heading2"/>
      </w:pPr>
      <w:r>
        <w:rPr>
          <w:rFonts w:ascii="Times New Roman" w:hAnsi="Times New Roman" w:cs="Times New Roman" w:eastAsia="Times New Roman"/>
          <w:b/>
          <w:color w:val="1F4E79"/>
          <w:sz w:val="24"/>
        </w:rPr>
        <w:t>VI.2 Diversité des contextes et conséquences pour les ponts</w:t>
      </w:r>
    </w:p>
    <w:p>
      <w:pPr>
        <w:pStyle w:val="Heading3"/>
      </w:pPr>
      <w:r>
        <w:rPr>
          <w:rFonts w:ascii="Times New Roman" w:hAnsi="Times New Roman" w:cs="Times New Roman" w:eastAsia="Times New Roman"/>
          <w:b/>
          <w:color w:val="233741"/>
          <w:sz w:val="24"/>
        </w:rPr>
        <w:t>VI.2.1 Reliefs, bassins et traversées</w:t>
      </w:r>
    </w:p>
    <w:p>
      <w:pPr>
        <w:jc w:val="both"/>
      </w:pPr>
      <w:r>
        <w:rPr>
          <w:rFonts w:ascii="Times New Roman" w:hAnsi="Times New Roman" w:cs="Times New Roman" w:eastAsia="Times New Roman"/>
          <w:b w:val="0"/>
          <w:sz w:val="24"/>
        </w:rPr>
        <w:t>Dans les zones de relief, les ouvrages peuvent franchir des vallées encaissées, des formations de versant et des cours d’eau à réponse rapide. Les questions associées portent sur la stabilité globale, les apports solides, l’évolution du lit et l’accès aux appuis. Ces possibilités ne sont pas présumées présentes : elles orientent la reconnaissance.</w:t>
      </w:r>
    </w:p>
    <w:p>
      <w:pPr>
        <w:jc w:val="both"/>
      </w:pPr>
      <w:r>
        <w:rPr>
          <w:rFonts w:ascii="Times New Roman" w:hAnsi="Times New Roman" w:cs="Times New Roman" w:eastAsia="Times New Roman"/>
          <w:b w:val="0"/>
          <w:sz w:val="24"/>
        </w:rPr>
        <w:t>Sur les plateaux et dans les zones plus ouvertes, d’autres configurations peuvent dominer : plaines alluviales, dépressions, formations évaporitiques ou réseaux hydrographiques à écoulement intermittent. Le fonctionnement pendant les crues et la continuité des dépôts doivent être étudiés à partir de données locales. Une carte régionale ne remplace ni le profil d’appui ni l’historique du site.</w:t>
      </w:r>
    </w:p>
    <w:p>
      <w:pPr>
        <w:jc w:val="both"/>
      </w:pPr>
      <w:r>
        <w:rPr>
          <w:rFonts w:ascii="Times New Roman" w:hAnsi="Times New Roman" w:cs="Times New Roman" w:eastAsia="Times New Roman"/>
          <w:b w:val="0"/>
          <w:sz w:val="24"/>
        </w:rPr>
        <w:t>Les traversées en zones arides ne sont pas nécessairement dépourvues de risque hydraulique. L’absence d’écoulement au moment de la visite ne renseigne pas sur la crue de projet. Les traces de crue, la géomorphologie, les témoignages correctement attribués et les données disponibles sont examinés ensemble.</w:t>
      </w:r>
    </w:p>
    <w:p>
      <w:pPr>
        <w:pStyle w:val="Heading3"/>
      </w:pPr>
      <w:r>
        <w:rPr>
          <w:rFonts w:ascii="Times New Roman" w:hAnsi="Times New Roman" w:cs="Times New Roman" w:eastAsia="Times New Roman"/>
          <w:b/>
          <w:color w:val="233741"/>
          <w:sz w:val="24"/>
        </w:rPr>
        <w:t>VI.2.2 Sols et roches à comportement particulier</w:t>
      </w:r>
    </w:p>
    <w:p>
      <w:pPr>
        <w:jc w:val="both"/>
      </w:pPr>
      <w:r>
        <w:rPr>
          <w:rFonts w:ascii="Times New Roman" w:hAnsi="Times New Roman" w:cs="Times New Roman" w:eastAsia="Times New Roman"/>
          <w:b w:val="0"/>
          <w:sz w:val="24"/>
        </w:rPr>
        <w:t>Les carbonates karstifiés, les formations gypseuses, les sols salins, les dépôts compressibles ou potentiellement collapsibles et les masses altérées constituent des familles de problèmes possibles. Leur présence et leurs propriétés sont démontrées par la géologie et les essais ; elles ne sont pas déduites du seul nom d’une région.</w:t>
      </w:r>
    </w:p>
    <w:p>
      <w:pPr>
        <w:jc w:val="both"/>
      </w:pPr>
      <w:r>
        <w:rPr>
          <w:rFonts w:ascii="Times New Roman" w:hAnsi="Times New Roman" w:cs="Times New Roman" w:eastAsia="Times New Roman"/>
          <w:b w:val="0"/>
          <w:sz w:val="24"/>
        </w:rPr>
        <w:t>Pour chaque formation, la reconnaissance cherche le mécanisme : dissolution et drainage souterrain, perte de masse, variation de volume à l’humidification, compressibilité différée ou rupture le long de discontinuités. Cette formulation évite une liste de « sols problématiques » sans relation avec les fondations.</w:t>
      </w:r>
    </w:p>
    <w:p>
      <w:pPr>
        <w:pStyle w:val="Heading3"/>
      </w:pPr>
      <w:r>
        <w:rPr>
          <w:rFonts w:ascii="Times New Roman" w:hAnsi="Times New Roman" w:cs="Times New Roman" w:eastAsia="Times New Roman"/>
          <w:b/>
          <w:color w:val="233741"/>
          <w:sz w:val="24"/>
        </w:rPr>
        <w:t>VI.2.3 Aléa sismique et contexte réglementaire</w:t>
      </w:r>
    </w:p>
    <w:p>
      <w:pPr>
        <w:jc w:val="both"/>
      </w:pPr>
      <w:r>
        <w:rPr>
          <w:rFonts w:ascii="Times New Roman" w:hAnsi="Times New Roman" w:cs="Times New Roman" w:eastAsia="Times New Roman"/>
          <w:b w:val="0"/>
          <w:sz w:val="24"/>
        </w:rPr>
        <w:t>L’aléa sismique, la réponse du site et la vulnérabilité des fondations doivent être examinés avec le règlement applicable et les données de projet. L’approbation des RPA 2024 impose d’actualiser les références réglementaires des études nouvelles selon les dispositions transitoires de l’arrêté. Cela ne signifie pas que tous les coefficients de l’ancien document peuvent être remplacés mécaniquement sans consulter le nouveau texte.</w:t>
      </w:r>
    </w:p>
    <w:p>
      <w:pPr>
        <w:jc w:val="both"/>
      </w:pPr>
      <w:r>
        <w:rPr>
          <w:rFonts w:ascii="Times New Roman" w:hAnsi="Times New Roman" w:cs="Times New Roman" w:eastAsia="Times New Roman"/>
          <w:b w:val="0"/>
          <w:sz w:val="24"/>
        </w:rPr>
        <w:t>Les vérifications de liquéfaction, de stabilité dynamique et d’interaction sol–structure sont coordonnées. Le géotechnicien fournit le modèle et les paramètres ; le spécialiste de la réponse sismique et le structuraliste définissent les sollicitations et les critères de performance selon leurs responsabilités.</w:t>
      </w:r>
    </w:p>
    <w:p>
      <w:pPr>
        <w:pStyle w:val="Heading2"/>
      </w:pPr>
      <w:r>
        <w:rPr>
          <w:rFonts w:ascii="Times New Roman" w:hAnsi="Times New Roman" w:cs="Times New Roman" w:eastAsia="Times New Roman"/>
          <w:b/>
          <w:color w:val="1F4E79"/>
          <w:sz w:val="24"/>
        </w:rPr>
        <w:t>VI.3 Cadre documentaire algérien</w:t>
      </w:r>
    </w:p>
    <w:p>
      <w:pPr>
        <w:pStyle w:val="Heading3"/>
      </w:pPr>
      <w:r>
        <w:rPr>
          <w:rFonts w:ascii="Times New Roman" w:hAnsi="Times New Roman" w:cs="Times New Roman" w:eastAsia="Times New Roman"/>
          <w:b/>
          <w:color w:val="233741"/>
          <w:sz w:val="24"/>
        </w:rPr>
        <w:t>VI.3.1 Approbation des RPA 2024</w:t>
      </w:r>
    </w:p>
    <w:p>
      <w:pPr>
        <w:jc w:val="both"/>
      </w:pPr>
      <w:r>
        <w:rPr>
          <w:rFonts w:ascii="Times New Roman" w:hAnsi="Times New Roman" w:cs="Times New Roman" w:eastAsia="Times New Roman"/>
          <w:b w:val="0"/>
          <w:sz w:val="24"/>
        </w:rPr>
        <w:t>Le Journal officiel no 62 du 8 septembre 2024 publie l’arrêté du 24 juin 2024 portant approbation du DTR-BC 2.48 relatif aux « règles parasismiques algériennes RPA 2024 ». L’article 2 prévoit l’application aux nouvelles études de projet quatre mois après la publication de l’arrêté ; l’article 6 abroge les dispositions de l’arrêté de 2004 portant approbation des RPA 99/version 2003 (MHUV, 2024a).</w:t>
      </w:r>
    </w:p>
    <w:p>
      <w:pPr>
        <w:jc w:val="both"/>
      </w:pPr>
      <w:r>
        <w:rPr>
          <w:rFonts w:ascii="Times New Roman" w:hAnsi="Times New Roman" w:cs="Times New Roman" w:eastAsia="Times New Roman"/>
          <w:b w:val="0"/>
          <w:sz w:val="24"/>
        </w:rPr>
        <w:t>Cette information officielle permet d’actualiser la bibliographie et de signaler la transition. Elle ne dispense pas de consulter le DTR annexé à l’original pour les règles techniques détaillées. Le présent travail n’attribue aucune valeur de coefficient au document à partir du seul arrêté.</w:t>
      </w:r>
    </w:p>
    <w:p>
      <w:pPr>
        <w:pStyle w:val="Heading3"/>
      </w:pPr>
      <w:r>
        <w:rPr>
          <w:rFonts w:ascii="Times New Roman" w:hAnsi="Times New Roman" w:cs="Times New Roman" w:eastAsia="Times New Roman"/>
          <w:b/>
          <w:color w:val="233741"/>
          <w:sz w:val="24"/>
        </w:rPr>
        <w:t>VI.3.2 Approbation du DTR-BC 2.33</w:t>
      </w:r>
    </w:p>
    <w:p>
      <w:pPr>
        <w:jc w:val="both"/>
      </w:pPr>
      <w:r>
        <w:rPr>
          <w:rFonts w:ascii="Times New Roman" w:hAnsi="Times New Roman" w:cs="Times New Roman" w:eastAsia="Times New Roman"/>
          <w:b w:val="0"/>
          <w:sz w:val="24"/>
        </w:rPr>
        <w:t>Le même Journal officiel publie l’arrêté du 24 juin 2024 approuvant le DTR-BC 2.33 relatif aux « règles de conception et calcul des fondations et des soutènements ». L’article 2 prévoit l’application aux nouvelles études trois mois après publication ; l’article 6 abroge les dispositions de l’arrêté du 2 novembre 1991 relatif aux règles de calcul des fondations superficielles (MHUV, 2024b).</w:t>
      </w:r>
    </w:p>
    <w:p>
      <w:pPr>
        <w:jc w:val="both"/>
      </w:pPr>
      <w:r>
        <w:rPr>
          <w:rFonts w:ascii="Times New Roman" w:hAnsi="Times New Roman" w:cs="Times New Roman" w:eastAsia="Times New Roman"/>
          <w:b w:val="0"/>
          <w:sz w:val="24"/>
        </w:rPr>
        <w:t>L’arrêté officialise donc l’existence, l’objet et les dispositions d’application du document. Le texte intégral officiel du DTR-BC 2.33 n’a pas été obtenu dans la bibliothèque consultée pour cette révision. En conséquence, aucun tableau de coefficients, aucune pression admissible et aucun seuil ne lui sont attribués ici. Cette limite doit être levée dans tout projet réel par l’acquisition du document officiel complet.</w:t>
      </w:r>
    </w:p>
    <w:p>
      <w:pPr>
        <w:pStyle w:val="Heading3"/>
      </w:pPr>
      <w:r>
        <w:rPr>
          <w:rFonts w:ascii="Times New Roman" w:hAnsi="Times New Roman" w:cs="Times New Roman" w:eastAsia="Times New Roman"/>
          <w:b/>
          <w:color w:val="233741"/>
          <w:sz w:val="24"/>
        </w:rPr>
        <w:t>VI.3.3 Articulation avec les autres référentiels</w:t>
      </w:r>
    </w:p>
    <w:p>
      <w:pPr>
        <w:jc w:val="both"/>
      </w:pPr>
      <w:r>
        <w:rPr>
          <w:rFonts w:ascii="Times New Roman" w:hAnsi="Times New Roman" w:cs="Times New Roman" w:eastAsia="Times New Roman"/>
          <w:b w:val="0"/>
          <w:sz w:val="24"/>
        </w:rPr>
        <w:t>Les normes d’essais, les règles de béton, les documents hydrauliques et les guides techniques peuvent être complémentaires, mais leurs champs ne sont pas interchangeables. Le dossier de projet doit établir une liste des documents applicables avec édition, date, langue, amendements et clauses pertinentes.</w:t>
      </w:r>
    </w:p>
    <w:p>
      <w:pPr>
        <w:jc w:val="both"/>
      </w:pPr>
      <w:r>
        <w:rPr>
          <w:rFonts w:ascii="Times New Roman" w:hAnsi="Times New Roman" w:cs="Times New Roman" w:eastAsia="Times New Roman"/>
          <w:b w:val="0"/>
          <w:sz w:val="24"/>
        </w:rPr>
        <w:t>Un guide étranger peut éclairer une méthode d’affouillement ou une organisation de reconnaissance sans devenir automatiquement une exigence réglementaire locale. Inversement, l’existence d’un règlement national ne rend pas inutiles les précautions scientifiques et les vérifications de cohérence.</w:t>
      </w:r>
    </w:p>
    <w:p>
      <w:bookmarkStart w:id="107" w:name="BM_TABVI_1"/>
      <w:pPr>
        <w:keepNext/>
        <w:jc w:val="center"/>
      </w:pPr>
      <w:r>
        <w:rPr>
          <w:rFonts w:ascii="Times New Roman" w:hAnsi="Times New Roman" w:cs="Times New Roman" w:eastAsia="Times New Roman"/>
          <w:b/>
          <w:sz w:val="20"/>
        </w:rPr>
        <w:t>Tableau VI.1 — Statut des documents dans un dossier de fondation</w:t>
      </w:r>
      <w:bookmarkEnd w:id="107"/>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Type de document</w:t>
            </w:r>
          </w:p>
        </w:tc>
        <w:tc>
          <w:tcPr>
            <w:tcW w:type="dxa" w:w="2268"/>
            <w:vAlign w:val="center"/>
            <w:shd w:fill="1F4E79"/>
          </w:tcPr>
          <w:p>
            <w:pPr>
              <w:spacing w:after="30"/>
            </w:pPr>
            <w:r>
              <w:rPr>
                <w:rFonts w:ascii="Times New Roman" w:hAnsi="Times New Roman" w:cs="Times New Roman" w:eastAsia="Times New Roman"/>
                <w:b/>
                <w:color w:val="FFFFFF"/>
                <w:sz w:val="17"/>
              </w:rPr>
              <w:t>Fonction</w:t>
            </w:r>
          </w:p>
        </w:tc>
        <w:tc>
          <w:tcPr>
            <w:tcW w:type="dxa" w:w="4535"/>
            <w:vAlign w:val="center"/>
            <w:shd w:fill="1F4E79"/>
          </w:tcPr>
          <w:p>
            <w:pPr>
              <w:spacing w:after="30"/>
            </w:pPr>
            <w:r>
              <w:rPr>
                <w:rFonts w:ascii="Times New Roman" w:hAnsi="Times New Roman" w:cs="Times New Roman" w:eastAsia="Times New Roman"/>
                <w:b/>
                <w:color w:val="FFFFFF"/>
                <w:sz w:val="17"/>
              </w:rPr>
              <w:t>Précaution d’utilisation</w:t>
            </w:r>
          </w:p>
        </w:tc>
      </w:tr>
      <w:tr>
        <w:trPr>
          <w:cantSplit/>
        </w:trPr>
        <w:tc>
          <w:tcPr>
            <w:tcW w:type="dxa" w:w="2268"/>
            <w:vAlign w:val="center"/>
          </w:tcPr>
          <w:p>
            <w:pPr>
              <w:spacing w:after="30"/>
            </w:pPr>
            <w:r>
              <w:rPr>
                <w:rFonts w:ascii="Times New Roman" w:hAnsi="Times New Roman" w:cs="Times New Roman" w:eastAsia="Times New Roman"/>
                <w:b w:val="0"/>
                <w:sz w:val="17"/>
              </w:rPr>
              <w:t>Texte réglementaire et DTR applicable</w:t>
            </w:r>
          </w:p>
        </w:tc>
        <w:tc>
          <w:tcPr>
            <w:tcW w:type="dxa" w:w="2268"/>
            <w:vAlign w:val="center"/>
          </w:tcPr>
          <w:p>
            <w:pPr>
              <w:spacing w:after="30"/>
            </w:pPr>
            <w:r>
              <w:rPr>
                <w:rFonts w:ascii="Times New Roman" w:hAnsi="Times New Roman" w:cs="Times New Roman" w:eastAsia="Times New Roman"/>
                <w:b w:val="0"/>
                <w:sz w:val="17"/>
              </w:rPr>
              <w:t>Exigences et cadre de conformité</w:t>
            </w:r>
          </w:p>
        </w:tc>
        <w:tc>
          <w:tcPr>
            <w:tcW w:type="dxa" w:w="4535"/>
            <w:vAlign w:val="center"/>
          </w:tcPr>
          <w:p>
            <w:pPr>
              <w:spacing w:after="30"/>
            </w:pPr>
            <w:r>
              <w:rPr>
                <w:rFonts w:ascii="Times New Roman" w:hAnsi="Times New Roman" w:cs="Times New Roman" w:eastAsia="Times New Roman"/>
                <w:b w:val="0"/>
                <w:sz w:val="17"/>
              </w:rPr>
              <w:t>Vérifier texte complet, date d’application et champ</w:t>
            </w:r>
          </w:p>
        </w:tc>
      </w:tr>
      <w:tr>
        <w:trPr>
          <w:cantSplit/>
        </w:trPr>
        <w:tc>
          <w:tcPr>
            <w:tcW w:type="dxa" w:w="2268"/>
            <w:vAlign w:val="center"/>
            <w:shd w:fill="F3F6F8"/>
          </w:tcPr>
          <w:p>
            <w:pPr>
              <w:spacing w:after="30"/>
            </w:pPr>
            <w:r>
              <w:rPr>
                <w:rFonts w:ascii="Times New Roman" w:hAnsi="Times New Roman" w:cs="Times New Roman" w:eastAsia="Times New Roman"/>
                <w:b w:val="0"/>
                <w:sz w:val="17"/>
              </w:rPr>
              <w:t>Norme d’essai</w:t>
            </w:r>
          </w:p>
        </w:tc>
        <w:tc>
          <w:tcPr>
            <w:tcW w:type="dxa" w:w="2268"/>
            <w:vAlign w:val="center"/>
            <w:shd w:fill="F3F6F8"/>
          </w:tcPr>
          <w:p>
            <w:pPr>
              <w:spacing w:after="30"/>
            </w:pPr>
            <w:r>
              <w:rPr>
                <w:rFonts w:ascii="Times New Roman" w:hAnsi="Times New Roman" w:cs="Times New Roman" w:eastAsia="Times New Roman"/>
                <w:b w:val="0"/>
                <w:sz w:val="17"/>
              </w:rPr>
              <w:t>Procédure, appareillage, enregistrement et rapport</w:t>
            </w:r>
          </w:p>
        </w:tc>
        <w:tc>
          <w:tcPr>
            <w:tcW w:type="dxa" w:w="4535"/>
            <w:vAlign w:val="center"/>
            <w:shd w:fill="F3F6F8"/>
          </w:tcPr>
          <w:p>
            <w:pPr>
              <w:spacing w:after="30"/>
            </w:pPr>
            <w:r>
              <w:rPr>
                <w:rFonts w:ascii="Times New Roman" w:hAnsi="Times New Roman" w:cs="Times New Roman" w:eastAsia="Times New Roman"/>
                <w:b w:val="0"/>
                <w:sz w:val="17"/>
              </w:rPr>
              <w:t>Ne pas transformer la procédure en corrélation universelle</w:t>
            </w:r>
          </w:p>
        </w:tc>
      </w:tr>
      <w:tr>
        <w:trPr>
          <w:cantSplit/>
        </w:trPr>
        <w:tc>
          <w:tcPr>
            <w:tcW w:type="dxa" w:w="2268"/>
            <w:vAlign w:val="center"/>
          </w:tcPr>
          <w:p>
            <w:pPr>
              <w:spacing w:after="30"/>
            </w:pPr>
            <w:r>
              <w:rPr>
                <w:rFonts w:ascii="Times New Roman" w:hAnsi="Times New Roman" w:cs="Times New Roman" w:eastAsia="Times New Roman"/>
                <w:b w:val="0"/>
                <w:sz w:val="17"/>
              </w:rPr>
              <w:t>Guide technique</w:t>
            </w:r>
          </w:p>
        </w:tc>
        <w:tc>
          <w:tcPr>
            <w:tcW w:type="dxa" w:w="2268"/>
            <w:vAlign w:val="center"/>
          </w:tcPr>
          <w:p>
            <w:pPr>
              <w:spacing w:after="30"/>
            </w:pPr>
            <w:r>
              <w:rPr>
                <w:rFonts w:ascii="Times New Roman" w:hAnsi="Times New Roman" w:cs="Times New Roman" w:eastAsia="Times New Roman"/>
                <w:b w:val="0"/>
                <w:sz w:val="17"/>
              </w:rPr>
              <w:t>Méthode et retour d’expérience dans un domaine défini</w:t>
            </w:r>
          </w:p>
        </w:tc>
        <w:tc>
          <w:tcPr>
            <w:tcW w:type="dxa" w:w="4535"/>
            <w:vAlign w:val="center"/>
          </w:tcPr>
          <w:p>
            <w:pPr>
              <w:spacing w:after="30"/>
            </w:pPr>
            <w:r>
              <w:rPr>
                <w:rFonts w:ascii="Times New Roman" w:hAnsi="Times New Roman" w:cs="Times New Roman" w:eastAsia="Times New Roman"/>
                <w:b w:val="0"/>
                <w:sz w:val="17"/>
              </w:rPr>
              <w:t>Vérifier hypothèses, édition et applicabilité locale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Article scientifique</w:t>
            </w:r>
          </w:p>
        </w:tc>
        <w:tc>
          <w:tcPr>
            <w:tcW w:type="dxa" w:w="2268"/>
            <w:vAlign w:val="center"/>
            <w:shd w:fill="F3F6F8"/>
          </w:tcPr>
          <w:p>
            <w:pPr>
              <w:spacing w:after="30"/>
            </w:pPr>
            <w:r>
              <w:rPr>
                <w:rFonts w:ascii="Times New Roman" w:hAnsi="Times New Roman" w:cs="Times New Roman" w:eastAsia="Times New Roman"/>
                <w:b w:val="0"/>
                <w:sz w:val="17"/>
              </w:rPr>
              <w:t>Résultat et méthode pour un cas ou une population</w:t>
            </w:r>
          </w:p>
        </w:tc>
        <w:tc>
          <w:tcPr>
            <w:tcW w:type="dxa" w:w="4535"/>
            <w:vAlign w:val="center"/>
            <w:shd w:fill="F3F6F8"/>
          </w:tcPr>
          <w:p>
            <w:pPr>
              <w:spacing w:after="30"/>
            </w:pPr>
            <w:r>
              <w:rPr>
                <w:rFonts w:ascii="Times New Roman" w:hAnsi="Times New Roman" w:cs="Times New Roman" w:eastAsia="Times New Roman"/>
                <w:b w:val="0"/>
                <w:sz w:val="17"/>
              </w:rPr>
              <w:t>Distinguer conclusion de l’auteur et généralisation</w:t>
            </w:r>
          </w:p>
        </w:tc>
      </w:tr>
      <w:tr>
        <w:trPr>
          <w:cantSplit/>
        </w:trPr>
        <w:tc>
          <w:tcPr>
            <w:tcW w:type="dxa" w:w="2268"/>
            <w:vAlign w:val="center"/>
          </w:tcPr>
          <w:p>
            <w:pPr>
              <w:spacing w:after="30"/>
            </w:pPr>
            <w:r>
              <w:rPr>
                <w:rFonts w:ascii="Times New Roman" w:hAnsi="Times New Roman" w:cs="Times New Roman" w:eastAsia="Times New Roman"/>
                <w:b w:val="0"/>
                <w:sz w:val="17"/>
              </w:rPr>
              <w:t>Rapport de projet</w:t>
            </w:r>
          </w:p>
        </w:tc>
        <w:tc>
          <w:tcPr>
            <w:tcW w:type="dxa" w:w="2268"/>
            <w:vAlign w:val="center"/>
          </w:tcPr>
          <w:p>
            <w:pPr>
              <w:spacing w:after="30"/>
            </w:pPr>
            <w:r>
              <w:rPr>
                <w:rFonts w:ascii="Times New Roman" w:hAnsi="Times New Roman" w:cs="Times New Roman" w:eastAsia="Times New Roman"/>
                <w:b w:val="0"/>
                <w:sz w:val="17"/>
              </w:rPr>
              <w:t>Données et décisions pour un ouvrage précis</w:t>
            </w:r>
          </w:p>
        </w:tc>
        <w:tc>
          <w:tcPr>
            <w:tcW w:type="dxa" w:w="4535"/>
            <w:vAlign w:val="center"/>
          </w:tcPr>
          <w:p>
            <w:pPr>
              <w:spacing w:after="30"/>
            </w:pPr>
            <w:r>
              <w:rPr>
                <w:rFonts w:ascii="Times New Roman" w:hAnsi="Times New Roman" w:cs="Times New Roman" w:eastAsia="Times New Roman"/>
                <w:b w:val="0"/>
                <w:sz w:val="17"/>
              </w:rPr>
              <w:t>Contrôler traçabilité et non transférer sans nouvelle étude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Article de presse</w:t>
            </w:r>
          </w:p>
        </w:tc>
        <w:tc>
          <w:tcPr>
            <w:tcW w:type="dxa" w:w="2268"/>
            <w:vAlign w:val="center"/>
            <w:shd w:fill="F3F6F8"/>
          </w:tcPr>
          <w:p>
            <w:pPr>
              <w:spacing w:after="30"/>
            </w:pPr>
            <w:r>
              <w:rPr>
                <w:rFonts w:ascii="Times New Roman" w:hAnsi="Times New Roman" w:cs="Times New Roman" w:eastAsia="Times New Roman"/>
                <w:b w:val="0"/>
                <w:sz w:val="17"/>
              </w:rPr>
              <w:t>Signalement et chronologie d’un événement</w:t>
            </w:r>
          </w:p>
        </w:tc>
        <w:tc>
          <w:tcPr>
            <w:tcW w:type="dxa" w:w="4535"/>
            <w:vAlign w:val="center"/>
            <w:shd w:fill="F3F6F8"/>
          </w:tcPr>
          <w:p>
            <w:pPr>
              <w:spacing w:after="30"/>
            </w:pPr>
            <w:r>
              <w:rPr>
                <w:rFonts w:ascii="Times New Roman" w:hAnsi="Times New Roman" w:cs="Times New Roman" w:eastAsia="Times New Roman"/>
                <w:b w:val="0"/>
                <w:sz w:val="17"/>
              </w:rPr>
              <w:t>Ne pas le présenter comme une expertise causale</w:t>
            </w:r>
          </w:p>
        </w:tc>
      </w:tr>
    </w:tbl>
    <w:p>
      <w:pPr>
        <w:spacing w:after="20"/>
      </w:pPr>
    </w:p>
    <w:p>
      <w:pPr>
        <w:pStyle w:val="Heading2"/>
      </w:pPr>
      <w:r>
        <w:rPr>
          <w:rFonts w:ascii="Times New Roman" w:hAnsi="Times New Roman" w:cs="Times New Roman" w:eastAsia="Times New Roman"/>
          <w:b/>
          <w:color w:val="1F4E79"/>
          <w:sz w:val="24"/>
        </w:rPr>
        <w:t>VI.4 Apports et limites des publications sur le karst algérien</w:t>
      </w:r>
    </w:p>
    <w:p>
      <w:pPr>
        <w:pStyle w:val="Heading3"/>
      </w:pPr>
      <w:r>
        <w:rPr>
          <w:rFonts w:ascii="Times New Roman" w:hAnsi="Times New Roman" w:cs="Times New Roman" w:eastAsia="Times New Roman"/>
          <w:b/>
          <w:color w:val="233741"/>
          <w:sz w:val="24"/>
        </w:rPr>
        <w:t>VI.4.1 Chéria : une source méthodologique, pas un pont étudié</w:t>
      </w:r>
    </w:p>
    <w:p>
      <w:pPr>
        <w:jc w:val="both"/>
      </w:pPr>
      <w:r>
        <w:rPr>
          <w:rFonts w:ascii="Times New Roman" w:hAnsi="Times New Roman" w:cs="Times New Roman" w:eastAsia="Times New Roman"/>
          <w:b w:val="0"/>
          <w:sz w:val="24"/>
        </w:rPr>
        <w:t>Les travaux sur Chéria offrent des exemples de reconnaissance et de modélisation du karst. Ils ne documentent pas une fondation de pont. Leur intérêt pour le présent travail réside dans l’articulation des méthodes et dans la discussion des mécanismes d’effondrement.</w:t>
      </w:r>
    </w:p>
    <w:p>
      <w:pPr>
        <w:jc w:val="both"/>
      </w:pPr>
      <w:r>
        <w:rPr>
          <w:rFonts w:ascii="Times New Roman" w:hAnsi="Times New Roman" w:cs="Times New Roman" w:eastAsia="Times New Roman"/>
          <w:b w:val="0"/>
          <w:sz w:val="24"/>
        </w:rPr>
        <w:t>MOUICI et al. (2017) combinent géoradar, tomographie de résistivité électrique, SPT, carottages et observations spéléologiques pour analyser la genèse d’effondrements. Cette combinaison illustre la valeur de la validation croisée : une anomalie géophysique est confrontée à des observations directes et à un modèle géologique. Elle ne justifie pas d’imposer exactement le même programme à tout ouvrage.</w:t>
      </w:r>
    </w:p>
    <w:p>
      <w:pPr>
        <w:jc w:val="both"/>
      </w:pPr>
      <w:r>
        <w:rPr>
          <w:rFonts w:ascii="Times New Roman" w:hAnsi="Times New Roman" w:cs="Times New Roman" w:eastAsia="Times New Roman"/>
          <w:b w:val="0"/>
          <w:sz w:val="24"/>
        </w:rPr>
        <w:t>AZIZI et al. (2014) étudient la stabilité de cavités et soulignent le rôle des propriétés géomécaniques et de la géométrie. Leurs résultats sont propres aux configurations analysées. Un rapport géométrique issu de cette étude ne devient pas un critère universel de sécurité sous une fondation de pont, où la charge, le toit, les discontinuités et le niveau d’eau peuvent différer.</w:t>
      </w:r>
    </w:p>
    <w:p>
      <w:pPr>
        <w:pStyle w:val="Heading3"/>
      </w:pPr>
      <w:r>
        <w:rPr>
          <w:rFonts w:ascii="Times New Roman" w:hAnsi="Times New Roman" w:cs="Times New Roman" w:eastAsia="Times New Roman"/>
          <w:b/>
          <w:color w:val="233741"/>
          <w:sz w:val="24"/>
        </w:rPr>
        <w:t>VI.4.2 Hydrogéochimie et détection</w:t>
      </w:r>
    </w:p>
    <w:p>
      <w:pPr>
        <w:jc w:val="both"/>
      </w:pPr>
      <w:r>
        <w:rPr>
          <w:rFonts w:ascii="Times New Roman" w:hAnsi="Times New Roman" w:cs="Times New Roman" w:eastAsia="Times New Roman"/>
          <w:b w:val="0"/>
          <w:sz w:val="24"/>
        </w:rPr>
        <w:t>BAALI et al. (2015) traitent l’hydrochimie et l’exploration isotopique d’un aquifère karstique de la plaine de Chéria. Cette source informe le fonctionnement hydrogéologique ; elle ne doit pas être citée pour une résistance mécanique ou un seuil de rupture de toit.</w:t>
      </w:r>
    </w:p>
    <w:p>
      <w:pPr>
        <w:jc w:val="both"/>
      </w:pPr>
      <w:r>
        <w:rPr>
          <w:rFonts w:ascii="Times New Roman" w:hAnsi="Times New Roman" w:cs="Times New Roman" w:eastAsia="Times New Roman"/>
          <w:b w:val="0"/>
          <w:sz w:val="24"/>
        </w:rPr>
        <w:t>BRAHMI et al. (2023) utilisent une imagerie tomographique pour la détection d’effondrements dans les hautes plaines sétifiennes. Les profondeurs et dispositifs d’investigation publiés décrivent leur étude. Ils fournissent un exemple de méthode, non une profondeur minimale obligatoire pour tous les ponts.</w:t>
      </w:r>
    </w:p>
    <w:p>
      <w:pPr>
        <w:pStyle w:val="Heading3"/>
      </w:pPr>
      <w:r>
        <w:rPr>
          <w:rFonts w:ascii="Times New Roman" w:hAnsi="Times New Roman" w:cs="Times New Roman" w:eastAsia="Times New Roman"/>
          <w:b/>
          <w:color w:val="233741"/>
          <w:sz w:val="24"/>
        </w:rPr>
        <w:t>VI.4.3 Transfert méthodologique</w:t>
      </w:r>
    </w:p>
    <w:p>
      <w:pPr>
        <w:jc w:val="both"/>
      </w:pPr>
      <w:r>
        <w:rPr>
          <w:rFonts w:ascii="Times New Roman" w:hAnsi="Times New Roman" w:cs="Times New Roman" w:eastAsia="Times New Roman"/>
          <w:b w:val="0"/>
          <w:sz w:val="24"/>
        </w:rPr>
        <w:t>Le transfert vers un projet de pont suit quatre étapes : formuler le mécanisme recherché, choisir les méthodes capables de le contraindre, confronter les résultats et évaluer le risque résiduel. La géophysique peut orienter les sondages ; elle ne les remplace pas systématiquement. Les données hydrochimiques peuvent éclairer le drainage ; elles ne quantifient pas seules la stabilité.</w:t>
      </w:r>
    </w:p>
    <w:p>
      <w:pPr>
        <w:jc w:val="both"/>
      </w:pPr>
      <w:r>
        <w:rPr>
          <w:rFonts w:ascii="Times New Roman" w:hAnsi="Times New Roman" w:cs="Times New Roman" w:eastAsia="Times New Roman"/>
          <w:b w:val="0"/>
          <w:sz w:val="24"/>
        </w:rPr>
        <w:t>Les divergences bibliographiques sont également utiles. Lorsque des titres, des revues ou des résultats diffèrent entre notices, la source primaire est recherchée et la référence corrigée. Les informations non confirmées sont retirées du raisonnement plutôt que conservées pour remplir une bibliographie.</w:t>
      </w:r>
    </w:p>
    <w:p>
      <w:bookmarkStart w:id="108" w:name="BM_TABVI_2"/>
      <w:pPr>
        <w:keepNext/>
        <w:jc w:val="center"/>
      </w:pPr>
      <w:r>
        <w:rPr>
          <w:rFonts w:ascii="Times New Roman" w:hAnsi="Times New Roman" w:cs="Times New Roman" w:eastAsia="Times New Roman"/>
          <w:b/>
          <w:sz w:val="20"/>
        </w:rPr>
        <w:t>Tableau VI.2 — Portée de quatre publications algériennes sur le karst</w:t>
      </w:r>
      <w:bookmarkEnd w:id="108"/>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3024"/>
            <w:vAlign w:val="center"/>
            <w:shd w:fill="1F4E79"/>
          </w:tcPr>
          <w:p>
            <w:pPr>
              <w:spacing w:after="30"/>
            </w:pPr>
            <w:r>
              <w:rPr>
                <w:rFonts w:ascii="Times New Roman" w:hAnsi="Times New Roman" w:cs="Times New Roman" w:eastAsia="Times New Roman"/>
                <w:b/>
                <w:color w:val="FFFFFF"/>
                <w:sz w:val="17"/>
              </w:rPr>
              <w:t>Référence</w:t>
            </w:r>
          </w:p>
        </w:tc>
        <w:tc>
          <w:tcPr>
            <w:tcW w:type="dxa" w:w="3024"/>
            <w:vAlign w:val="center"/>
            <w:shd w:fill="1F4E79"/>
          </w:tcPr>
          <w:p>
            <w:pPr>
              <w:spacing w:after="30"/>
            </w:pPr>
            <w:r>
              <w:rPr>
                <w:rFonts w:ascii="Times New Roman" w:hAnsi="Times New Roman" w:cs="Times New Roman" w:eastAsia="Times New Roman"/>
                <w:b/>
                <w:color w:val="FFFFFF"/>
                <w:sz w:val="17"/>
              </w:rPr>
              <w:t>Apport vérifié</w:t>
            </w:r>
          </w:p>
        </w:tc>
        <w:tc>
          <w:tcPr>
            <w:tcW w:type="dxa" w:w="3024"/>
            <w:vAlign w:val="center"/>
            <w:shd w:fill="1F4E79"/>
          </w:tcPr>
          <w:p>
            <w:pPr>
              <w:spacing w:after="30"/>
            </w:pPr>
            <w:r>
              <w:rPr>
                <w:rFonts w:ascii="Times New Roman" w:hAnsi="Times New Roman" w:cs="Times New Roman" w:eastAsia="Times New Roman"/>
                <w:b/>
                <w:color w:val="FFFFFF"/>
                <w:sz w:val="17"/>
              </w:rPr>
              <w:t>Limite pour une fondation de pont</w:t>
            </w:r>
          </w:p>
        </w:tc>
      </w:tr>
      <w:tr>
        <w:trPr>
          <w:cantSplit/>
        </w:trPr>
        <w:tc>
          <w:tcPr>
            <w:tcW w:type="dxa" w:w="3024"/>
            <w:vAlign w:val="center"/>
          </w:tcPr>
          <w:p>
            <w:pPr>
              <w:spacing w:after="30"/>
            </w:pPr>
            <w:r>
              <w:rPr>
                <w:rFonts w:ascii="Times New Roman" w:hAnsi="Times New Roman" w:cs="Times New Roman" w:eastAsia="Times New Roman"/>
                <w:b w:val="0"/>
                <w:sz w:val="17"/>
              </w:rPr>
              <w:t>MOUICI et al. (2017)</w:t>
            </w:r>
          </w:p>
        </w:tc>
        <w:tc>
          <w:tcPr>
            <w:tcW w:type="dxa" w:w="3024"/>
            <w:vAlign w:val="center"/>
          </w:tcPr>
          <w:p>
            <w:pPr>
              <w:spacing w:after="30"/>
            </w:pPr>
            <w:r>
              <w:rPr>
                <w:rFonts w:ascii="Times New Roman" w:hAnsi="Times New Roman" w:cs="Times New Roman" w:eastAsia="Times New Roman"/>
                <w:b w:val="0"/>
                <w:sz w:val="17"/>
              </w:rPr>
              <w:t>Croisement géophysique, géotechnique et spéléologique à Chéria</w:t>
            </w:r>
          </w:p>
        </w:tc>
        <w:tc>
          <w:tcPr>
            <w:tcW w:type="dxa" w:w="3024"/>
            <w:vAlign w:val="center"/>
          </w:tcPr>
          <w:p>
            <w:pPr>
              <w:spacing w:after="30"/>
            </w:pPr>
            <w:r>
              <w:rPr>
                <w:rFonts w:ascii="Times New Roman" w:hAnsi="Times New Roman" w:cs="Times New Roman" w:eastAsia="Times New Roman"/>
                <w:b w:val="0"/>
                <w:sz w:val="17"/>
              </w:rPr>
              <w:t>Cas d’effondrements, pas justification d’un pont</w:t>
            </w:r>
          </w:p>
        </w:tc>
      </w:tr>
      <w:tr>
        <w:trPr>
          <w:cantSplit/>
        </w:trPr>
        <w:tc>
          <w:tcPr>
            <w:tcW w:type="dxa" w:w="3024"/>
            <w:vAlign w:val="center"/>
            <w:shd w:fill="F3F6F8"/>
          </w:tcPr>
          <w:p>
            <w:pPr>
              <w:spacing w:after="30"/>
            </w:pPr>
            <w:r>
              <w:rPr>
                <w:rFonts w:ascii="Times New Roman" w:hAnsi="Times New Roman" w:cs="Times New Roman" w:eastAsia="Times New Roman"/>
                <w:b w:val="0"/>
                <w:sz w:val="17"/>
              </w:rPr>
              <w:t>AZIZI et al. (2014)</w:t>
            </w:r>
          </w:p>
        </w:tc>
        <w:tc>
          <w:tcPr>
            <w:tcW w:type="dxa" w:w="3024"/>
            <w:vAlign w:val="center"/>
            <w:shd w:fill="F3F6F8"/>
          </w:tcPr>
          <w:p>
            <w:pPr>
              <w:spacing w:after="30"/>
            </w:pPr>
            <w:r>
              <w:rPr>
                <w:rFonts w:ascii="Times New Roman" w:hAnsi="Times New Roman" w:cs="Times New Roman" w:eastAsia="Times New Roman"/>
                <w:b w:val="0"/>
                <w:sz w:val="17"/>
              </w:rPr>
              <w:t>Analyse de stabilité de cavités et rôle de la géométrie</w:t>
            </w:r>
          </w:p>
        </w:tc>
        <w:tc>
          <w:tcPr>
            <w:tcW w:type="dxa" w:w="3024"/>
            <w:vAlign w:val="center"/>
            <w:shd w:fill="F3F6F8"/>
          </w:tcPr>
          <w:p>
            <w:pPr>
              <w:spacing w:after="30"/>
            </w:pPr>
            <w:r>
              <w:rPr>
                <w:rFonts w:ascii="Times New Roman" w:hAnsi="Times New Roman" w:cs="Times New Roman" w:eastAsia="Times New Roman"/>
                <w:b w:val="0"/>
                <w:sz w:val="17"/>
              </w:rPr>
              <w:t>Résultats propres aux modèles et paramètres de l’étude</w:t>
            </w:r>
          </w:p>
        </w:tc>
      </w:tr>
      <w:tr>
        <w:trPr>
          <w:cantSplit/>
        </w:trPr>
        <w:tc>
          <w:tcPr>
            <w:tcW w:type="dxa" w:w="3024"/>
            <w:vAlign w:val="center"/>
          </w:tcPr>
          <w:p>
            <w:pPr>
              <w:spacing w:after="30"/>
            </w:pPr>
            <w:r>
              <w:rPr>
                <w:rFonts w:ascii="Times New Roman" w:hAnsi="Times New Roman" w:cs="Times New Roman" w:eastAsia="Times New Roman"/>
                <w:b w:val="0"/>
                <w:sz w:val="17"/>
              </w:rPr>
              <w:t>BAALI et al. (2015)</w:t>
            </w:r>
          </w:p>
        </w:tc>
        <w:tc>
          <w:tcPr>
            <w:tcW w:type="dxa" w:w="3024"/>
            <w:vAlign w:val="center"/>
          </w:tcPr>
          <w:p>
            <w:pPr>
              <w:spacing w:after="30"/>
            </w:pPr>
            <w:r>
              <w:rPr>
                <w:rFonts w:ascii="Times New Roman" w:hAnsi="Times New Roman" w:cs="Times New Roman" w:eastAsia="Times New Roman"/>
                <w:b w:val="0"/>
                <w:sz w:val="17"/>
              </w:rPr>
              <w:t>Fonctionnement hydrochimique et isotopique d’un aquifère</w:t>
            </w:r>
          </w:p>
        </w:tc>
        <w:tc>
          <w:tcPr>
            <w:tcW w:type="dxa" w:w="3024"/>
            <w:vAlign w:val="center"/>
          </w:tcPr>
          <w:p>
            <w:pPr>
              <w:spacing w:after="30"/>
            </w:pPr>
            <w:r>
              <w:rPr>
                <w:rFonts w:ascii="Times New Roman" w:hAnsi="Times New Roman" w:cs="Times New Roman" w:eastAsia="Times New Roman"/>
                <w:b w:val="0"/>
                <w:sz w:val="17"/>
              </w:rPr>
              <w:t>Pas une source de paramètres mécaniques</w:t>
            </w:r>
          </w:p>
        </w:tc>
      </w:tr>
      <w:tr>
        <w:trPr>
          <w:cantSplit/>
        </w:trPr>
        <w:tc>
          <w:tcPr>
            <w:tcW w:type="dxa" w:w="3024"/>
            <w:vAlign w:val="center"/>
            <w:shd w:fill="F3F6F8"/>
          </w:tcPr>
          <w:p>
            <w:pPr>
              <w:spacing w:after="30"/>
            </w:pPr>
            <w:r>
              <w:rPr>
                <w:rFonts w:ascii="Times New Roman" w:hAnsi="Times New Roman" w:cs="Times New Roman" w:eastAsia="Times New Roman"/>
                <w:b w:val="0"/>
                <w:sz w:val="17"/>
              </w:rPr>
              <w:t>BRAHMI et al. (2023)</w:t>
            </w:r>
          </w:p>
        </w:tc>
        <w:tc>
          <w:tcPr>
            <w:tcW w:type="dxa" w:w="3024"/>
            <w:vAlign w:val="center"/>
            <w:shd w:fill="F3F6F8"/>
          </w:tcPr>
          <w:p>
            <w:pPr>
              <w:spacing w:after="30"/>
            </w:pPr>
            <w:r>
              <w:rPr>
                <w:rFonts w:ascii="Times New Roman" w:hAnsi="Times New Roman" w:cs="Times New Roman" w:eastAsia="Times New Roman"/>
                <w:b w:val="0"/>
                <w:sz w:val="17"/>
              </w:rPr>
              <w:t>Exemple de détection par imagerie tomographique</w:t>
            </w:r>
          </w:p>
        </w:tc>
        <w:tc>
          <w:tcPr>
            <w:tcW w:type="dxa" w:w="3024"/>
            <w:vAlign w:val="center"/>
            <w:shd w:fill="F3F6F8"/>
          </w:tcPr>
          <w:p>
            <w:pPr>
              <w:spacing w:after="30"/>
            </w:pPr>
            <w:r>
              <w:rPr>
                <w:rFonts w:ascii="Times New Roman" w:hAnsi="Times New Roman" w:cs="Times New Roman" w:eastAsia="Times New Roman"/>
                <w:b w:val="0"/>
                <w:sz w:val="17"/>
              </w:rPr>
              <w:t>Dispositifs et profondeurs non généralisables</w:t>
            </w:r>
          </w:p>
        </w:tc>
      </w:tr>
    </w:tbl>
    <w:p>
      <w:pPr>
        <w:spacing w:after="20"/>
      </w:pPr>
    </w:p>
    <w:p>
      <w:pPr>
        <w:pStyle w:val="Heading2"/>
      </w:pPr>
      <w:r>
        <w:rPr>
          <w:rFonts w:ascii="Times New Roman" w:hAnsi="Times New Roman" w:cs="Times New Roman" w:eastAsia="Times New Roman"/>
          <w:b/>
          <w:color w:val="1F4E79"/>
          <w:sz w:val="24"/>
        </w:rPr>
        <w:t>VI.5 Événements d’ouvrages : ce que les sources permettent de dire</w:t>
      </w:r>
    </w:p>
    <w:p>
      <w:pPr>
        <w:pStyle w:val="Heading3"/>
      </w:pPr>
      <w:r>
        <w:rPr>
          <w:rFonts w:ascii="Times New Roman" w:hAnsi="Times New Roman" w:cs="Times New Roman" w:eastAsia="Times New Roman"/>
          <w:b/>
          <w:color w:val="233741"/>
          <w:sz w:val="24"/>
        </w:rPr>
        <w:t>VI.5.1 Blida, 15 avril 2018</w:t>
      </w:r>
    </w:p>
    <w:p>
      <w:pPr>
        <w:jc w:val="both"/>
      </w:pPr>
      <w:r>
        <w:rPr>
          <w:rFonts w:ascii="Times New Roman" w:hAnsi="Times New Roman" w:cs="Times New Roman" w:eastAsia="Times New Roman"/>
          <w:b w:val="0"/>
          <w:sz w:val="24"/>
        </w:rPr>
        <w:t>Des articles de presse signalent l’effondrement, le 15 avril 2018, d’un pont reliant Oued El Alleug et Mouzaïa dans la wilaya de Blida. Les récits consultés ne concordent pas sur tous les éléments d’historique de construction. L’affouillement est évoqué dans un article éditorial, mais aucun rapport officiel complet d’expertise n’a été obtenu dans le cadre de cette révision (TSA, 2018 ; LE SOIR D’ALGÉRIE, 2018).</w:t>
      </w:r>
    </w:p>
    <w:p>
      <w:pPr>
        <w:jc w:val="both"/>
      </w:pPr>
      <w:r>
        <w:rPr>
          <w:rFonts w:ascii="Times New Roman" w:hAnsi="Times New Roman" w:cs="Times New Roman" w:eastAsia="Times New Roman"/>
          <w:b w:val="0"/>
          <w:sz w:val="24"/>
        </w:rPr>
        <w:t>La conclusion retenue est limitée : l’événement justifie de rappeler l’importance de l’inspection et de l’évolution morphologique, mais il ne démontre ni une cause unique ni l’efficacité qu’aurait eue une campagne particulière. Les dates et qualificatifs non concordants ne sont pas utilisés pour construire un scénario technique.</w:t>
      </w:r>
    </w:p>
    <w:p>
      <w:pPr>
        <w:pStyle w:val="Heading3"/>
      </w:pPr>
      <w:r>
        <w:rPr>
          <w:rFonts w:ascii="Times New Roman" w:hAnsi="Times New Roman" w:cs="Times New Roman" w:eastAsia="Times New Roman"/>
          <w:b/>
          <w:color w:val="233741"/>
          <w:sz w:val="24"/>
        </w:rPr>
        <w:t>VI.5.2 Jijel, 21 décembre 2020</w:t>
      </w:r>
    </w:p>
    <w:p>
      <w:pPr>
        <w:jc w:val="both"/>
      </w:pPr>
      <w:r>
        <w:rPr>
          <w:rFonts w:ascii="Times New Roman" w:hAnsi="Times New Roman" w:cs="Times New Roman" w:eastAsia="Times New Roman"/>
          <w:b w:val="0"/>
          <w:sz w:val="24"/>
        </w:rPr>
        <w:t>Des reprises de dépêches et un bilan de la Protection civile rapportent un effondrement partiel du pont de l’oued El Kantara sur la RN 43 à Jijel le 21 décembre 2020, dans un contexte d’intempéries. Ils mentionnent également la mise en place d’une expertise et des mesures d’inspection (LNR, 2020 ; ALGÉRIE360, 2020 ; APS, 2020).</w:t>
      </w:r>
    </w:p>
    <w:p>
      <w:pPr>
        <w:jc w:val="both"/>
      </w:pPr>
      <w:r>
        <w:rPr>
          <w:rFonts w:ascii="Times New Roman" w:hAnsi="Times New Roman" w:cs="Times New Roman" w:eastAsia="Times New Roman"/>
          <w:b w:val="0"/>
          <w:sz w:val="24"/>
        </w:rPr>
        <w:t>Ces sources confirment l’événement et sa chronologie générale. Elles ne permettent pas de répartir quantitativement les responsabilités entre obstruction, affouillement, forces hydrodynamiques, état de la structure ou autres facteurs. La révision ne présente donc pas l’embâcle comme la cause démontrée de la rupture.</w:t>
      </w:r>
    </w:p>
    <w:p>
      <w:pPr>
        <w:pStyle w:val="Heading3"/>
      </w:pPr>
      <w:r>
        <w:rPr>
          <w:rFonts w:ascii="Times New Roman" w:hAnsi="Times New Roman" w:cs="Times New Roman" w:eastAsia="Times New Roman"/>
          <w:b/>
          <w:color w:val="233741"/>
          <w:sz w:val="24"/>
        </w:rPr>
        <w:t>VI.5.3 Enseignement méthodologique</w:t>
      </w:r>
    </w:p>
    <w:p>
      <w:pPr>
        <w:jc w:val="both"/>
      </w:pPr>
      <w:r>
        <w:rPr>
          <w:rFonts w:ascii="Times New Roman" w:hAnsi="Times New Roman" w:cs="Times New Roman" w:eastAsia="Times New Roman"/>
          <w:b w:val="0"/>
          <w:sz w:val="24"/>
        </w:rPr>
        <w:t>Un événement médiatisé peut servir à formuler des questions : quelles données existaient, quel était l’historique du lit, quelles inspections ont été réalisées et quels mécanismes ont été retenus par l’expertise ? Il ne peut pas fournir seul les réponses.</w:t>
      </w:r>
    </w:p>
    <w:p>
      <w:pPr>
        <w:jc w:val="both"/>
      </w:pPr>
      <w:r>
        <w:rPr>
          <w:rFonts w:ascii="Times New Roman" w:hAnsi="Times New Roman" w:cs="Times New Roman" w:eastAsia="Times New Roman"/>
          <w:b w:val="0"/>
          <w:sz w:val="24"/>
        </w:rPr>
        <w:t>Pour transformer un événement en étude de cas technique, il faut des documents primaires : rapport d’expertise, dossier de conception, relevés hydrologiques, bathymétries, inspections et enregistrements de crue. À défaut, le texte doit conserver la formulation « selon la source journalistique » et limiter la conclusion aux faits établis.</w:t>
      </w:r>
    </w:p>
    <w:p>
      <w:bookmarkStart w:id="109" w:name="BM_TABVI_3"/>
      <w:pPr>
        <w:keepNext/>
        <w:jc w:val="center"/>
      </w:pPr>
      <w:r>
        <w:rPr>
          <w:rFonts w:ascii="Times New Roman" w:hAnsi="Times New Roman" w:cs="Times New Roman" w:eastAsia="Times New Roman"/>
          <w:b/>
          <w:sz w:val="20"/>
        </w:rPr>
        <w:t>Tableau VI.3 — Niveau de preuve des exemples algériens discutés</w:t>
      </w:r>
      <w:bookmarkEnd w:id="109"/>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Exemple</w:t>
            </w:r>
          </w:p>
        </w:tc>
        <w:tc>
          <w:tcPr>
            <w:tcW w:type="dxa" w:w="2268"/>
            <w:vAlign w:val="center"/>
            <w:shd w:fill="1F4E79"/>
          </w:tcPr>
          <w:p>
            <w:pPr>
              <w:spacing w:after="30"/>
            </w:pPr>
            <w:r>
              <w:rPr>
                <w:rFonts w:ascii="Times New Roman" w:hAnsi="Times New Roman" w:cs="Times New Roman" w:eastAsia="Times New Roman"/>
                <w:b/>
                <w:color w:val="FFFFFF"/>
                <w:sz w:val="17"/>
              </w:rPr>
              <w:t>Fait suffisamment sourcé</w:t>
            </w:r>
          </w:p>
        </w:tc>
        <w:tc>
          <w:tcPr>
            <w:tcW w:type="dxa" w:w="2268"/>
            <w:vAlign w:val="center"/>
            <w:shd w:fill="1F4E79"/>
          </w:tcPr>
          <w:p>
            <w:pPr>
              <w:spacing w:after="30"/>
            </w:pPr>
            <w:r>
              <w:rPr>
                <w:rFonts w:ascii="Times New Roman" w:hAnsi="Times New Roman" w:cs="Times New Roman" w:eastAsia="Times New Roman"/>
                <w:b/>
                <w:color w:val="FFFFFF"/>
                <w:sz w:val="17"/>
              </w:rPr>
              <w:t>Ce qui n’est pas établi ici</w:t>
            </w:r>
          </w:p>
        </w:tc>
        <w:tc>
          <w:tcPr>
            <w:tcW w:type="dxa" w:w="2268"/>
            <w:vAlign w:val="center"/>
            <w:shd w:fill="1F4E79"/>
          </w:tcPr>
          <w:p>
            <w:pPr>
              <w:spacing w:after="30"/>
            </w:pPr>
            <w:r>
              <w:rPr>
                <w:rFonts w:ascii="Times New Roman" w:hAnsi="Times New Roman" w:cs="Times New Roman" w:eastAsia="Times New Roman"/>
                <w:b/>
                <w:color w:val="FFFFFF"/>
                <w:sz w:val="17"/>
              </w:rPr>
              <w:t>Usage dans le travail</w:t>
            </w:r>
          </w:p>
        </w:tc>
      </w:tr>
      <w:tr>
        <w:trPr>
          <w:cantSplit/>
        </w:trPr>
        <w:tc>
          <w:tcPr>
            <w:tcW w:type="dxa" w:w="2268"/>
            <w:vAlign w:val="center"/>
          </w:tcPr>
          <w:p>
            <w:pPr>
              <w:spacing w:after="30"/>
            </w:pPr>
            <w:r>
              <w:rPr>
                <w:rFonts w:ascii="Times New Roman" w:hAnsi="Times New Roman" w:cs="Times New Roman" w:eastAsia="Times New Roman"/>
                <w:b w:val="0"/>
                <w:sz w:val="17"/>
              </w:rPr>
              <w:t>Chéria et karst</w:t>
            </w:r>
          </w:p>
        </w:tc>
        <w:tc>
          <w:tcPr>
            <w:tcW w:type="dxa" w:w="2268"/>
            <w:vAlign w:val="center"/>
          </w:tcPr>
          <w:p>
            <w:pPr>
              <w:spacing w:after="30"/>
            </w:pPr>
            <w:r>
              <w:rPr>
                <w:rFonts w:ascii="Times New Roman" w:hAnsi="Times New Roman" w:cs="Times New Roman" w:eastAsia="Times New Roman"/>
                <w:b w:val="0"/>
                <w:sz w:val="17"/>
              </w:rPr>
              <w:t>Méthodes et résultats des articles cités</w:t>
            </w:r>
          </w:p>
        </w:tc>
        <w:tc>
          <w:tcPr>
            <w:tcW w:type="dxa" w:w="2268"/>
            <w:vAlign w:val="center"/>
          </w:tcPr>
          <w:p>
            <w:pPr>
              <w:spacing w:after="30"/>
            </w:pPr>
            <w:r>
              <w:rPr>
                <w:rFonts w:ascii="Times New Roman" w:hAnsi="Times New Roman" w:cs="Times New Roman" w:eastAsia="Times New Roman"/>
                <w:b w:val="0"/>
                <w:sz w:val="17"/>
              </w:rPr>
              <w:t>Performance d’une fondation de pont</w:t>
            </w:r>
          </w:p>
        </w:tc>
        <w:tc>
          <w:tcPr>
            <w:tcW w:type="dxa" w:w="2268"/>
            <w:vAlign w:val="center"/>
          </w:tcPr>
          <w:p>
            <w:pPr>
              <w:spacing w:after="30"/>
            </w:pPr>
            <w:r>
              <w:rPr>
                <w:rFonts w:ascii="Times New Roman" w:hAnsi="Times New Roman" w:cs="Times New Roman" w:eastAsia="Times New Roman"/>
                <w:b w:val="0"/>
                <w:sz w:val="17"/>
              </w:rPr>
              <w:t>Illustration méthodologique</w:t>
            </w:r>
          </w:p>
        </w:tc>
      </w:tr>
      <w:tr>
        <w:trPr>
          <w:cantSplit/>
        </w:trPr>
        <w:tc>
          <w:tcPr>
            <w:tcW w:type="dxa" w:w="2268"/>
            <w:vAlign w:val="center"/>
            <w:shd w:fill="F3F6F8"/>
          </w:tcPr>
          <w:p>
            <w:pPr>
              <w:spacing w:after="30"/>
            </w:pPr>
            <w:r>
              <w:rPr>
                <w:rFonts w:ascii="Times New Roman" w:hAnsi="Times New Roman" w:cs="Times New Roman" w:eastAsia="Times New Roman"/>
                <w:b w:val="0"/>
                <w:sz w:val="17"/>
              </w:rPr>
              <w:t>Blida 2018</w:t>
            </w:r>
          </w:p>
        </w:tc>
        <w:tc>
          <w:tcPr>
            <w:tcW w:type="dxa" w:w="2268"/>
            <w:vAlign w:val="center"/>
            <w:shd w:fill="F3F6F8"/>
          </w:tcPr>
          <w:p>
            <w:pPr>
              <w:spacing w:after="30"/>
            </w:pPr>
            <w:r>
              <w:rPr>
                <w:rFonts w:ascii="Times New Roman" w:hAnsi="Times New Roman" w:cs="Times New Roman" w:eastAsia="Times New Roman"/>
                <w:b w:val="0"/>
                <w:sz w:val="17"/>
              </w:rPr>
              <w:t>Événement et date par la presse</w:t>
            </w:r>
          </w:p>
        </w:tc>
        <w:tc>
          <w:tcPr>
            <w:tcW w:type="dxa" w:w="2268"/>
            <w:vAlign w:val="center"/>
            <w:shd w:fill="F3F6F8"/>
          </w:tcPr>
          <w:p>
            <w:pPr>
              <w:spacing w:after="30"/>
            </w:pPr>
            <w:r>
              <w:rPr>
                <w:rFonts w:ascii="Times New Roman" w:hAnsi="Times New Roman" w:cs="Times New Roman" w:eastAsia="Times New Roman"/>
                <w:b w:val="0"/>
                <w:sz w:val="17"/>
              </w:rPr>
              <w:t>Cause officielle et historique complet</w:t>
            </w:r>
          </w:p>
        </w:tc>
        <w:tc>
          <w:tcPr>
            <w:tcW w:type="dxa" w:w="2268"/>
            <w:vAlign w:val="center"/>
            <w:shd w:fill="F3F6F8"/>
          </w:tcPr>
          <w:p>
            <w:pPr>
              <w:spacing w:after="30"/>
            </w:pPr>
            <w:r>
              <w:rPr>
                <w:rFonts w:ascii="Times New Roman" w:hAnsi="Times New Roman" w:cs="Times New Roman" w:eastAsia="Times New Roman"/>
                <w:b w:val="0"/>
                <w:sz w:val="17"/>
              </w:rPr>
              <w:t>Question sur l’inspection et le risque</w:t>
            </w:r>
          </w:p>
        </w:tc>
      </w:tr>
      <w:tr>
        <w:trPr>
          <w:cantSplit/>
        </w:trPr>
        <w:tc>
          <w:tcPr>
            <w:tcW w:type="dxa" w:w="2268"/>
            <w:vAlign w:val="center"/>
          </w:tcPr>
          <w:p>
            <w:pPr>
              <w:spacing w:after="30"/>
            </w:pPr>
            <w:r>
              <w:rPr>
                <w:rFonts w:ascii="Times New Roman" w:hAnsi="Times New Roman" w:cs="Times New Roman" w:eastAsia="Times New Roman"/>
                <w:b w:val="0"/>
                <w:sz w:val="17"/>
              </w:rPr>
              <w:t>Jijel 2020</w:t>
            </w:r>
          </w:p>
        </w:tc>
        <w:tc>
          <w:tcPr>
            <w:tcW w:type="dxa" w:w="2268"/>
            <w:vAlign w:val="center"/>
          </w:tcPr>
          <w:p>
            <w:pPr>
              <w:spacing w:after="30"/>
            </w:pPr>
            <w:r>
              <w:rPr>
                <w:rFonts w:ascii="Times New Roman" w:hAnsi="Times New Roman" w:cs="Times New Roman" w:eastAsia="Times New Roman"/>
                <w:b w:val="0"/>
                <w:sz w:val="17"/>
              </w:rPr>
              <w:t>Effondrement partiel et contexte d’intempéries</w:t>
            </w:r>
          </w:p>
        </w:tc>
        <w:tc>
          <w:tcPr>
            <w:tcW w:type="dxa" w:w="2268"/>
            <w:vAlign w:val="center"/>
          </w:tcPr>
          <w:p>
            <w:pPr>
              <w:spacing w:after="30"/>
            </w:pPr>
            <w:r>
              <w:rPr>
                <w:rFonts w:ascii="Times New Roman" w:hAnsi="Times New Roman" w:cs="Times New Roman" w:eastAsia="Times New Roman"/>
                <w:b w:val="0"/>
                <w:sz w:val="17"/>
              </w:rPr>
              <w:t>Mécanisme causal quantifié</w:t>
            </w:r>
          </w:p>
        </w:tc>
        <w:tc>
          <w:tcPr>
            <w:tcW w:type="dxa" w:w="2268"/>
            <w:vAlign w:val="center"/>
          </w:tcPr>
          <w:p>
            <w:pPr>
              <w:spacing w:after="30"/>
            </w:pPr>
            <w:r>
              <w:rPr>
                <w:rFonts w:ascii="Times New Roman" w:hAnsi="Times New Roman" w:cs="Times New Roman" w:eastAsia="Times New Roman"/>
                <w:b w:val="0"/>
                <w:sz w:val="17"/>
              </w:rPr>
              <w:t>Besoin de données primaires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Méthode proposée</w:t>
            </w:r>
          </w:p>
        </w:tc>
        <w:tc>
          <w:tcPr>
            <w:tcW w:type="dxa" w:w="2268"/>
            <w:vAlign w:val="center"/>
            <w:shd w:fill="F3F6F8"/>
          </w:tcPr>
          <w:p>
            <w:pPr>
              <w:spacing w:after="30"/>
            </w:pPr>
            <w:r>
              <w:rPr>
                <w:rFonts w:ascii="Times New Roman" w:hAnsi="Times New Roman" w:cs="Times New Roman" w:eastAsia="Times New Roman"/>
                <w:b w:val="0"/>
                <w:sz w:val="17"/>
              </w:rPr>
              <w:t>Chaîne de reconnaissance et de vérification</w:t>
            </w:r>
          </w:p>
        </w:tc>
        <w:tc>
          <w:tcPr>
            <w:tcW w:type="dxa" w:w="2268"/>
            <w:vAlign w:val="center"/>
            <w:shd w:fill="F3F6F8"/>
          </w:tcPr>
          <w:p>
            <w:pPr>
              <w:spacing w:after="30"/>
            </w:pPr>
            <w:r>
              <w:rPr>
                <w:rFonts w:ascii="Times New Roman" w:hAnsi="Times New Roman" w:cs="Times New Roman" w:eastAsia="Times New Roman"/>
                <w:b w:val="0"/>
                <w:sz w:val="17"/>
              </w:rPr>
              <w:t>Application à un pont réel non fourni</w:t>
            </w:r>
          </w:p>
        </w:tc>
        <w:tc>
          <w:tcPr>
            <w:tcW w:type="dxa" w:w="2268"/>
            <w:vAlign w:val="center"/>
            <w:shd w:fill="F3F6F8"/>
          </w:tcPr>
          <w:p>
            <w:pPr>
              <w:spacing w:after="30"/>
            </w:pPr>
            <w:r>
              <w:rPr>
                <w:rFonts w:ascii="Times New Roman" w:hAnsi="Times New Roman" w:cs="Times New Roman" w:eastAsia="Times New Roman"/>
                <w:b w:val="0"/>
                <w:sz w:val="17"/>
              </w:rPr>
              <w:t>Trame pour projet futur</w:t>
            </w:r>
          </w:p>
        </w:tc>
      </w:tr>
    </w:tbl>
    <w:p>
      <w:pPr>
        <w:spacing w:after="20"/>
      </w:pPr>
    </w:p>
    <w:p>
      <w:pPr>
        <w:pStyle w:val="Heading2"/>
      </w:pPr>
      <w:r>
        <w:rPr>
          <w:rFonts w:ascii="Times New Roman" w:hAnsi="Times New Roman" w:cs="Times New Roman" w:eastAsia="Times New Roman"/>
          <w:b/>
          <w:color w:val="1F4E79"/>
          <w:sz w:val="24"/>
        </w:rPr>
        <w:t>VI.6 Organisation multidisciplinaire</w:t>
      </w:r>
    </w:p>
    <w:p>
      <w:pPr>
        <w:pStyle w:val="Heading3"/>
      </w:pPr>
      <w:r>
        <w:rPr>
          <w:rFonts w:ascii="Times New Roman" w:hAnsi="Times New Roman" w:cs="Times New Roman" w:eastAsia="Times New Roman"/>
          <w:b/>
          <w:color w:val="233741"/>
          <w:sz w:val="24"/>
        </w:rPr>
        <w:t>VI.6.1 Interfaces de travail</w:t>
      </w:r>
    </w:p>
    <w:p>
      <w:pPr>
        <w:jc w:val="both"/>
      </w:pPr>
      <w:r>
        <w:rPr>
          <w:rFonts w:ascii="Times New Roman" w:hAnsi="Times New Roman" w:cs="Times New Roman" w:eastAsia="Times New Roman"/>
          <w:b w:val="0"/>
          <w:sz w:val="24"/>
        </w:rPr>
        <w:t>La fondation se situe à l’interface de plusieurs modèles. Le géologue décrit les formations et leur histoire ; l’hydrologue estime les débits et les incertitudes ; l’hydraulicien calcule les écoulements et les actions ; le géotechnicien interprète le terrain ; le structuraliste définit les besoins de l’ouvrage ; l’entreprise renseigne la faisabilité ; le gestionnaire organise l’inspection et l’entretien.</w:t>
      </w:r>
    </w:p>
    <w:p>
      <w:pPr>
        <w:jc w:val="both"/>
      </w:pPr>
      <w:r>
        <w:rPr>
          <w:rFonts w:ascii="Times New Roman" w:hAnsi="Times New Roman" w:cs="Times New Roman" w:eastAsia="Times New Roman"/>
          <w:b w:val="0"/>
          <w:sz w:val="24"/>
        </w:rPr>
        <w:t>Ces rôles peuvent être regroupés selon la taille du projet, mais les questions ne disparaissent pas. Une réunion d’interface doit produire des décisions traçables : cote de crue transmise, hypothèse de nappe acceptée, déplacement admissible confirmé ou besoin de sondage ajouté.</w:t>
      </w:r>
    </w:p>
    <w:p>
      <w:pPr>
        <w:pStyle w:val="Heading3"/>
      </w:pPr>
      <w:r>
        <w:rPr>
          <w:rFonts w:ascii="Times New Roman" w:hAnsi="Times New Roman" w:cs="Times New Roman" w:eastAsia="Times New Roman"/>
          <w:b/>
          <w:color w:val="233741"/>
          <w:sz w:val="24"/>
        </w:rPr>
        <w:t>VI.6.2 Données échangées</w:t>
      </w:r>
    </w:p>
    <w:p>
      <w:pPr>
        <w:jc w:val="both"/>
      </w:pPr>
      <w:r>
        <w:rPr>
          <w:rFonts w:ascii="Times New Roman" w:hAnsi="Times New Roman" w:cs="Times New Roman" w:eastAsia="Times New Roman"/>
          <w:b w:val="0"/>
          <w:sz w:val="24"/>
        </w:rPr>
        <w:t>Les échanges sont plus fiables lorsque chaque donnée possède une unité, une référence, une date et un statut. Une cote provisoire n’est pas traitée comme une cote finale. Un paramètre géotechnique préliminaire est identifié comme tel dans le modèle structural.</w:t>
      </w:r>
    </w:p>
    <w:p>
      <w:pPr>
        <w:jc w:val="both"/>
      </w:pPr>
      <w:r>
        <w:rPr>
          <w:rFonts w:ascii="Times New Roman" w:hAnsi="Times New Roman" w:cs="Times New Roman" w:eastAsia="Times New Roman"/>
          <w:b w:val="0"/>
          <w:sz w:val="24"/>
        </w:rPr>
        <w:t>Les modifications sont suivies. Si la cote d’affouillement évolue, les vérifications de fondation et la protection sont réexaminées. Si le type d’appui change, les sollicitations et les investigations peuvent changer également. Le dossier doit conserver la version utilisée pour chaque calcul.</w:t>
      </w:r>
    </w:p>
    <w:p>
      <w:pPr>
        <w:keepNext/>
        <w:jc w:val="center"/>
      </w:pPr>
      <w:r>
        <w:drawing>
          <wp:inline xmlns:a="http://schemas.openxmlformats.org/drawingml/2006/main" xmlns:pic="http://schemas.openxmlformats.org/drawingml/2006/picture">
            <wp:extent cx="5760000" cy="4343607"/>
            <wp:docPr id="61" name="Picture 61"/>
            <wp:cNvGraphicFramePr>
              <a:graphicFrameLocks noChangeAspect="1"/>
            </wp:cNvGraphicFramePr>
            <a:graphic>
              <a:graphicData uri="http://schemas.openxmlformats.org/drawingml/2006/picture">
                <pic:pic>
                  <pic:nvPicPr>
                    <pic:cNvPr id="0" name="multidisciplinary.png"/>
                    <pic:cNvPicPr/>
                  </pic:nvPicPr>
                  <pic:blipFill>
                    <a:blip r:embed="rId99"/>
                    <a:stretch>
                      <a:fillRect/>
                    </a:stretch>
                  </pic:blipFill>
                  <pic:spPr>
                    <a:xfrm>
                      <a:off x="0" y="0"/>
                      <a:ext cx="5760000" cy="4343607"/>
                    </a:xfrm>
                    <a:prstGeom prst="rect"/>
                  </pic:spPr>
                </pic:pic>
              </a:graphicData>
            </a:graphic>
          </wp:inline>
        </w:drawing>
      </w:r>
    </w:p>
    <w:p>
      <w:bookmarkStart w:id="110" w:name="BM_FIGVI_1"/>
      <w:pPr>
        <w:jc w:val="center"/>
      </w:pPr>
      <w:r>
        <w:rPr>
          <w:rFonts w:ascii="Times New Roman" w:hAnsi="Times New Roman" w:cs="Times New Roman" w:eastAsia="Times New Roman"/>
          <w:b/>
          <w:sz w:val="20"/>
        </w:rPr>
        <w:t>Figure VI.1 — Interfaces entre disciplines pour la conception d’une fondation de pont</w:t>
      </w:r>
      <w:bookmarkEnd w:id="110"/>
    </w:p>
    <w:p>
      <w:pPr>
        <w:jc w:val="right"/>
      </w:pPr>
      <w:r>
        <w:rPr>
          <w:rFonts w:ascii="Times New Roman" w:hAnsi="Times New Roman" w:cs="Times New Roman" w:eastAsia="Times New Roman"/>
          <w:b w:val="0"/>
          <w:color w:val="59636B"/>
          <w:sz w:val="20"/>
        </w:rPr>
        <w:t>Source : schéma original de synthèse.</w:t>
      </w:r>
    </w:p>
    <w:p>
      <w:bookmarkStart w:id="111" w:name="BM_TABVI_4"/>
      <w:pPr>
        <w:keepNext/>
        <w:jc w:val="center"/>
      </w:pPr>
      <w:r>
        <w:rPr>
          <w:rFonts w:ascii="Times New Roman" w:hAnsi="Times New Roman" w:cs="Times New Roman" w:eastAsia="Times New Roman"/>
          <w:b/>
          <w:sz w:val="20"/>
        </w:rPr>
        <w:t>Tableau VI.4 — Exemple de matrice d’interfaces et de livrables</w:t>
      </w:r>
      <w:bookmarkEnd w:id="111"/>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3024"/>
            <w:vAlign w:val="center"/>
            <w:shd w:fill="1F4E79"/>
          </w:tcPr>
          <w:p>
            <w:pPr>
              <w:spacing w:after="30"/>
            </w:pPr>
            <w:r>
              <w:rPr>
                <w:rFonts w:ascii="Times New Roman" w:hAnsi="Times New Roman" w:cs="Times New Roman" w:eastAsia="Times New Roman"/>
                <w:b/>
                <w:color w:val="FFFFFF"/>
                <w:sz w:val="17"/>
              </w:rPr>
              <w:t>Interface</w:t>
            </w:r>
          </w:p>
        </w:tc>
        <w:tc>
          <w:tcPr>
            <w:tcW w:type="dxa" w:w="3024"/>
            <w:vAlign w:val="center"/>
            <w:shd w:fill="1F4E79"/>
          </w:tcPr>
          <w:p>
            <w:pPr>
              <w:spacing w:after="30"/>
            </w:pPr>
            <w:r>
              <w:rPr>
                <w:rFonts w:ascii="Times New Roman" w:hAnsi="Times New Roman" w:cs="Times New Roman" w:eastAsia="Times New Roman"/>
                <w:b/>
                <w:color w:val="FFFFFF"/>
                <w:sz w:val="17"/>
              </w:rPr>
              <w:t>Information à échanger</w:t>
            </w:r>
          </w:p>
        </w:tc>
        <w:tc>
          <w:tcPr>
            <w:tcW w:type="dxa" w:w="3024"/>
            <w:vAlign w:val="center"/>
            <w:shd w:fill="1F4E79"/>
          </w:tcPr>
          <w:p>
            <w:pPr>
              <w:spacing w:after="30"/>
            </w:pPr>
            <w:r>
              <w:rPr>
                <w:rFonts w:ascii="Times New Roman" w:hAnsi="Times New Roman" w:cs="Times New Roman" w:eastAsia="Times New Roman"/>
                <w:b/>
                <w:color w:val="FFFFFF"/>
                <w:sz w:val="17"/>
              </w:rPr>
              <w:t>Vérification commune</w:t>
            </w:r>
          </w:p>
        </w:tc>
      </w:tr>
      <w:tr>
        <w:trPr>
          <w:cantSplit/>
        </w:trPr>
        <w:tc>
          <w:tcPr>
            <w:tcW w:type="dxa" w:w="3024"/>
            <w:vAlign w:val="center"/>
          </w:tcPr>
          <w:p>
            <w:pPr>
              <w:spacing w:after="30"/>
            </w:pPr>
            <w:r>
              <w:rPr>
                <w:rFonts w:ascii="Times New Roman" w:hAnsi="Times New Roman" w:cs="Times New Roman" w:eastAsia="Times New Roman"/>
                <w:b w:val="0"/>
                <w:sz w:val="17"/>
              </w:rPr>
              <w:t>Hydrologie ↔ hydraulique</w:t>
            </w:r>
          </w:p>
        </w:tc>
        <w:tc>
          <w:tcPr>
            <w:tcW w:type="dxa" w:w="3024"/>
            <w:vAlign w:val="center"/>
          </w:tcPr>
          <w:p>
            <w:pPr>
              <w:spacing w:after="30"/>
            </w:pPr>
            <w:r>
              <w:rPr>
                <w:rFonts w:ascii="Times New Roman" w:hAnsi="Times New Roman" w:cs="Times New Roman" w:eastAsia="Times New Roman"/>
                <w:b w:val="0"/>
                <w:sz w:val="17"/>
              </w:rPr>
              <w:t>Débits, hydrogrammes, incertitudes et scénarios</w:t>
            </w:r>
          </w:p>
        </w:tc>
        <w:tc>
          <w:tcPr>
            <w:tcW w:type="dxa" w:w="3024"/>
            <w:vAlign w:val="center"/>
          </w:tcPr>
          <w:p>
            <w:pPr>
              <w:spacing w:after="30"/>
            </w:pPr>
            <w:r>
              <w:rPr>
                <w:rFonts w:ascii="Times New Roman" w:hAnsi="Times New Roman" w:cs="Times New Roman" w:eastAsia="Times New Roman"/>
                <w:b w:val="0"/>
                <w:sz w:val="17"/>
              </w:rPr>
              <w:t>Cohérence du bassin et des conditions aux limites</w:t>
            </w:r>
          </w:p>
        </w:tc>
      </w:tr>
      <w:tr>
        <w:trPr>
          <w:cantSplit/>
        </w:trPr>
        <w:tc>
          <w:tcPr>
            <w:tcW w:type="dxa" w:w="3024"/>
            <w:vAlign w:val="center"/>
            <w:shd w:fill="F3F6F8"/>
          </w:tcPr>
          <w:p>
            <w:pPr>
              <w:spacing w:after="30"/>
            </w:pPr>
            <w:r>
              <w:rPr>
                <w:rFonts w:ascii="Times New Roman" w:hAnsi="Times New Roman" w:cs="Times New Roman" w:eastAsia="Times New Roman"/>
                <w:b w:val="0"/>
                <w:sz w:val="17"/>
              </w:rPr>
              <w:t>Hydraulique ↔ géotechnique</w:t>
            </w:r>
          </w:p>
        </w:tc>
        <w:tc>
          <w:tcPr>
            <w:tcW w:type="dxa" w:w="3024"/>
            <w:vAlign w:val="center"/>
            <w:shd w:fill="F3F6F8"/>
          </w:tcPr>
          <w:p>
            <w:pPr>
              <w:spacing w:after="30"/>
            </w:pPr>
            <w:r>
              <w:rPr>
                <w:rFonts w:ascii="Times New Roman" w:hAnsi="Times New Roman" w:cs="Times New Roman" w:eastAsia="Times New Roman"/>
                <w:b w:val="0"/>
                <w:sz w:val="17"/>
              </w:rPr>
              <w:t>Vitesses, cotes, bathymétrie et géométrie affouillée</w:t>
            </w:r>
          </w:p>
        </w:tc>
        <w:tc>
          <w:tcPr>
            <w:tcW w:type="dxa" w:w="3024"/>
            <w:vAlign w:val="center"/>
            <w:shd w:fill="F3F6F8"/>
          </w:tcPr>
          <w:p>
            <w:pPr>
              <w:spacing w:after="30"/>
            </w:pPr>
            <w:r>
              <w:rPr>
                <w:rFonts w:ascii="Times New Roman" w:hAnsi="Times New Roman" w:cs="Times New Roman" w:eastAsia="Times New Roman"/>
                <w:b w:val="0"/>
                <w:sz w:val="17"/>
              </w:rPr>
              <w:t>Mécanismes d’érosion et encastrement disponible</w:t>
            </w:r>
          </w:p>
        </w:tc>
      </w:tr>
      <w:tr>
        <w:trPr>
          <w:cantSplit/>
        </w:trPr>
        <w:tc>
          <w:tcPr>
            <w:tcW w:type="dxa" w:w="3024"/>
            <w:vAlign w:val="center"/>
          </w:tcPr>
          <w:p>
            <w:pPr>
              <w:spacing w:after="30"/>
            </w:pPr>
            <w:r>
              <w:rPr>
                <w:rFonts w:ascii="Times New Roman" w:hAnsi="Times New Roman" w:cs="Times New Roman" w:eastAsia="Times New Roman"/>
                <w:b w:val="0"/>
                <w:sz w:val="17"/>
              </w:rPr>
              <w:t>Géologie ↔ géotechnique</w:t>
            </w:r>
          </w:p>
        </w:tc>
        <w:tc>
          <w:tcPr>
            <w:tcW w:type="dxa" w:w="3024"/>
            <w:vAlign w:val="center"/>
          </w:tcPr>
          <w:p>
            <w:pPr>
              <w:spacing w:after="30"/>
            </w:pPr>
            <w:r>
              <w:rPr>
                <w:rFonts w:ascii="Times New Roman" w:hAnsi="Times New Roman" w:cs="Times New Roman" w:eastAsia="Times New Roman"/>
                <w:b w:val="0"/>
                <w:sz w:val="17"/>
              </w:rPr>
              <w:t>Unités, discontinuités, altération et aléas</w:t>
            </w:r>
          </w:p>
        </w:tc>
        <w:tc>
          <w:tcPr>
            <w:tcW w:type="dxa" w:w="3024"/>
            <w:vAlign w:val="center"/>
          </w:tcPr>
          <w:p>
            <w:pPr>
              <w:spacing w:after="30"/>
            </w:pPr>
            <w:r>
              <w:rPr>
                <w:rFonts w:ascii="Times New Roman" w:hAnsi="Times New Roman" w:cs="Times New Roman" w:eastAsia="Times New Roman"/>
                <w:b w:val="0"/>
                <w:sz w:val="17"/>
              </w:rPr>
              <w:t>Modèle de site et zones incertaines</w:t>
            </w:r>
          </w:p>
        </w:tc>
      </w:tr>
      <w:tr>
        <w:trPr>
          <w:cantSplit/>
        </w:trPr>
        <w:tc>
          <w:tcPr>
            <w:tcW w:type="dxa" w:w="3024"/>
            <w:vAlign w:val="center"/>
            <w:shd w:fill="F3F6F8"/>
          </w:tcPr>
          <w:p>
            <w:pPr>
              <w:spacing w:after="30"/>
            </w:pPr>
            <w:r>
              <w:rPr>
                <w:rFonts w:ascii="Times New Roman" w:hAnsi="Times New Roman" w:cs="Times New Roman" w:eastAsia="Times New Roman"/>
                <w:b w:val="0"/>
                <w:sz w:val="17"/>
              </w:rPr>
              <w:t>Géotechnique ↔ structure</w:t>
            </w:r>
          </w:p>
        </w:tc>
        <w:tc>
          <w:tcPr>
            <w:tcW w:type="dxa" w:w="3024"/>
            <w:vAlign w:val="center"/>
            <w:shd w:fill="F3F6F8"/>
          </w:tcPr>
          <w:p>
            <w:pPr>
              <w:spacing w:after="30"/>
            </w:pPr>
            <w:r>
              <w:rPr>
                <w:rFonts w:ascii="Times New Roman" w:hAnsi="Times New Roman" w:cs="Times New Roman" w:eastAsia="Times New Roman"/>
                <w:b w:val="0"/>
                <w:sz w:val="17"/>
              </w:rPr>
              <w:t>Paramètres, rigidités, déplacements et résistances</w:t>
            </w:r>
          </w:p>
        </w:tc>
        <w:tc>
          <w:tcPr>
            <w:tcW w:type="dxa" w:w="3024"/>
            <w:vAlign w:val="center"/>
            <w:shd w:fill="F3F6F8"/>
          </w:tcPr>
          <w:p>
            <w:pPr>
              <w:spacing w:after="30"/>
            </w:pPr>
            <w:r>
              <w:rPr>
                <w:rFonts w:ascii="Times New Roman" w:hAnsi="Times New Roman" w:cs="Times New Roman" w:eastAsia="Times New Roman"/>
                <w:b w:val="0"/>
                <w:sz w:val="17"/>
              </w:rPr>
              <w:t>Critères de performance et situations de calcul</w:t>
            </w:r>
          </w:p>
        </w:tc>
      </w:tr>
      <w:tr>
        <w:trPr>
          <w:cantSplit/>
        </w:trPr>
        <w:tc>
          <w:tcPr>
            <w:tcW w:type="dxa" w:w="3024"/>
            <w:vAlign w:val="center"/>
          </w:tcPr>
          <w:p>
            <w:pPr>
              <w:spacing w:after="30"/>
            </w:pPr>
            <w:r>
              <w:rPr>
                <w:rFonts w:ascii="Times New Roman" w:hAnsi="Times New Roman" w:cs="Times New Roman" w:eastAsia="Times New Roman"/>
                <w:b w:val="0"/>
                <w:sz w:val="17"/>
              </w:rPr>
              <w:t>Structure ↔ entreprise</w:t>
            </w:r>
          </w:p>
        </w:tc>
        <w:tc>
          <w:tcPr>
            <w:tcW w:type="dxa" w:w="3024"/>
            <w:vAlign w:val="center"/>
          </w:tcPr>
          <w:p>
            <w:pPr>
              <w:spacing w:after="30"/>
            </w:pPr>
            <w:r>
              <w:rPr>
                <w:rFonts w:ascii="Times New Roman" w:hAnsi="Times New Roman" w:cs="Times New Roman" w:eastAsia="Times New Roman"/>
                <w:b w:val="0"/>
                <w:sz w:val="17"/>
              </w:rPr>
              <w:t>Géométrie, tolérances et séquence</w:t>
            </w:r>
          </w:p>
        </w:tc>
        <w:tc>
          <w:tcPr>
            <w:tcW w:type="dxa" w:w="3024"/>
            <w:vAlign w:val="center"/>
          </w:tcPr>
          <w:p>
            <w:pPr>
              <w:spacing w:after="30"/>
            </w:pPr>
            <w:r>
              <w:rPr>
                <w:rFonts w:ascii="Times New Roman" w:hAnsi="Times New Roman" w:cs="Times New Roman" w:eastAsia="Times New Roman"/>
                <w:b w:val="0"/>
                <w:sz w:val="17"/>
              </w:rPr>
              <w:t>Faisabilité et contrôle de la qualité supposée</w:t>
            </w:r>
          </w:p>
        </w:tc>
      </w:tr>
      <w:tr>
        <w:trPr>
          <w:cantSplit/>
        </w:trPr>
        <w:tc>
          <w:tcPr>
            <w:tcW w:type="dxa" w:w="3024"/>
            <w:vAlign w:val="center"/>
            <w:shd w:fill="F3F6F8"/>
          </w:tcPr>
          <w:p>
            <w:pPr>
              <w:spacing w:after="30"/>
            </w:pPr>
            <w:r>
              <w:rPr>
                <w:rFonts w:ascii="Times New Roman" w:hAnsi="Times New Roman" w:cs="Times New Roman" w:eastAsia="Times New Roman"/>
                <w:b w:val="0"/>
                <w:sz w:val="17"/>
              </w:rPr>
              <w:t>Tous ↔ gestionnaire</w:t>
            </w:r>
          </w:p>
        </w:tc>
        <w:tc>
          <w:tcPr>
            <w:tcW w:type="dxa" w:w="3024"/>
            <w:vAlign w:val="center"/>
            <w:shd w:fill="F3F6F8"/>
          </w:tcPr>
          <w:p>
            <w:pPr>
              <w:spacing w:after="30"/>
            </w:pPr>
            <w:r>
              <w:rPr>
                <w:rFonts w:ascii="Times New Roman" w:hAnsi="Times New Roman" w:cs="Times New Roman" w:eastAsia="Times New Roman"/>
                <w:b w:val="0"/>
                <w:sz w:val="17"/>
              </w:rPr>
              <w:t>Risques résiduels, accès et dispositifs observables</w:t>
            </w:r>
          </w:p>
        </w:tc>
        <w:tc>
          <w:tcPr>
            <w:tcW w:type="dxa" w:w="3024"/>
            <w:vAlign w:val="center"/>
            <w:shd w:fill="F3F6F8"/>
          </w:tcPr>
          <w:p>
            <w:pPr>
              <w:spacing w:after="30"/>
            </w:pPr>
            <w:r>
              <w:rPr>
                <w:rFonts w:ascii="Times New Roman" w:hAnsi="Times New Roman" w:cs="Times New Roman" w:eastAsia="Times New Roman"/>
                <w:b w:val="0"/>
                <w:sz w:val="17"/>
              </w:rPr>
              <w:t>Plan d’inspection, d’entretien et d’intervention</w:t>
            </w:r>
          </w:p>
        </w:tc>
      </w:tr>
    </w:tbl>
    <w:p>
      <w:pPr>
        <w:spacing w:after="20"/>
      </w:pPr>
    </w:p>
    <w:p>
      <w:pPr>
        <w:pStyle w:val="Heading2"/>
      </w:pPr>
      <w:r>
        <w:rPr>
          <w:rFonts w:ascii="Times New Roman" w:hAnsi="Times New Roman" w:cs="Times New Roman" w:eastAsia="Times New Roman"/>
          <w:b/>
          <w:color w:val="1F4E79"/>
          <w:sz w:val="24"/>
        </w:rPr>
        <w:t>VI.7 Trame d’application à un projet réel</w:t>
      </w:r>
    </w:p>
    <w:p>
      <w:pPr>
        <w:jc w:val="both"/>
      </w:pPr>
      <w:r>
        <w:rPr>
          <w:rFonts w:ascii="Times New Roman" w:hAnsi="Times New Roman" w:cs="Times New Roman" w:eastAsia="Times New Roman"/>
          <w:b w:val="0"/>
          <w:sz w:val="24"/>
        </w:rPr>
        <w:t>La trame suivante n’est pas une étude de cas chiffrée. Elle décrit les livrables attendus lorsqu’un pont réel sera documenté.</w:t>
      </w:r>
    </w:p>
    <w:p>
      <w:pPr>
        <w:jc w:val="both"/>
      </w:pPr>
      <w:r>
        <w:rPr>
          <w:rFonts w:ascii="Times New Roman" w:hAnsi="Times New Roman" w:cs="Times New Roman" w:eastAsia="Times New Roman"/>
          <w:b/>
          <w:sz w:val="24"/>
        </w:rPr>
        <w:t>Étape 1 — Question et emprises.</w:t>
      </w:r>
      <w:r>
        <w:rPr>
          <w:rFonts w:ascii="Times New Roman" w:hAnsi="Times New Roman" w:cs="Times New Roman" w:eastAsia="Times New Roman"/>
          <w:b w:val="0"/>
          <w:sz w:val="24"/>
        </w:rPr>
        <w:t xml:space="preserve"> Définir les appuis, les alternatives, les situations de projet et les conséquences d’une défaillance. Constituer la liste des documents réglementaires et techniques applicables.</w:t>
      </w:r>
    </w:p>
    <w:p>
      <w:pPr>
        <w:jc w:val="both"/>
      </w:pPr>
      <w:r>
        <w:rPr>
          <w:rFonts w:ascii="Times New Roman" w:hAnsi="Times New Roman" w:cs="Times New Roman" w:eastAsia="Times New Roman"/>
          <w:b/>
          <w:sz w:val="24"/>
        </w:rPr>
        <w:t>Étape 2 — Modèle initial.</w:t>
      </w:r>
      <w:r>
        <w:rPr>
          <w:rFonts w:ascii="Times New Roman" w:hAnsi="Times New Roman" w:cs="Times New Roman" w:eastAsia="Times New Roman"/>
          <w:b w:val="0"/>
          <w:sz w:val="24"/>
        </w:rPr>
        <w:t xml:space="preserve"> Rassembler topographie, géologie, historique du cours d’eau, ouvrages voisins et données de nappe. Représenter les incertitudes avant de choisir les investigations.</w:t>
      </w:r>
    </w:p>
    <w:p>
      <w:pPr>
        <w:jc w:val="both"/>
      </w:pPr>
      <w:r>
        <w:rPr>
          <w:rFonts w:ascii="Times New Roman" w:hAnsi="Times New Roman" w:cs="Times New Roman" w:eastAsia="Times New Roman"/>
          <w:b/>
          <w:sz w:val="24"/>
        </w:rPr>
        <w:t>Étape 3 — Reconnaissance adaptative.</w:t>
      </w:r>
      <w:r>
        <w:rPr>
          <w:rFonts w:ascii="Times New Roman" w:hAnsi="Times New Roman" w:cs="Times New Roman" w:eastAsia="Times New Roman"/>
          <w:b w:val="0"/>
          <w:sz w:val="24"/>
        </w:rPr>
        <w:t xml:space="preserve"> Positionner les investigations selon les mécanismes et l’accessibilité. Vérifier les essais, confronter les méthodes et documenter les limites.</w:t>
      </w:r>
    </w:p>
    <w:p>
      <w:pPr>
        <w:jc w:val="both"/>
      </w:pPr>
      <w:r>
        <w:rPr>
          <w:rFonts w:ascii="Times New Roman" w:hAnsi="Times New Roman" w:cs="Times New Roman" w:eastAsia="Times New Roman"/>
          <w:b/>
          <w:sz w:val="24"/>
        </w:rPr>
        <w:t>Étape 4 — Modèle de calcul et paramètres.</w:t>
      </w:r>
      <w:r>
        <w:rPr>
          <w:rFonts w:ascii="Times New Roman" w:hAnsi="Times New Roman" w:cs="Times New Roman" w:eastAsia="Times New Roman"/>
          <w:b w:val="0"/>
          <w:sz w:val="24"/>
        </w:rPr>
        <w:t xml:space="preserve"> Définir les unités géotechniques, les scénarios hydrauliques et les paramètres caractéristiques. Justifier les corrélations et les valeurs non mesurées.</w:t>
      </w:r>
    </w:p>
    <w:p>
      <w:pPr>
        <w:jc w:val="both"/>
      </w:pPr>
      <w:r>
        <w:rPr>
          <w:rFonts w:ascii="Times New Roman" w:hAnsi="Times New Roman" w:cs="Times New Roman" w:eastAsia="Times New Roman"/>
          <w:b/>
          <w:sz w:val="24"/>
        </w:rPr>
        <w:t>Étape 5 — Alternatives et vérifications.</w:t>
      </w:r>
      <w:r>
        <w:rPr>
          <w:rFonts w:ascii="Times New Roman" w:hAnsi="Times New Roman" w:cs="Times New Roman" w:eastAsia="Times New Roman"/>
          <w:b w:val="0"/>
          <w:sz w:val="24"/>
        </w:rPr>
        <w:t xml:space="preserve"> Comparer fondations, exécution, protection et suivi. Vérifier les états limites et les déplacements dans les situations permanentes, de crue, de chantier et sismiques pertinentes.</w:t>
      </w:r>
    </w:p>
    <w:p>
      <w:pPr>
        <w:jc w:val="both"/>
      </w:pPr>
      <w:r>
        <w:rPr>
          <w:rFonts w:ascii="Times New Roman" w:hAnsi="Times New Roman" w:cs="Times New Roman" w:eastAsia="Times New Roman"/>
          <w:b/>
          <w:sz w:val="24"/>
        </w:rPr>
        <w:t>Étape 6 — Risques résiduels et plan de contrôle.</w:t>
      </w:r>
      <w:r>
        <w:rPr>
          <w:rFonts w:ascii="Times New Roman" w:hAnsi="Times New Roman" w:cs="Times New Roman" w:eastAsia="Times New Roman"/>
          <w:b w:val="0"/>
          <w:sz w:val="24"/>
        </w:rPr>
        <w:t xml:space="preserve"> Identifier ce qui reste incertain, préparer les mesures d’exécution et les actions de la méthode observationnelle. Définir les inspections en exploitation.</w:t>
      </w:r>
    </w:p>
    <w:p>
      <w:pPr>
        <w:jc w:val="both"/>
      </w:pPr>
      <w:r>
        <w:rPr>
          <w:rFonts w:ascii="Times New Roman" w:hAnsi="Times New Roman" w:cs="Times New Roman" w:eastAsia="Times New Roman"/>
          <w:b/>
          <w:sz w:val="24"/>
        </w:rPr>
        <w:t>Étape 7 — Dossier et transmission.</w:t>
      </w:r>
      <w:r>
        <w:rPr>
          <w:rFonts w:ascii="Times New Roman" w:hAnsi="Times New Roman" w:cs="Times New Roman" w:eastAsia="Times New Roman"/>
          <w:b w:val="0"/>
          <w:sz w:val="24"/>
        </w:rPr>
        <w:t xml:space="preserve"> Assembler données, calculs, figures, décisions, versions et références. Séparer clairement les exigences, les recommandations et les options laissées au projet.</w:t>
      </w:r>
    </w:p>
    <w:p>
      <w:pPr>
        <w:keepNext/>
        <w:jc w:val="center"/>
      </w:pPr>
      <w:r>
        <w:drawing>
          <wp:inline xmlns:a="http://schemas.openxmlformats.org/drawingml/2006/main" xmlns:pic="http://schemas.openxmlformats.org/drawingml/2006/picture">
            <wp:extent cx="5760000" cy="3056245"/>
            <wp:docPr id="62" name="Picture 62"/>
            <wp:cNvGraphicFramePr>
              <a:graphicFrameLocks noChangeAspect="1"/>
            </wp:cNvGraphicFramePr>
            <a:graphic>
              <a:graphicData uri="http://schemas.openxmlformats.org/drawingml/2006/picture">
                <pic:pic>
                  <pic:nvPicPr>
                    <pic:cNvPr id="0" name="evidence_based_decisions.png"/>
                    <pic:cNvPicPr/>
                  </pic:nvPicPr>
                  <pic:blipFill>
                    <a:blip r:embed="rId100"/>
                    <a:stretch>
                      <a:fillRect/>
                    </a:stretch>
                  </pic:blipFill>
                  <pic:spPr>
                    <a:xfrm>
                      <a:off x="0" y="0"/>
                      <a:ext cx="5760000" cy="3056245"/>
                    </a:xfrm>
                    <a:prstGeom prst="rect"/>
                  </pic:spPr>
                </pic:pic>
              </a:graphicData>
            </a:graphic>
          </wp:inline>
        </w:drawing>
      </w:r>
    </w:p>
    <w:p>
      <w:bookmarkStart w:id="112" w:name="BM_FIGVI_2"/>
      <w:pPr>
        <w:jc w:val="center"/>
      </w:pPr>
      <w:r>
        <w:rPr>
          <w:rFonts w:ascii="Times New Roman" w:hAnsi="Times New Roman" w:cs="Times New Roman" w:eastAsia="Times New Roman"/>
          <w:b/>
          <w:sz w:val="20"/>
        </w:rPr>
        <w:t>Figure VI.2 — Chaîne de décision fondée sur la qualité et la portée des preuves</w:t>
      </w:r>
      <w:bookmarkEnd w:id="112"/>
    </w:p>
    <w:p>
      <w:pPr>
        <w:jc w:val="right"/>
      </w:pPr>
      <w:r>
        <w:rPr>
          <w:rFonts w:ascii="Times New Roman" w:hAnsi="Times New Roman" w:cs="Times New Roman" w:eastAsia="Times New Roman"/>
          <w:b w:val="0"/>
          <w:color w:val="59636B"/>
          <w:sz w:val="20"/>
        </w:rPr>
        <w:t>Source : schéma original de synthèse.</w:t>
      </w:r>
    </w:p>
    <w:p>
      <w:pPr>
        <w:jc w:val="both"/>
      </w:pPr>
      <w:r>
        <w:rPr>
          <w:rFonts w:ascii="Times New Roman" w:hAnsi="Times New Roman" w:cs="Times New Roman" w:eastAsia="Times New Roman"/>
          <w:b w:val="0"/>
          <w:sz w:val="24"/>
        </w:rPr>
        <w:t>Ces vues sont contextuelles et ne documentent pas les fondations.</w:t>
      </w:r>
    </w:p>
    <w:p>
      <w:pPr>
        <w:keepNext/>
        <w:jc w:val="center"/>
      </w:pPr>
      <w:r>
        <w:drawing>
          <wp:inline xmlns:a="http://schemas.openxmlformats.org/drawingml/2006/main" xmlns:pic="http://schemas.openxmlformats.org/drawingml/2006/picture">
            <wp:extent cx="5760000" cy="2240000"/>
            <wp:docPr id="63" name="Picture 63"/>
            <wp:cNvGraphicFramePr>
              <a:graphicFrameLocks noChangeAspect="1"/>
            </wp:cNvGraphicFramePr>
            <a:graphic>
              <a:graphicData uri="http://schemas.openxmlformats.org/drawingml/2006/picture">
                <pic:pic>
                  <pic:nvPicPr>
                    <pic:cNvPr id="0" name="photo_constantine_bridges.png"/>
                    <pic:cNvPicPr/>
                  </pic:nvPicPr>
                  <pic:blipFill>
                    <a:blip r:embed="rId101"/>
                    <a:stretch>
                      <a:fillRect/>
                    </a:stretch>
                  </pic:blipFill>
                  <pic:spPr>
                    <a:xfrm>
                      <a:off x="0" y="0"/>
                      <a:ext cx="5760000" cy="2240000"/>
                    </a:xfrm>
                    <a:prstGeom prst="rect"/>
                  </pic:spPr>
                </pic:pic>
              </a:graphicData>
            </a:graphic>
          </wp:inline>
        </w:drawing>
      </w:r>
    </w:p>
    <w:p>
      <w:bookmarkStart w:id="113" w:name="BM_FIGVI_3"/>
      <w:pPr>
        <w:jc w:val="center"/>
      </w:pPr>
      <w:r>
        <w:rPr>
          <w:rFonts w:ascii="Times New Roman" w:hAnsi="Times New Roman" w:cs="Times New Roman" w:eastAsia="Times New Roman"/>
          <w:b/>
          <w:sz w:val="20"/>
        </w:rPr>
        <w:t>Figure VI.3 — Deux ouvrages de Constantine : (a) pont de Sidi M’Cid ; (b) pont Bab El Kantara</w:t>
      </w:r>
      <w:bookmarkEnd w:id="113"/>
    </w:p>
    <w:p>
      <w:pPr>
        <w:jc w:val="right"/>
      </w:pPr>
      <w:r>
        <w:rPr>
          <w:rFonts w:ascii="Times New Roman" w:hAnsi="Times New Roman" w:cs="Times New Roman" w:eastAsia="Times New Roman"/>
          <w:b w:val="0"/>
          <w:color w:val="59636B"/>
          <w:sz w:val="20"/>
        </w:rPr>
        <w:t>Source : (a) Mohameddhiamerazka, Wikimedia Commons, CC BY-SA 4.0 ; (b) Bernard Gagnon, Wikimedia Commons, CC BY 4.0.</w:t>
      </w:r>
    </w:p>
    <w:p>
      <w:pPr>
        <w:jc w:val="both"/>
      </w:pPr>
      <w:r>
        <w:rPr>
          <w:rFonts w:ascii="Times New Roman" w:hAnsi="Times New Roman" w:cs="Times New Roman" w:eastAsia="Times New Roman"/>
          <w:b w:val="0"/>
          <w:sz w:val="24"/>
        </w:rPr>
        <w:t>Le pont de Sidi Rached complète ces exemples algériens par une structure maçonnée à arches multiples. Cette vue sert à identifier la géométrie générale et le contexte d’appuis en gorge ; elle ne documente ni les fondations ni l’état structural actuel.</w:t>
      </w:r>
    </w:p>
    <w:p>
      <w:pPr>
        <w:keepNext/>
        <w:jc w:val="center"/>
      </w:pPr>
      <w:r>
        <w:drawing>
          <wp:inline xmlns:a="http://schemas.openxmlformats.org/drawingml/2006/main" xmlns:pic="http://schemas.openxmlformats.org/drawingml/2006/picture">
            <wp:extent cx="4256116" cy="1778923"/>
            <wp:docPr id="64" name="Picture 64"/>
            <wp:cNvGraphicFramePr>
              <a:graphicFrameLocks noChangeAspect="1"/>
            </wp:cNvGraphicFramePr>
            <a:graphic>
              <a:graphicData uri="http://schemas.openxmlformats.org/drawingml/2006/picture">
                <pic:pic>
                  <pic:nvPicPr>
                    <pic:cNvPr id="0" name="photo_sidi_rached.png"/>
                    <pic:cNvPicPr/>
                  </pic:nvPicPr>
                  <pic:blipFill>
                    <a:blip r:embed="rId102"/>
                    <a:stretch>
                      <a:fillRect/>
                    </a:stretch>
                  </pic:blipFill>
                  <pic:spPr>
                    <a:xfrm>
                      <a:off x="0" y="0"/>
                      <a:ext cx="4256116" cy="1778923"/>
                    </a:xfrm>
                    <a:prstGeom prst="rect"/>
                  </pic:spPr>
                </pic:pic>
              </a:graphicData>
            </a:graphic>
          </wp:inline>
        </w:drawing>
      </w:r>
    </w:p>
    <w:p>
      <w:bookmarkStart w:id="114" w:name="BM_FIGVI_4"/>
      <w:pPr>
        <w:jc w:val="center"/>
      </w:pPr>
      <w:r>
        <w:rPr>
          <w:rFonts w:ascii="Times New Roman" w:hAnsi="Times New Roman" w:cs="Times New Roman" w:eastAsia="Times New Roman"/>
          <w:b/>
          <w:sz w:val="20"/>
        </w:rPr>
        <w:t>Figure VI.4 — Pont de Sidi Rached à Constantine : arches multiples et appuis en gorge</w:t>
      </w:r>
      <w:bookmarkEnd w:id="114"/>
    </w:p>
    <w:p>
      <w:pPr>
        <w:jc w:val="right"/>
      </w:pPr>
      <w:r>
        <w:rPr>
          <w:rFonts w:ascii="Times New Roman" w:hAnsi="Times New Roman" w:cs="Times New Roman" w:eastAsia="Times New Roman"/>
          <w:b w:val="0"/>
          <w:color w:val="59636B"/>
          <w:sz w:val="20"/>
        </w:rPr>
        <w:t>Source : Algerie360, « Le Pont de Sidi-Rached, une vieille histoire constantinoise » ; aucune licence libre revendiquée.</w:t>
      </w:r>
    </w:p>
    <w:p>
      <w:pPr>
        <w:jc w:val="both"/>
      </w:pPr>
      <w:r>
        <w:rPr>
          <w:rFonts w:ascii="Times New Roman" w:hAnsi="Times New Roman" w:cs="Times New Roman" w:eastAsia="Times New Roman"/>
          <w:b w:val="0"/>
          <w:sz w:val="24"/>
        </w:rPr>
        <w:t>Deux autres vues algériennes élargissent ce répertoire visuel : les haubans et le pylône du pont Salah Bey à Constantine, puis le viaduc de Cherrata à Berrouaghia. Elles servent à lire les relations entre tablier, appuis et terrain ; aucune information de fondation n’est déduite de ces seules photographies.</w:t>
      </w:r>
    </w:p>
    <w:p>
      <w:pPr>
        <w:keepNext/>
        <w:jc w:val="center"/>
      </w:pPr>
      <w:r>
        <w:drawing>
          <wp:inline xmlns:a="http://schemas.openxmlformats.org/drawingml/2006/main" xmlns:pic="http://schemas.openxmlformats.org/drawingml/2006/picture">
            <wp:extent cx="5760000" cy="2496000"/>
            <wp:docPr id="65" name="Picture 65"/>
            <wp:cNvGraphicFramePr>
              <a:graphicFrameLocks noChangeAspect="1"/>
            </wp:cNvGraphicFramePr>
            <a:graphic>
              <a:graphicData uri="http://schemas.openxmlformats.org/drawingml/2006/picture">
                <pic:pic>
                  <pic:nvPicPr>
                    <pic:cNvPr id="0" name="photo_algerian_viaducts.png"/>
                    <pic:cNvPicPr/>
                  </pic:nvPicPr>
                  <pic:blipFill>
                    <a:blip r:embed="rId103"/>
                    <a:stretch>
                      <a:fillRect/>
                    </a:stretch>
                  </pic:blipFill>
                  <pic:spPr>
                    <a:xfrm>
                      <a:off x="0" y="0"/>
                      <a:ext cx="5760000" cy="2496000"/>
                    </a:xfrm>
                    <a:prstGeom prst="rect"/>
                  </pic:spPr>
                </pic:pic>
              </a:graphicData>
            </a:graphic>
          </wp:inline>
        </w:drawing>
      </w:r>
    </w:p>
    <w:p>
      <w:bookmarkStart w:id="115" w:name="BM_FIGVI_5"/>
      <w:pPr>
        <w:jc w:val="center"/>
      </w:pPr>
      <w:r>
        <w:rPr>
          <w:rFonts w:ascii="Times New Roman" w:hAnsi="Times New Roman" w:cs="Times New Roman" w:eastAsia="Times New Roman"/>
          <w:b/>
          <w:sz w:val="20"/>
        </w:rPr>
        <w:t>Figure VI.5 — Ouvrages algériens : (a) pylône et haubans du pont Salah Bey à Constantine ; (b) viaduc de Cherrata à Berrouaghia (wilaya de Médéa)</w:t>
      </w:r>
      <w:bookmarkEnd w:id="115"/>
    </w:p>
    <w:p>
      <w:pPr>
        <w:jc w:val="right"/>
      </w:pPr>
      <w:r>
        <w:rPr>
          <w:rFonts w:ascii="Times New Roman" w:hAnsi="Times New Roman" w:cs="Times New Roman" w:eastAsia="Times New Roman"/>
          <w:b w:val="0"/>
          <w:color w:val="59636B"/>
          <w:sz w:val="20"/>
        </w:rPr>
        <w:t>Source : (a) Louadfel, CC BY-SA 4.0 ; (b) Habib kaki, CC0, via Wikimedia Commons.</w:t>
      </w:r>
    </w:p>
    <w:p>
      <w:pPr>
        <w:pStyle w:val="Heading2"/>
      </w:pPr>
      <w:r>
        <w:rPr>
          <w:rFonts w:ascii="Times New Roman" w:hAnsi="Times New Roman" w:cs="Times New Roman" w:eastAsia="Times New Roman"/>
          <w:b/>
          <w:color w:val="1F4E79"/>
          <w:sz w:val="24"/>
        </w:rPr>
        <w:t>VI.8 Recommandations pour les études et la recherche</w:t>
      </w:r>
    </w:p>
    <w:p>
      <w:pPr>
        <w:jc w:val="both"/>
      </w:pPr>
      <w:r>
        <w:rPr>
          <w:rFonts w:ascii="Times New Roman" w:hAnsi="Times New Roman" w:cs="Times New Roman" w:eastAsia="Times New Roman"/>
          <w:b w:val="0"/>
          <w:sz w:val="24"/>
        </w:rPr>
        <w:t>Les études futures gagneraient à conserver des jeux de données anonymisés lorsque la confidentialité l’exige : logs, résultats bruts, localisation relative, méthodes et interprétations. Cette pratique permettrait de comparer les corrélations et d’évaluer leur validité locale sans copier des paramètres d’un site à l’autre.</w:t>
      </w:r>
    </w:p>
    <w:p>
      <w:pPr>
        <w:jc w:val="both"/>
      </w:pPr>
      <w:r>
        <w:rPr>
          <w:rFonts w:ascii="Times New Roman" w:hAnsi="Times New Roman" w:cs="Times New Roman" w:eastAsia="Times New Roman"/>
          <w:b w:val="0"/>
          <w:sz w:val="24"/>
        </w:rPr>
        <w:t>Les retours d’événements devraient distinguer les observations, les mesures et les conclusions d’expertise. Une base documentée de bathymétries, d’inspections et d’interventions améliorerait la compréhension de l’évolution des ouvrages. Les données hydrologiques et les mesures de nappe doivent être reliées aux dates et aux méthodes d’acquisition.</w:t>
      </w:r>
    </w:p>
    <w:p>
      <w:pPr>
        <w:jc w:val="both"/>
      </w:pPr>
      <w:r>
        <w:rPr>
          <w:rFonts w:ascii="Times New Roman" w:hAnsi="Times New Roman" w:cs="Times New Roman" w:eastAsia="Times New Roman"/>
          <w:b w:val="0"/>
          <w:sz w:val="24"/>
        </w:rPr>
        <w:t>La recherche peut également développer des protocoles conjoints entre géophysique, sondages et hydrochimie pour les contextes karstiques, avec une évaluation explicite des faux positifs et des zones non résolues. Les résultats négatifs et les incertitudes sont utiles à la communauté et doivent être publiés.</w:t>
      </w:r>
    </w:p>
    <w:p>
      <w:pPr>
        <w:jc w:val="both"/>
      </w:pPr>
      <w:r>
        <w:rPr>
          <w:rFonts w:ascii="Times New Roman" w:hAnsi="Times New Roman" w:cs="Times New Roman" w:eastAsia="Times New Roman"/>
          <w:b w:val="0"/>
          <w:sz w:val="24"/>
        </w:rPr>
        <w:t>Enfin, la mise à jour documentaire est une tâche technique permanente. Les références aux RPA 2024 et au DTR-BC 2.33 montrent qu’un mémoire peut devenir obsolète même si sa méthode générale reste valable. Une bibliographie vivante et une table des versions doivent accompagner les travaux ultérieurs.</w:t>
      </w:r>
    </w:p>
    <w:p>
      <w:pPr>
        <w:pStyle w:val="Heading2"/>
      </w:pPr>
      <w:r>
        <w:rPr>
          <w:rFonts w:ascii="Times New Roman" w:hAnsi="Times New Roman" w:cs="Times New Roman" w:eastAsia="Times New Roman"/>
          <w:b/>
          <w:color w:val="1F4E79"/>
          <w:sz w:val="24"/>
        </w:rPr>
        <w:t>VI.9 Limites de l’application proposée</w:t>
      </w:r>
    </w:p>
    <w:p>
      <w:pPr>
        <w:jc w:val="both"/>
      </w:pPr>
      <w:r>
        <w:rPr>
          <w:rFonts w:ascii="Times New Roman" w:hAnsi="Times New Roman" w:cs="Times New Roman" w:eastAsia="Times New Roman"/>
          <w:b w:val="0"/>
          <w:sz w:val="24"/>
        </w:rPr>
        <w:t>Cette révision ne fournit ni un zonage national des fondations, ni une base statistique algérienne de paramètres, ni une validation expérimentale des corrélations. Les exemples de Chéria concernent le karst et non des ponts ; les événements de Blida et Jijel sont documentés ici par des sources secondaires. Le texte intégral officiel du DTR-BC 2.33 reste à consulter pour une application réglementaire détaillée.</w:t>
      </w:r>
    </w:p>
    <w:p>
      <w:pPr>
        <w:jc w:val="both"/>
      </w:pPr>
      <w:r>
        <w:rPr>
          <w:rFonts w:ascii="Times New Roman" w:hAnsi="Times New Roman" w:cs="Times New Roman" w:eastAsia="Times New Roman"/>
          <w:b w:val="0"/>
          <w:sz w:val="24"/>
        </w:rPr>
        <w:t>Ces limites ne sont pas comblées par des valeurs approximatives. Elles définissent des besoins précis : acquisition des documents officiels, accès aux rapports d’expertise, campagnes de terrain et constitution de données locales. Toute future étude de cas devra mettre à jour ces points avant de formuler des conclusions propres à un ouvrage.</w:t>
      </w:r>
    </w:p>
    <w:p>
      <w:pPr>
        <w:pStyle w:val="Heading2"/>
      </w:pPr>
      <w:r>
        <w:rPr>
          <w:rFonts w:ascii="Times New Roman" w:hAnsi="Times New Roman" w:cs="Times New Roman" w:eastAsia="Times New Roman"/>
          <w:b/>
          <w:color w:val="1F4E79"/>
          <w:sz w:val="24"/>
        </w:rPr>
        <w:t>VI.10 Conclusion du chapitre</w:t>
      </w:r>
    </w:p>
    <w:p>
      <w:pPr>
        <w:jc w:val="both"/>
      </w:pPr>
      <w:r>
        <w:rPr>
          <w:rFonts w:ascii="Times New Roman" w:hAnsi="Times New Roman" w:cs="Times New Roman" w:eastAsia="Times New Roman"/>
          <w:b w:val="0"/>
          <w:sz w:val="24"/>
        </w:rPr>
        <w:t>L’application au contexte algérien repose sur une adaptation aux sites et sur une lecture rigoureuse du statut des sources. Les arrêtés de 2024 actualisent le cadre réglementaire, mais ne remplacent pas les textes techniques complets. Les publications sur le karst apportent des méthodes et des résultats localisés ; les articles de presse confirment des événements sans établir seuls leurs causes.</w:t>
      </w:r>
    </w:p>
    <w:p>
      <w:pPr>
        <w:jc w:val="both"/>
      </w:pPr>
      <w:r>
        <w:rPr>
          <w:rFonts w:ascii="Times New Roman" w:hAnsi="Times New Roman" w:cs="Times New Roman" w:eastAsia="Times New Roman"/>
          <w:b w:val="0"/>
          <w:sz w:val="24"/>
        </w:rPr>
        <w:t>La synthèse multidisciplinaire transforme ces apports en livrables coordonnés. La conclusion générale reprend les résultats effectivement démontrés par ce travail bibliographique et formule des perspectives proportionnées à ses limites.</w:t>
      </w:r>
    </w:p>
    <w:p>
      <w:pPr>
        <w:sectPr>
          <w:headerReference w:type="default" r:id="rId95"/>
          <w:footerReference w:type="default" r:id="rId96"/>
          <w:headerReference w:type="first" r:id="rId97"/>
          <w:footerReference w:type="first" r:id="rId98"/>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CONCLUSION GÉNÉRALE</w:t>
      </w:r>
    </w:p>
    <w:p>
      <w:pPr>
        <w:jc w:val="both"/>
      </w:pPr>
      <w:r>
        <w:rPr>
          <w:rFonts w:ascii="Times New Roman" w:hAnsi="Times New Roman" w:cs="Times New Roman" w:eastAsia="Times New Roman"/>
          <w:b w:val="0"/>
          <w:sz w:val="24"/>
        </w:rPr>
        <w:t>Cette étude bibliographique avait pour objectif de préciser les particularités de la reconnaissance géotechnique des ponts et de proposer une démarche reliant le site, la structure, les investigations et les décisions de fondation. Le travail montre d’abord que ces particularités ne tiennent pas à un essai spécifique ni à une famille de fondation systématiquement privilégiée. Elles résultent de la combinaison d’un ouvrage linéaire à appuis multiples, d’un milieu souvent évolutif et d’exigences de déplacement, de constructibilité et de durabilité.</w:t>
      </w:r>
    </w:p>
    <w:p>
      <w:pPr>
        <w:jc w:val="both"/>
      </w:pPr>
      <w:r>
        <w:rPr>
          <w:rFonts w:ascii="Times New Roman" w:hAnsi="Times New Roman" w:cs="Times New Roman" w:eastAsia="Times New Roman"/>
          <w:b w:val="0"/>
          <w:sz w:val="24"/>
        </w:rPr>
        <w:t>La première conclusion concerne le modèle de l’ouvrage. Les ponts à poutres et dalles, en arc, suspendus et haubanés ne transmettent pas les actions de la même manière. Les déplacements entre appuis, les poussées, les ancrages, les charges concentrées et les phases de construction modifient les questions posées au terrain. La reconnaissance ne peut donc être définie indépendamment du système structural. À l’inverse, ces différences ne dispensent jamais d’examiner les risques communs du site : un pylône, une culée ou un ancrage peut rester exposé à l’eau, à l’érosion ou à l’instabilité du massif.</w:t>
      </w:r>
    </w:p>
    <w:p>
      <w:pPr>
        <w:jc w:val="both"/>
      </w:pPr>
      <w:r>
        <w:rPr>
          <w:rFonts w:ascii="Times New Roman" w:hAnsi="Times New Roman" w:cs="Times New Roman" w:eastAsia="Times New Roman"/>
          <w:b w:val="0"/>
          <w:sz w:val="24"/>
        </w:rPr>
        <w:t>La deuxième conclusion est la nécessité d’un modèle de site intégré. La géologie et l’hydrogéologie décrivent les formations, les discontinuités, les circulations et les transformations possibles. L’hydrologie et l’hydraulique établissent les scénarios de débit et d’écoulement. La morphodynamique renseigne l’évolution du lit et des berges. Pour un pont sur cours d’eau, cette chaîne conditionne l’ouverture, les niveaux, l’affouillement et la géométrie disponible pour les fondations. Une coupe géotechnique figée à la date des sondages ne représente pas à elle seule la situation future.</w:t>
      </w:r>
    </w:p>
    <w:p>
      <w:pPr>
        <w:jc w:val="both"/>
      </w:pPr>
      <w:r>
        <w:rPr>
          <w:rFonts w:ascii="Times New Roman" w:hAnsi="Times New Roman" w:cs="Times New Roman" w:eastAsia="Times New Roman"/>
          <w:b w:val="0"/>
          <w:sz w:val="24"/>
        </w:rPr>
        <w:t>La troisième conclusion porte sur le choix des investigations. Aucun programme universel de sondages ou d’essais ne découle du seul mot « pont ». Le SPT, le CPT/CPTu, le pressiomètre, le scissomètre, les essais de laboratoire, les mesures de perméabilité et la géophysique répondent à des questions différentes et présentent des limites propres. Leur sélection dépend du matériau, du mécanisme, de l’appui, de la phase et du paramètre recherché. Les investigations doivent être adaptatives : une anomalie, une discordance ou une condition d’exécution peut modifier le programme initial.</w:t>
      </w:r>
    </w:p>
    <w:p>
      <w:pPr>
        <w:jc w:val="both"/>
      </w:pPr>
      <w:r>
        <w:rPr>
          <w:rFonts w:ascii="Times New Roman" w:hAnsi="Times New Roman" w:cs="Times New Roman" w:eastAsia="Times New Roman"/>
          <w:b w:val="0"/>
          <w:sz w:val="24"/>
        </w:rPr>
        <w:t>La quatrième conclusion concerne la qualité des paramètres. Une mesure brute n’est pas directement une valeur de calcul. Les corrections, les corrélations, la représentativité spatiale et l’état limite doivent être explicites. Le RQD ne se confond pas avec le taux de récupération total ; les ondes P ne fournissent pas directement Vs ; la valeur caractéristique n’est pas systématiquement obtenue par une formule statistique unique. La traçabilité entre donnée, interprétation et décision constitue une exigence scientifique et pratique.</w:t>
      </w:r>
    </w:p>
    <w:p>
      <w:pPr>
        <w:jc w:val="both"/>
      </w:pPr>
      <w:r>
        <w:rPr>
          <w:rFonts w:ascii="Times New Roman" w:hAnsi="Times New Roman" w:cs="Times New Roman" w:eastAsia="Times New Roman"/>
          <w:b w:val="0"/>
          <w:sz w:val="24"/>
        </w:rPr>
        <w:t>La cinquième conclusion est l’importance des mécanismes liés à l’eau. L’affouillement comprend la dégradation à long terme, la contraction et les processus locaux. L’érosion interne regroupe plusieurs phénomènes dont le renard, la suffosion, l’érosion de contact et l’érosion concentrée. Leur confusion conduit à choisir de mauvaises investigations ou de mauvaises protections. Les stabilités de rive, la liquéfaction, les circulations karstiques et l’agressivité chimique doivent également être reliées à des scénarios, à des conséquences et à des preuves, sans classement absolu valable pour tous les sites.</w:t>
      </w:r>
    </w:p>
    <w:p>
      <w:pPr>
        <w:jc w:val="both"/>
      </w:pPr>
      <w:r>
        <w:rPr>
          <w:rFonts w:ascii="Times New Roman" w:hAnsi="Times New Roman" w:cs="Times New Roman" w:eastAsia="Times New Roman"/>
          <w:b w:val="0"/>
          <w:sz w:val="24"/>
        </w:rPr>
        <w:t>La sixième conclusion est que le choix d’une fondation est une comparaison de systèmes complets. La résistance ultime ne suffit pas : déplacements, exécution, durabilité, inspection, entretien et risques résiduels interviennent. Les approches de calcul et les facteurs doivent être utilisés sans mélange ni double réduction. La méthode observationnelle prolonge la conception par des mesures, des critères définis à l’avance et des actions préparées ; elle ne remplace ni les investigations ni le jugement.</w:t>
      </w:r>
    </w:p>
    <w:p>
      <w:pPr>
        <w:jc w:val="both"/>
      </w:pPr>
      <w:r>
        <w:rPr>
          <w:rFonts w:ascii="Times New Roman" w:hAnsi="Times New Roman" w:cs="Times New Roman" w:eastAsia="Times New Roman"/>
          <w:b w:val="0"/>
          <w:sz w:val="24"/>
        </w:rPr>
        <w:t>L’examen du contexte algérien confirme enfin la nécessité de distinguer les statuts des documents. Les arrêtés publiés en 2024 officialisent les RPA 2024 et le DTR-BC 2.33, avec leurs dispositions d’application. Ils ne permettent pas, à eux seuls, de citer les coefficients des textes techniques annexés. Les travaux sur Chéria apportent des enseignements sur le karst, mais ne constituent pas des études de ponts. Les événements de Blida et Jijel sont documentés par des sources secondaires qui ne suffisent pas à établir tous leurs mécanismes. Cette discipline de preuve fait partie de la qualité géotechnique.</w:t>
      </w:r>
    </w:p>
    <w:p>
      <w:pPr>
        <w:pStyle w:val="Heading2"/>
      </w:pPr>
      <w:r>
        <w:rPr>
          <w:rFonts w:ascii="Times New Roman" w:hAnsi="Times New Roman" w:cs="Times New Roman" w:eastAsia="Times New Roman"/>
          <w:b/>
          <w:color w:val="1F4E79"/>
          <w:sz w:val="24"/>
        </w:rPr>
        <w:t>Recommandations pratiques</w:t>
      </w:r>
    </w:p>
    <w:p>
      <w:pPr>
        <w:jc w:val="both"/>
      </w:pPr>
      <w:r>
        <w:rPr>
          <w:rFonts w:ascii="Times New Roman" w:hAnsi="Times New Roman" w:cs="Times New Roman" w:eastAsia="Times New Roman"/>
          <w:b w:val="0"/>
          <w:sz w:val="24"/>
        </w:rPr>
        <w:t>Pour un projet réel, la démarche peut être résumée en sept engagements :</w:t>
      </w:r>
    </w:p>
    <w:p>
      <w:pPr>
        <w:spacing w:after="40"/>
        <w:ind w:left="227" w:hanging="170"/>
      </w:pPr>
      <w:r>
        <w:rPr>
          <w:rFonts w:ascii="Times New Roman" w:hAnsi="Times New Roman" w:cs="Times New Roman" w:eastAsia="Times New Roman"/>
          <w:b w:val="0"/>
          <w:sz w:val="24"/>
        </w:rPr>
        <w:t>1. définir ensemble la structure, les appuis, les situations et les performances attendues avant de fixer le programme d’investigation ;</w:t>
      </w:r>
    </w:p>
    <w:p>
      <w:pPr>
        <w:spacing w:after="40"/>
        <w:ind w:left="227" w:hanging="170"/>
      </w:pPr>
      <w:r>
        <w:rPr>
          <w:rFonts w:ascii="Times New Roman" w:hAnsi="Times New Roman" w:cs="Times New Roman" w:eastAsia="Times New Roman"/>
          <w:b w:val="0"/>
          <w:sz w:val="24"/>
        </w:rPr>
        <w:t>2. établir un modèle initial du site avec ses incertitudes, incluant le cours d’eau, les rives, les accès et les conditions d’exécution ;</w:t>
      </w:r>
    </w:p>
    <w:p>
      <w:pPr>
        <w:spacing w:after="40"/>
        <w:ind w:left="227" w:hanging="170"/>
      </w:pPr>
      <w:r>
        <w:rPr>
          <w:rFonts w:ascii="Times New Roman" w:hAnsi="Times New Roman" w:cs="Times New Roman" w:eastAsia="Times New Roman"/>
          <w:b w:val="0"/>
          <w:sz w:val="24"/>
        </w:rPr>
        <w:t>3. choisir chaque essai pour une question et un paramètre, puis recouper les méthodes indirectes par des observations directes adaptées ;</w:t>
      </w:r>
    </w:p>
    <w:p>
      <w:pPr>
        <w:spacing w:after="40"/>
        <w:ind w:left="227" w:hanging="170"/>
      </w:pPr>
      <w:r>
        <w:rPr>
          <w:rFonts w:ascii="Times New Roman" w:hAnsi="Times New Roman" w:cs="Times New Roman" w:eastAsia="Times New Roman"/>
          <w:b w:val="0"/>
          <w:sz w:val="24"/>
        </w:rPr>
        <w:t>4. conserver la chaîne entre mesures brutes, corrections, paramètres, valeurs caractéristiques et valeurs de calcul ;</w:t>
      </w:r>
    </w:p>
    <w:p>
      <w:pPr>
        <w:spacing w:after="40"/>
        <w:ind w:left="227" w:hanging="170"/>
      </w:pPr>
      <w:r>
        <w:rPr>
          <w:rFonts w:ascii="Times New Roman" w:hAnsi="Times New Roman" w:cs="Times New Roman" w:eastAsia="Times New Roman"/>
          <w:b w:val="0"/>
          <w:sz w:val="24"/>
        </w:rPr>
        <w:t>5. comparer les fondations avec leurs protections, leurs contrôles et leur suivi, dans les situations courantes et défavorables pertinentes ;</w:t>
      </w:r>
    </w:p>
    <w:p>
      <w:pPr>
        <w:spacing w:after="40"/>
        <w:ind w:left="227" w:hanging="170"/>
      </w:pPr>
      <w:r>
        <w:rPr>
          <w:rFonts w:ascii="Times New Roman" w:hAnsi="Times New Roman" w:cs="Times New Roman" w:eastAsia="Times New Roman"/>
          <w:b w:val="0"/>
          <w:sz w:val="24"/>
        </w:rPr>
        <w:t>6. formaliser les interfaces entre hydrologie, hydraulique, géologie, géotechnique, structure, entreprise et gestionnaire ;</w:t>
      </w:r>
    </w:p>
    <w:p>
      <w:pPr>
        <w:spacing w:after="40"/>
        <w:ind w:left="227" w:hanging="170"/>
      </w:pPr>
      <w:r>
        <w:rPr>
          <w:rFonts w:ascii="Times New Roman" w:hAnsi="Times New Roman" w:cs="Times New Roman" w:eastAsia="Times New Roman"/>
          <w:b w:val="0"/>
          <w:sz w:val="24"/>
        </w:rPr>
        <w:t>7. transmettre un dossier dans lequel les hypothèses, les limites, les versions et les actions de suivi peuvent être vérifiées.</w:t>
      </w:r>
    </w:p>
    <w:p>
      <w:pPr>
        <w:pStyle w:val="Heading2"/>
      </w:pPr>
      <w:r>
        <w:rPr>
          <w:rFonts w:ascii="Times New Roman" w:hAnsi="Times New Roman" w:cs="Times New Roman" w:eastAsia="Times New Roman"/>
          <w:b/>
          <w:color w:val="1F4E79"/>
          <w:sz w:val="24"/>
        </w:rPr>
        <w:t>Limites et perspectives</w:t>
      </w:r>
    </w:p>
    <w:p>
      <w:pPr>
        <w:jc w:val="both"/>
      </w:pPr>
      <w:r>
        <w:rPr>
          <w:rFonts w:ascii="Times New Roman" w:hAnsi="Times New Roman" w:cs="Times New Roman" w:eastAsia="Times New Roman"/>
          <w:b w:val="0"/>
          <w:sz w:val="24"/>
        </w:rPr>
        <w:t>Ce mémoire reste une synthèse bibliographique. Il ne valide pas expérimentalement une corrélation et ne produit pas le modèle géotechnique d’un pont particulier. Le texte intégral officiel du DTR-BC 2.33, les rapports d’expertise des événements locaux et des séries de données algériennes suffisamment documentées restent nécessaires pour approfondir plusieurs questions.</w:t>
      </w:r>
    </w:p>
    <w:p>
      <w:pPr>
        <w:jc w:val="both"/>
      </w:pPr>
      <w:r>
        <w:rPr>
          <w:rFonts w:ascii="Times New Roman" w:hAnsi="Times New Roman" w:cs="Times New Roman" w:eastAsia="Times New Roman"/>
          <w:b w:val="0"/>
          <w:sz w:val="24"/>
        </w:rPr>
        <w:t>Une première perspective est l’application de la trame à un ouvrage réel, avec accès aux données de conception, aux investigations, aux mesures de crue et aux inspections. Une deuxième est la constitution de bases locales traçables sur les paramètres, les corrélations et les retours d’exécution, sans transfert aveugle entre sites. Une troisième concerne le suivi dans le temps des lits, des nappes et des déplacements d’appuis, afin de confronter les prévisions aux observations.</w:t>
      </w:r>
    </w:p>
    <w:p>
      <w:pPr>
        <w:jc w:val="both"/>
      </w:pPr>
      <w:r>
        <w:rPr>
          <w:rFonts w:ascii="Times New Roman" w:hAnsi="Times New Roman" w:cs="Times New Roman" w:eastAsia="Times New Roman"/>
          <w:b w:val="0"/>
          <w:sz w:val="24"/>
        </w:rPr>
        <w:t>Enfin, les approches probabilistes et les modèles numériques pourront être développés lorsque les données sont suffisantes pour contraindre leurs entrées. Leur intérêt ne réside pas dans la complexité apparente, mais dans leur capacité à tester les incertitudes et à améliorer une décision. La reconnaissance géotechnique d’un pont est ainsi un processus continu de preuve, de coordination et de révision, depuis le premier modèle du site jusqu’à la gestion de l’ouvrage.</w:t>
      </w:r>
    </w:p>
    <w:p>
      <w:pPr>
        <w:sectPr>
          <w:headerReference w:type="default" r:id="rId104"/>
          <w:footerReference w:type="default" r:id="rId105"/>
          <w:headerReference w:type="first" r:id="rId106"/>
          <w:footerReference w:type="first" r:id="rId107"/>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BIBLIOGRAPHIE</w:t>
      </w:r>
    </w:p>
    <w:p>
      <w:pPr>
        <w:spacing w:after="80"/>
        <w:ind w:left="283" w:hanging="283"/>
        <w:jc w:val="left"/>
      </w:pPr>
      <w:r>
        <w:rPr>
          <w:rFonts w:ascii="Times New Roman" w:hAnsi="Times New Roman" w:cs="Times New Roman" w:eastAsia="Times New Roman"/>
          <w:b w:val="0"/>
          <w:sz w:val="24"/>
        </w:rPr>
        <w:t>AFNOR (2013). NF P94-500, Missions d’ingénierie géotechnique — Classification et spécifications. Norme française homologuée, 30 novembre 2013. La Plaine Saint-Denis : AFNOR.</w:t>
      </w:r>
    </w:p>
    <w:p>
      <w:pPr>
        <w:spacing w:after="80"/>
        <w:ind w:left="283" w:hanging="283"/>
        <w:jc w:val="left"/>
      </w:pPr>
      <w:r>
        <w:rPr>
          <w:rFonts w:ascii="Times New Roman" w:hAnsi="Times New Roman" w:cs="Times New Roman" w:eastAsia="Times New Roman"/>
          <w:b w:val="0"/>
          <w:sz w:val="24"/>
        </w:rPr>
        <w:t>AFNOR (2021). NF EN ISO 22476-4, Geotechnical investigation and testing — Field testing — Part 4: Prebored pressuremeter test by Ménard procedure. Septembre 2021. La Plaine Saint-Denis : AFNOR.</w:t>
      </w:r>
    </w:p>
    <w:p>
      <w:pPr>
        <w:spacing w:after="80"/>
        <w:ind w:left="283" w:hanging="283"/>
        <w:jc w:val="left"/>
      </w:pPr>
      <w:r>
        <w:rPr>
          <w:rFonts w:ascii="Times New Roman" w:hAnsi="Times New Roman" w:cs="Times New Roman" w:eastAsia="Times New Roman"/>
          <w:b w:val="0"/>
          <w:sz w:val="24"/>
        </w:rPr>
        <w:t>AFNOR (2026). NF EN 206-1, Béton — Spécification, performances, production et conformité — Partie 1 : exigences de performance, contrôle de la production en usine et critères d’évaluation pour les valeurs individuelles. Notice et avertissement de transition, mars 2026. https://www.boutique.afnor.org/en-gb/standard/nf-en-2061/concrete-specification-performance-production-and-conformity-part-1-perform/fa205827/598969 (consulté le 25 octobre 2026).</w:t>
      </w:r>
    </w:p>
    <w:p>
      <w:pPr>
        <w:spacing w:after="80"/>
        <w:ind w:left="283" w:hanging="283"/>
        <w:jc w:val="left"/>
      </w:pPr>
      <w:r>
        <w:rPr>
          <w:rFonts w:ascii="Times New Roman" w:hAnsi="Times New Roman" w:cs="Times New Roman" w:eastAsia="Times New Roman"/>
          <w:b w:val="0"/>
          <w:sz w:val="24"/>
        </w:rPr>
        <w:t>ALGÉRIE360 (2020). « Intempéries à Jijel : le bilan de la Protection civile », 21 décembre 2020. https://www.algerie360.com/20201221-intemperies-a-jijel-le-bilan-de-la-protection-civile/ (consulté le 25 octobre 2026).</w:t>
      </w:r>
    </w:p>
    <w:p>
      <w:pPr>
        <w:spacing w:after="80"/>
        <w:ind w:left="283" w:hanging="283"/>
        <w:jc w:val="left"/>
      </w:pPr>
      <w:r>
        <w:rPr>
          <w:rFonts w:ascii="Times New Roman" w:hAnsi="Times New Roman" w:cs="Times New Roman" w:eastAsia="Times New Roman"/>
          <w:b w:val="0"/>
          <w:sz w:val="24"/>
        </w:rPr>
        <w:t>APS (2020). « Intempéries de Jijel : un rapport détaillé sur les dégâts pour prendre les mesures nécessaires ». https://www.aps.dz/regions/114745-intemperies-de-jijel-un-rapport-detaille-sur-les-degats-pour-prendre-les-mesures-necessaires (consulté le 25 octobre 2026).</w:t>
      </w:r>
    </w:p>
    <w:p>
      <w:pPr>
        <w:spacing w:after="80"/>
        <w:ind w:left="283" w:hanging="283"/>
        <w:jc w:val="left"/>
      </w:pPr>
      <w:r>
        <w:rPr>
          <w:rFonts w:ascii="Times New Roman" w:hAnsi="Times New Roman" w:cs="Times New Roman" w:eastAsia="Times New Roman"/>
          <w:b w:val="0"/>
          <w:sz w:val="24"/>
        </w:rPr>
        <w:t>ARCHNET (s. d.). « Pont Sidi M’Cid », Constantine, Algérie. https://www.archnet.org/sites/15978 (consulté le 25 octobre 2026).</w:t>
      </w:r>
    </w:p>
    <w:p>
      <w:pPr>
        <w:spacing w:after="80"/>
        <w:ind w:left="283" w:hanging="283"/>
        <w:jc w:val="left"/>
      </w:pPr>
      <w:r>
        <w:rPr>
          <w:rFonts w:ascii="Times New Roman" w:hAnsi="Times New Roman" w:cs="Times New Roman" w:eastAsia="Times New Roman"/>
          <w:b w:val="0"/>
          <w:sz w:val="24"/>
        </w:rPr>
        <w:t>ARJWECH, R., EVERETT, M.E., BRIAUD, J.-L., HURLEBAUS, S., MEDINA-CETINA, Z., TUCKER, S. et YOUSEFPOUR, N. (2013). « Electrical resistivity imaging of unknown bridge foundations ». Near Surface Geophysics, vol. 11, p. 591–598. DOI : https://doi.org/10.3997/1873-0604.2013023.</w:t>
      </w:r>
    </w:p>
    <w:p>
      <w:pPr>
        <w:spacing w:after="80"/>
        <w:ind w:left="283" w:hanging="283"/>
        <w:jc w:val="left"/>
      </w:pPr>
      <w:r>
        <w:rPr>
          <w:rFonts w:ascii="Times New Roman" w:hAnsi="Times New Roman" w:cs="Times New Roman" w:eastAsia="Times New Roman"/>
          <w:b w:val="0"/>
          <w:sz w:val="24"/>
        </w:rPr>
        <w:t>ASCE (s. d.). « Brooklyn Bridge », Historic Civil Engineering Landmarks. https://www.asce.org/about-civil-engineering/history-and-heritage/historic-landmarks/brooklyn-bridge (consulté le 25 octobre 2026).</w:t>
      </w:r>
    </w:p>
    <w:p>
      <w:pPr>
        <w:spacing w:after="80"/>
        <w:ind w:left="283" w:hanging="283"/>
        <w:jc w:val="left"/>
      </w:pPr>
      <w:r>
        <w:rPr>
          <w:rFonts w:ascii="Times New Roman" w:hAnsi="Times New Roman" w:cs="Times New Roman" w:eastAsia="Times New Roman"/>
          <w:b w:val="0"/>
          <w:sz w:val="24"/>
        </w:rPr>
        <w:t>ASTM INTERNATIONAL (2018). ASTM D1586/D1586M-18e1, Standard Test Method for Standard Penetration Test (SPT) and Split-Barrel Sampling of Soils. West Conshohocken : ASTM International. DOI : https://doi.org/10.1520/D1586_D1586M-18E01.</w:t>
      </w:r>
    </w:p>
    <w:p>
      <w:pPr>
        <w:spacing w:after="80"/>
        <w:ind w:left="283" w:hanging="283"/>
        <w:jc w:val="left"/>
      </w:pPr>
      <w:r>
        <w:rPr>
          <w:rFonts w:ascii="Times New Roman" w:hAnsi="Times New Roman" w:cs="Times New Roman" w:eastAsia="Times New Roman"/>
          <w:b w:val="0"/>
          <w:sz w:val="24"/>
        </w:rPr>
        <w:t>ASTM INTERNATIONAL (2020). ASTM D5778-20, Standard Test Method for Electronic Friction Cone and Piezocone Penetration Testing of Soils. West Conshohocken : ASTM International. DOI : https://doi.org/10.1520/D5778-20.</w:t>
      </w:r>
    </w:p>
    <w:p>
      <w:pPr>
        <w:spacing w:after="80"/>
        <w:ind w:left="283" w:hanging="283"/>
        <w:jc w:val="left"/>
      </w:pPr>
      <w:r>
        <w:rPr>
          <w:rFonts w:ascii="Times New Roman" w:hAnsi="Times New Roman" w:cs="Times New Roman" w:eastAsia="Times New Roman"/>
          <w:b w:val="0"/>
          <w:sz w:val="24"/>
        </w:rPr>
        <w:t>AZIZI, Y., MENANI, M.R., HEMILA, M.L. et BOUMEZBEUR, A. (2014). « Karst Sinkholes Stability Assessment in Cheria Area, NE Algeria ». Geotechnical and Geological Engineering, vol. 32, p. 363–374. DOI : https://doi.org/10.1007/s10706-013-9719-2.</w:t>
      </w:r>
    </w:p>
    <w:p>
      <w:pPr>
        <w:spacing w:after="80"/>
        <w:ind w:left="283" w:hanging="283"/>
        <w:jc w:val="left"/>
      </w:pPr>
      <w:r>
        <w:rPr>
          <w:rFonts w:ascii="Times New Roman" w:hAnsi="Times New Roman" w:cs="Times New Roman" w:eastAsia="Times New Roman"/>
          <w:b w:val="0"/>
          <w:sz w:val="24"/>
        </w:rPr>
        <w:t>BAALI, F., FEHDI, C., ROUABHIA, A., MOUICI, R. et CARLIER, E. (2015). « Hydrochemistry and isotopic exploration for a karstic aquifer in a semi-arid region: case of Cheria Plain, Eastern Algeria ». Carbonates and Evaporites, vol. 30, no 1, p. 99–107. DOI : https://doi.org/10.1007/s13146-014-0214-5.</w:t>
      </w:r>
    </w:p>
    <w:p>
      <w:pPr>
        <w:spacing w:after="80"/>
        <w:ind w:left="283" w:hanging="283"/>
        <w:jc w:val="left"/>
      </w:pPr>
      <w:r>
        <w:rPr>
          <w:rFonts w:ascii="Times New Roman" w:hAnsi="Times New Roman" w:cs="Times New Roman" w:eastAsia="Times New Roman"/>
          <w:b w:val="0"/>
          <w:sz w:val="24"/>
        </w:rPr>
        <w:t>BAGUELIN, F., JÉZÉQUEL, J.-F. et SHIELDS, D.H. (1978). The Pressuremeter and Foundation Engineering. Clausthal : Trans Tech Publications.</w:t>
      </w:r>
    </w:p>
    <w:p>
      <w:pPr>
        <w:spacing w:after="80"/>
        <w:ind w:left="283" w:hanging="283"/>
        <w:jc w:val="left"/>
      </w:pPr>
      <w:r>
        <w:rPr>
          <w:rFonts w:ascii="Times New Roman" w:hAnsi="Times New Roman" w:cs="Times New Roman" w:eastAsia="Times New Roman"/>
          <w:b w:val="0"/>
          <w:sz w:val="24"/>
        </w:rPr>
        <w:t>BIENIAWSKI, Z.T. (1989). Engineering Rock Mass Classifications: A Complete Manual for Engineers and Geologists in Mining, Civil, and Petroleum Engineering. New York : John Wiley &amp; Sons.</w:t>
      </w:r>
    </w:p>
    <w:p>
      <w:pPr>
        <w:spacing w:after="80"/>
        <w:ind w:left="283" w:hanging="283"/>
        <w:jc w:val="left"/>
      </w:pPr>
      <w:r>
        <w:rPr>
          <w:rFonts w:ascii="Times New Roman" w:hAnsi="Times New Roman" w:cs="Times New Roman" w:eastAsia="Times New Roman"/>
          <w:b w:val="0"/>
          <w:sz w:val="24"/>
        </w:rPr>
        <w:t>BRAHMI, S., FEHDI, C., HADJI, R., BRAHMI, S., HAMAD, A. et HAMED, Y. (2023). « Karst-Induced Sinkhole Detection Using a Tomography Imaging Survey, Case of Setifian High Plain, NE Algeria ». Geotechnical and Geological Engineering, vol. 41, p. 1961–1976. DOI : https://doi.org/10.1007/s10706-023-02384-x.</w:t>
      </w:r>
    </w:p>
    <w:p>
      <w:pPr>
        <w:spacing w:after="80"/>
        <w:ind w:left="283" w:hanging="283"/>
        <w:jc w:val="left"/>
      </w:pPr>
      <w:r>
        <w:rPr>
          <w:rFonts w:ascii="Times New Roman" w:hAnsi="Times New Roman" w:cs="Times New Roman" w:eastAsia="Times New Roman"/>
          <w:b w:val="0"/>
          <w:sz w:val="24"/>
        </w:rPr>
        <w:t>CARTER, J.P. et KULHAWY, F.H. (1988). Analysis and Design of Drilled Shaft Foundations Socketed into Rock. Rapport EL-5918. Palo Alto : Electric Power Research Institute.</w:t>
      </w:r>
    </w:p>
    <w:p>
      <w:pPr>
        <w:spacing w:after="80"/>
        <w:ind w:left="283" w:hanging="283"/>
        <w:jc w:val="left"/>
      </w:pPr>
      <w:r>
        <w:rPr>
          <w:rFonts w:ascii="Times New Roman" w:hAnsi="Times New Roman" w:cs="Times New Roman" w:eastAsia="Times New Roman"/>
          <w:b w:val="0"/>
          <w:sz w:val="24"/>
        </w:rPr>
        <w:t>CEN (2004). EN 1997-1:2004, Eurocode 7 — Calcul géotechnique — Partie 1 : règles générales. Bruxelles : Comité européen de normalisation.</w:t>
      </w:r>
    </w:p>
    <w:p>
      <w:pPr>
        <w:spacing w:after="80"/>
        <w:ind w:left="283" w:hanging="283"/>
        <w:jc w:val="left"/>
      </w:pPr>
      <w:r>
        <w:rPr>
          <w:rFonts w:ascii="Times New Roman" w:hAnsi="Times New Roman" w:cs="Times New Roman" w:eastAsia="Times New Roman"/>
          <w:b w:val="0"/>
          <w:sz w:val="24"/>
        </w:rPr>
        <w:t>CEN (2007). EN 1997-2:2007, Eurocode 7 — Calcul géotechnique — Partie 2 : reconnaissance des terrains et essais. Bruxelles : Comité européen de normalisation.</w:t>
      </w:r>
    </w:p>
    <w:p>
      <w:pPr>
        <w:spacing w:after="80"/>
        <w:ind w:left="283" w:hanging="283"/>
        <w:jc w:val="left"/>
      </w:pPr>
      <w:r>
        <w:rPr>
          <w:rFonts w:ascii="Times New Roman" w:hAnsi="Times New Roman" w:cs="Times New Roman" w:eastAsia="Times New Roman"/>
          <w:b w:val="0"/>
          <w:sz w:val="24"/>
        </w:rPr>
        <w:t>CEN (2021). EN 206:2013+A2:2021, Concrete — Specification, performance, production and conformity. Bruxelles : Comité européen de normalisation.</w:t>
      </w:r>
    </w:p>
    <w:p>
      <w:pPr>
        <w:spacing w:after="80"/>
        <w:ind w:left="283" w:hanging="283"/>
        <w:jc w:val="left"/>
      </w:pPr>
      <w:r>
        <w:rPr>
          <w:rFonts w:ascii="Times New Roman" w:hAnsi="Times New Roman" w:cs="Times New Roman" w:eastAsia="Times New Roman"/>
          <w:b w:val="0"/>
          <w:sz w:val="24"/>
        </w:rPr>
        <w:t>CEN (2026a). EN 206-1:2026, Concrete — Specification, performance, production and conformity — Part 1: Performance requirements, factory production control and assessment criteria for individual values. Bruxelles : Comité européen de normalisation.</w:t>
      </w:r>
    </w:p>
    <w:p>
      <w:pPr>
        <w:spacing w:after="80"/>
        <w:ind w:left="283" w:hanging="283"/>
        <w:jc w:val="left"/>
      </w:pPr>
      <w:r>
        <w:rPr>
          <w:rFonts w:ascii="Times New Roman" w:hAnsi="Times New Roman" w:cs="Times New Roman" w:eastAsia="Times New Roman"/>
          <w:b w:val="0"/>
          <w:sz w:val="24"/>
        </w:rPr>
        <w:t>CEN (2026b). EN 206-2:2026, Concrete — Specification, performance, production and conformity — Part 2: Conformity assessment and certification. Bruxelles : Comité européen de normalisation.</w:t>
      </w:r>
    </w:p>
    <w:p>
      <w:pPr>
        <w:spacing w:after="80"/>
        <w:ind w:left="283" w:hanging="283"/>
        <w:jc w:val="left"/>
      </w:pPr>
      <w:r>
        <w:rPr>
          <w:rFonts w:ascii="Times New Roman" w:hAnsi="Times New Roman" w:cs="Times New Roman" w:eastAsia="Times New Roman"/>
          <w:b w:val="0"/>
          <w:sz w:val="24"/>
        </w:rPr>
        <w:t>CHEN, W.-F. et DUAN, L. (dir.) (2014). Bridge Engineering Handbook — Substructure Design. 2e éd. Boca Raton : CRC Press.</w:t>
      </w:r>
    </w:p>
    <w:p>
      <w:pPr>
        <w:spacing w:after="80"/>
        <w:ind w:left="283" w:hanging="283"/>
        <w:jc w:val="left"/>
      </w:pPr>
      <w:r>
        <w:rPr>
          <w:rFonts w:ascii="Times New Roman" w:hAnsi="Times New Roman" w:cs="Times New Roman" w:eastAsia="Times New Roman"/>
          <w:b w:val="0"/>
          <w:sz w:val="24"/>
        </w:rPr>
        <w:t>CORTÉS PÉREZ, J.P., DE SANJOSÉ BLASCO, J.J., ATKINSON, A.D.J. et DEL RÍO PÉREZ, L.M. (2018). « Assessment of the Structural Integrity of the Roman Bridge of Alcántara (Spain) Using TLS and GPR ». Remote Sensing, vol. 10, no 3, article 387. DOI : https://doi.org/10.3390/rs10030387.</w:t>
      </w:r>
    </w:p>
    <w:p>
      <w:pPr>
        <w:spacing w:after="80"/>
        <w:ind w:left="283" w:hanging="283"/>
        <w:jc w:val="left"/>
      </w:pPr>
      <w:r>
        <w:rPr>
          <w:rFonts w:ascii="Times New Roman" w:hAnsi="Times New Roman" w:cs="Times New Roman" w:eastAsia="Times New Roman"/>
          <w:b w:val="0"/>
          <w:sz w:val="24"/>
        </w:rPr>
        <w:t>DUNCAN, J.M. et WRIGHT, S.G. (2005). Soil Strength and Slope Stability. Hoboken : John Wiley &amp; Sons.</w:t>
      </w:r>
    </w:p>
    <w:p>
      <w:pPr>
        <w:spacing w:after="80"/>
        <w:ind w:left="283" w:hanging="283"/>
        <w:jc w:val="left"/>
      </w:pPr>
      <w:r>
        <w:rPr>
          <w:rFonts w:ascii="Times New Roman" w:hAnsi="Times New Roman" w:cs="Times New Roman" w:eastAsia="Times New Roman"/>
          <w:b w:val="0"/>
          <w:sz w:val="24"/>
        </w:rPr>
        <w:t>ENGLISH HERITAGE (s. d.). « History of Iron Bridge ». https://www.english-heritage.org.uk/visit/places/iron-bridge/history/ (consulté le 25 octobre 2026).</w:t>
      </w:r>
    </w:p>
    <w:p>
      <w:pPr>
        <w:spacing w:after="80"/>
        <w:ind w:left="283" w:hanging="283"/>
        <w:jc w:val="left"/>
      </w:pPr>
      <w:r>
        <w:rPr>
          <w:rFonts w:ascii="Times New Roman" w:hAnsi="Times New Roman" w:cs="Times New Roman" w:eastAsia="Times New Roman"/>
          <w:b w:val="0"/>
          <w:sz w:val="24"/>
        </w:rPr>
        <w:t>FHWA (2006a). Soils and Foundations — Reference Manual, Volume I. Publication FHWA-NHI-06-088, décembre 2006. Washington : Federal Highway Administration, National Highway Institute.</w:t>
      </w:r>
    </w:p>
    <w:p>
      <w:pPr>
        <w:spacing w:after="80"/>
        <w:ind w:left="283" w:hanging="283"/>
        <w:jc w:val="left"/>
      </w:pPr>
      <w:r>
        <w:rPr>
          <w:rFonts w:ascii="Times New Roman" w:hAnsi="Times New Roman" w:cs="Times New Roman" w:eastAsia="Times New Roman"/>
          <w:b w:val="0"/>
          <w:sz w:val="24"/>
        </w:rPr>
        <w:t>FHWA (2006b). Soils and Foundations — Reference Manual, Volume II. Publication FHWA-NHI-06-089, décembre 2006. Washington : Federal Highway Administration, National Highway Institute.</w:t>
      </w:r>
    </w:p>
    <w:p>
      <w:pPr>
        <w:spacing w:after="80"/>
        <w:ind w:left="283" w:hanging="283"/>
        <w:jc w:val="left"/>
      </w:pPr>
      <w:r>
        <w:rPr>
          <w:rFonts w:ascii="Times New Roman" w:hAnsi="Times New Roman" w:cs="Times New Roman" w:eastAsia="Times New Roman"/>
          <w:b w:val="0"/>
          <w:sz w:val="24"/>
        </w:rPr>
        <w:t>FHWA (2009a). Bridge Scour and Stream Instability Countermeasures — Experience, Selection, and Design Guidance. 3e éd., HEC-23, volume 1, publication FHWA-NHI-09-111, septembre 2009. Washington : Federal Highway Administration.</w:t>
      </w:r>
    </w:p>
    <w:p>
      <w:pPr>
        <w:spacing w:after="80"/>
        <w:ind w:left="283" w:hanging="283"/>
        <w:jc w:val="left"/>
      </w:pPr>
      <w:r>
        <w:rPr>
          <w:rFonts w:ascii="Times New Roman" w:hAnsi="Times New Roman" w:cs="Times New Roman" w:eastAsia="Times New Roman"/>
          <w:b w:val="0"/>
          <w:sz w:val="24"/>
        </w:rPr>
        <w:t>FHWA (2009b). Bridge Scour and Stream Instability Countermeasures — Experience, Selection, and Design Guidance. 3e éd., HEC-23, volume 2, publication FHWA-NHI-09-112, septembre 2009. Washington : Federal Highway Administration.</w:t>
      </w:r>
    </w:p>
    <w:p>
      <w:pPr>
        <w:spacing w:after="80"/>
        <w:ind w:left="283" w:hanging="283"/>
        <w:jc w:val="left"/>
      </w:pPr>
      <w:r>
        <w:rPr>
          <w:rFonts w:ascii="Times New Roman" w:hAnsi="Times New Roman" w:cs="Times New Roman" w:eastAsia="Times New Roman"/>
          <w:b w:val="0"/>
          <w:sz w:val="24"/>
        </w:rPr>
        <w:t>FHWA (2012a). Evaluating Scour at Bridges. 5e éd., HEC-18, publication FHWA-HIF-12-003, avril 2012. Washington : Federal Highway Administration.</w:t>
      </w:r>
    </w:p>
    <w:p>
      <w:pPr>
        <w:spacing w:after="80"/>
        <w:ind w:left="283" w:hanging="283"/>
        <w:jc w:val="left"/>
      </w:pPr>
      <w:r>
        <w:rPr>
          <w:rFonts w:ascii="Times New Roman" w:hAnsi="Times New Roman" w:cs="Times New Roman" w:eastAsia="Times New Roman"/>
          <w:b w:val="0"/>
          <w:sz w:val="24"/>
        </w:rPr>
        <w:t>FHWA (2012b). Stream Stability at Highway Structures. 4e éd., HEC-20, publication FHWA-HIF-12-004, avril 2012. Washington : Federal Highway Administration.</w:t>
      </w:r>
    </w:p>
    <w:p>
      <w:pPr>
        <w:spacing w:after="80"/>
        <w:ind w:left="283" w:hanging="283"/>
        <w:jc w:val="left"/>
      </w:pPr>
      <w:r>
        <w:rPr>
          <w:rFonts w:ascii="Times New Roman" w:hAnsi="Times New Roman" w:cs="Times New Roman" w:eastAsia="Times New Roman"/>
          <w:b w:val="0"/>
          <w:sz w:val="24"/>
        </w:rPr>
        <w:t>FHWA (2016a). Geotechnical Site Characterization. Geotechnical Engineering Circular no 5, publication FHWA-NHI-16-072. Date de la fiche technique : novembre 2016 ; couverture du fichier consulté : avril 2017. Washington : Federal Highway Administration.</w:t>
      </w:r>
    </w:p>
    <w:p>
      <w:pPr>
        <w:spacing w:after="80"/>
        <w:ind w:left="283" w:hanging="283"/>
        <w:jc w:val="left"/>
      </w:pPr>
      <w:r>
        <w:rPr>
          <w:rFonts w:ascii="Times New Roman" w:hAnsi="Times New Roman" w:cs="Times New Roman" w:eastAsia="Times New Roman"/>
          <w:b w:val="0"/>
          <w:sz w:val="24"/>
        </w:rPr>
        <w:t>FHWA (2016b). Design and Construction of Driven Pile Foundations — Volume I. Geotechnical Engineering Circular no 12, publication FHWA-NHI-16-009, juillet 2016. Washington : Federal Highway Administration.</w:t>
      </w:r>
    </w:p>
    <w:p>
      <w:pPr>
        <w:spacing w:after="80"/>
        <w:ind w:left="283" w:hanging="283"/>
        <w:jc w:val="left"/>
      </w:pPr>
      <w:r>
        <w:rPr>
          <w:rFonts w:ascii="Times New Roman" w:hAnsi="Times New Roman" w:cs="Times New Roman" w:eastAsia="Times New Roman"/>
          <w:b w:val="0"/>
          <w:sz w:val="24"/>
        </w:rPr>
        <w:t>FHWA (2016c). Design and Construction of Driven Pile Foundations — Volume II. Geotechnical Engineering Circular no 12, publication FHWA-NHI-16-010 selon la fiche technique, juillet 2016. Washington : Federal Highway Administration.</w:t>
      </w:r>
    </w:p>
    <w:p>
      <w:pPr>
        <w:spacing w:after="80"/>
        <w:ind w:left="283" w:hanging="283"/>
        <w:jc w:val="left"/>
      </w:pPr>
      <w:r>
        <w:rPr>
          <w:rFonts w:ascii="Times New Roman" w:hAnsi="Times New Roman" w:cs="Times New Roman" w:eastAsia="Times New Roman"/>
          <w:b w:val="0"/>
          <w:sz w:val="24"/>
        </w:rPr>
        <w:t>FHWA (2024). Highway Hydrology. 3e éd., Hydraulic Design Series no 2, publication FHWA-HIF-24-007, mars 2024. Washington : Federal Highway Administration.</w:t>
      </w:r>
    </w:p>
    <w:p>
      <w:pPr>
        <w:spacing w:after="80"/>
        <w:ind w:left="283" w:hanging="283"/>
        <w:jc w:val="left"/>
      </w:pPr>
      <w:r>
        <w:rPr>
          <w:rFonts w:ascii="Times New Roman" w:hAnsi="Times New Roman" w:cs="Times New Roman" w:eastAsia="Times New Roman"/>
          <w:b w:val="0"/>
          <w:sz w:val="24"/>
        </w:rPr>
        <w:t>FORDE, M.C., McCANN, D.M., CLARK, M.R., BROUGHTON, K.J., FENNING, P.J. et BROWN, A. (1999). « Radar measurement of bridge scour ». NDT&amp;E International, vol. 32, p. 481–492. DOI : https://doi.org/10.1016/S0963-8695(99)00026-2.</w:t>
      </w:r>
    </w:p>
    <w:p>
      <w:pPr>
        <w:spacing w:after="80"/>
        <w:ind w:left="283" w:hanging="283"/>
        <w:jc w:val="left"/>
      </w:pPr>
      <w:r>
        <w:rPr>
          <w:rFonts w:ascii="Times New Roman" w:hAnsi="Times New Roman" w:cs="Times New Roman" w:eastAsia="Times New Roman"/>
          <w:b w:val="0"/>
          <w:sz w:val="24"/>
        </w:rPr>
        <w:t>IDRISS, I.M. et BOULANGER, R.W. (2008). Soil Liquefaction During Earthquakes. Monograph MNO-12. Oakland : Earthquake Engineering Research Institute.</w:t>
      </w:r>
    </w:p>
    <w:p>
      <w:pPr>
        <w:spacing w:after="80"/>
        <w:ind w:left="283" w:hanging="283"/>
        <w:jc w:val="left"/>
      </w:pPr>
      <w:r>
        <w:rPr>
          <w:rFonts w:ascii="Times New Roman" w:hAnsi="Times New Roman" w:cs="Times New Roman" w:eastAsia="Times New Roman"/>
          <w:b w:val="0"/>
          <w:sz w:val="24"/>
        </w:rPr>
        <w:t>LE SOIR D’ALGÉRIE (2018). « Effondrement d’un pont reliant Oued El Alleug à Mouzaïa ». https://www.lesoirdalgerie.com/regions/effondrement-dun-pont-reliant-oued-el-alleug-a-mouzaia-3587 (consulté le 25 octobre 2026).</w:t>
      </w:r>
    </w:p>
    <w:p>
      <w:pPr>
        <w:spacing w:after="80"/>
        <w:ind w:left="283" w:hanging="283"/>
        <w:jc w:val="left"/>
      </w:pPr>
      <w:r>
        <w:rPr>
          <w:rFonts w:ascii="Times New Roman" w:hAnsi="Times New Roman" w:cs="Times New Roman" w:eastAsia="Times New Roman"/>
          <w:b w:val="0"/>
          <w:sz w:val="24"/>
        </w:rPr>
        <w:t>LNR (2020). « Effondrement partiel du pont de l’Oued El Kantara », 21 décembre 2020. https://www.lnr-dz.com/2020/12/21/effondrement-partiel-du-pont-de-loued-el-kantara/ (consulté le 25 octobre 2026).</w:t>
      </w:r>
    </w:p>
    <w:p>
      <w:pPr>
        <w:spacing w:after="80"/>
        <w:ind w:left="283" w:hanging="283"/>
        <w:jc w:val="left"/>
      </w:pPr>
      <w:r>
        <w:rPr>
          <w:rFonts w:ascii="Times New Roman" w:hAnsi="Times New Roman" w:cs="Times New Roman" w:eastAsia="Times New Roman"/>
          <w:b w:val="0"/>
          <w:sz w:val="24"/>
        </w:rPr>
        <w:t>LUNNE, T., ROBERTSON, P.K. et POWELL, J.J.M. (1997). Cone Penetration Testing in Geotechnical Practice. Londres : Blackie Academic &amp; Professional.</w:t>
      </w:r>
    </w:p>
    <w:p>
      <w:pPr>
        <w:spacing w:after="80"/>
        <w:ind w:left="283" w:hanging="283"/>
        <w:jc w:val="left"/>
      </w:pPr>
      <w:r>
        <w:rPr>
          <w:rFonts w:ascii="Times New Roman" w:hAnsi="Times New Roman" w:cs="Times New Roman" w:eastAsia="Times New Roman"/>
          <w:b w:val="0"/>
          <w:sz w:val="24"/>
        </w:rPr>
        <w:t>MARCHETTI, S., MONACO, P., TOTANI, G. et CALABRESE, M. (2001). The Flat Dilatometer Test (DMT) in Soil Investigations — A Report by the ISSMGE Committee TC16. Conférence internationale sur la mesure in situ des propriétés des sols, Bali.</w:t>
      </w:r>
    </w:p>
    <w:p>
      <w:pPr>
        <w:spacing w:after="80"/>
        <w:ind w:left="283" w:hanging="283"/>
        <w:jc w:val="left"/>
      </w:pPr>
      <w:r>
        <w:rPr>
          <w:rFonts w:ascii="Times New Roman" w:hAnsi="Times New Roman" w:cs="Times New Roman" w:eastAsia="Times New Roman"/>
          <w:b w:val="0"/>
          <w:sz w:val="24"/>
        </w:rPr>
        <w:t>MÉNARD, L. (1957). « Mesures in situ des propriétés physiques des sols ». Annales des Ponts et Chaussées, no 3, p. 357–377.</w:t>
      </w:r>
    </w:p>
    <w:p>
      <w:pPr>
        <w:spacing w:after="80"/>
        <w:ind w:left="283" w:hanging="283"/>
        <w:jc w:val="left"/>
      </w:pPr>
      <w:r>
        <w:rPr>
          <w:rFonts w:ascii="Times New Roman" w:hAnsi="Times New Roman" w:cs="Times New Roman" w:eastAsia="Times New Roman"/>
          <w:b w:val="0"/>
          <w:sz w:val="24"/>
        </w:rPr>
        <w:t>MHUV (2024a). Arrêté du 18 Dhou El Hidja 1445 correspondant au 24 juin 2024 portant approbation du document technique réglementaire DTR-BC 2.48 relatif aux « règles parasismiques algériennes RPA 2024 ». Journal officiel de la République algérienne démocratique et populaire, no 62, 8 septembre 2024, p. 8.</w:t>
      </w:r>
    </w:p>
    <w:p>
      <w:pPr>
        <w:spacing w:after="80"/>
        <w:ind w:left="283" w:hanging="283"/>
        <w:jc w:val="left"/>
      </w:pPr>
      <w:r>
        <w:rPr>
          <w:rFonts w:ascii="Times New Roman" w:hAnsi="Times New Roman" w:cs="Times New Roman" w:eastAsia="Times New Roman"/>
          <w:b w:val="0"/>
          <w:sz w:val="24"/>
        </w:rPr>
        <w:t>MHUV (2024b). Arrêté du 18 Dhou El Hidja 1445 correspondant au 24 juin 2024 portant approbation du document technique réglementaire DTR-BC 2.33 relatif aux « règles de conception et calcul des fondations et des soutènements ». Journal officiel de la République algérienne démocratique et populaire, no 62, 8 septembre 2024, p. 8.</w:t>
      </w:r>
    </w:p>
    <w:p>
      <w:pPr>
        <w:spacing w:after="80"/>
        <w:ind w:left="283" w:hanging="283"/>
        <w:jc w:val="left"/>
      </w:pPr>
      <w:r>
        <w:rPr>
          <w:rFonts w:ascii="Times New Roman" w:hAnsi="Times New Roman" w:cs="Times New Roman" w:eastAsia="Times New Roman"/>
          <w:b w:val="0"/>
          <w:sz w:val="24"/>
        </w:rPr>
        <w:t>MOUICI, R., BAALI, F., HADJI, R., BOUBAYA, D., AUDRA, P., FEHDI, C.-É., CAILHOL, D., JAILLET, S. et ARFIB, B. (2017). « Geophysical, geotechnical, and speleologic assessment for karst-sinkhole collapse genesis in Cheria plateau (NE Algeria) ». Mining Science, vol. 24, p. 59–71. DOI : https://doi.org/10.5277/msc172403.</w:t>
      </w:r>
    </w:p>
    <w:p>
      <w:pPr>
        <w:spacing w:after="80"/>
        <w:ind w:left="283" w:hanging="283"/>
        <w:jc w:val="left"/>
      </w:pPr>
      <w:r>
        <w:rPr>
          <w:rFonts w:ascii="Times New Roman" w:hAnsi="Times New Roman" w:cs="Times New Roman" w:eastAsia="Times New Roman"/>
          <w:b w:val="0"/>
          <w:sz w:val="24"/>
        </w:rPr>
        <w:t>MOULTON, L.K., GANGARAO, H.V.S. et HALVORSON, G.T. (1985). Tolerable Movement Criteria for Highway Bridges. Rapport FHWA/RD-85/107, octobre 1985. McLean : Federal Highway Administration, Turner-Fairbank Highway Research Center.</w:t>
      </w:r>
    </w:p>
    <w:p>
      <w:pPr>
        <w:spacing w:after="80"/>
        <w:ind w:left="283" w:hanging="283"/>
        <w:jc w:val="left"/>
      </w:pPr>
      <w:r>
        <w:rPr>
          <w:rFonts w:ascii="Times New Roman" w:hAnsi="Times New Roman" w:cs="Times New Roman" w:eastAsia="Times New Roman"/>
          <w:b w:val="0"/>
          <w:sz w:val="24"/>
        </w:rPr>
        <w:t>NTSB (1988). Collapse of New York Thruway (I-90) Bridge over the Schoharie Creek, near Amsterdam, New York, April 5, 1987. Highway Accident Report NTSB/HAR-88/02. Washington : National Transportation Safety Board. Notice : https://www.ntsb.gov/investigations/Pages/DCA87MH005.aspx (consultée le 25 octobre 2026).</w:t>
      </w:r>
    </w:p>
    <w:p>
      <w:pPr>
        <w:spacing w:after="80"/>
        <w:ind w:left="283" w:hanging="283"/>
        <w:jc w:val="left"/>
      </w:pPr>
      <w:r>
        <w:rPr>
          <w:rFonts w:ascii="Times New Roman" w:hAnsi="Times New Roman" w:cs="Times New Roman" w:eastAsia="Times New Roman"/>
          <w:b w:val="0"/>
          <w:sz w:val="24"/>
        </w:rPr>
        <w:t>PECK, R.B. (1969). « Advantages and limitations of the observational method in applied soil mechanics ». Géotechnique, vol. 19, no 2, p. 171–187. DOI : https://doi.org/10.1680/geot.1969.19.2.171.</w:t>
      </w:r>
    </w:p>
    <w:p>
      <w:pPr>
        <w:spacing w:after="80"/>
        <w:ind w:left="283" w:hanging="283"/>
        <w:jc w:val="left"/>
      </w:pPr>
      <w:r>
        <w:rPr>
          <w:rFonts w:ascii="Times New Roman" w:hAnsi="Times New Roman" w:cs="Times New Roman" w:eastAsia="Times New Roman"/>
          <w:b w:val="0"/>
          <w:sz w:val="24"/>
        </w:rPr>
        <w:t>PHOON, K.K. et KULHAWY, F.H. (1999a). « Characterization of geotechnical variability ». Canadian Geotechnical Journal, vol. 36, no 4, p. 612–624. DOI : https://doi.org/10.1139/t99-038.</w:t>
      </w:r>
    </w:p>
    <w:p>
      <w:pPr>
        <w:spacing w:after="80"/>
        <w:ind w:left="283" w:hanging="283"/>
        <w:jc w:val="left"/>
      </w:pPr>
      <w:r>
        <w:rPr>
          <w:rFonts w:ascii="Times New Roman" w:hAnsi="Times New Roman" w:cs="Times New Roman" w:eastAsia="Times New Roman"/>
          <w:b w:val="0"/>
          <w:sz w:val="24"/>
        </w:rPr>
        <w:t>PHOON, K.K. et KULHAWY, F.H. (1999b). « Evaluation of geotechnical property variability ». Canadian Geotechnical Journal, vol. 36, no 4, p. 625–639. DOI : https://doi.org/10.1139/t99-039.</w:t>
      </w:r>
    </w:p>
    <w:p>
      <w:pPr>
        <w:spacing w:after="80"/>
        <w:ind w:left="283" w:hanging="283"/>
        <w:jc w:val="left"/>
      </w:pPr>
      <w:r>
        <w:rPr>
          <w:rFonts w:ascii="Times New Roman" w:hAnsi="Times New Roman" w:cs="Times New Roman" w:eastAsia="Times New Roman"/>
          <w:b w:val="0"/>
          <w:sz w:val="24"/>
        </w:rPr>
        <w:t>POULOS, H.G. et DAVIS, E.H. (1980). Pile Foundation Analysis and Design. New York : John Wiley &amp; Sons.</w:t>
      </w:r>
    </w:p>
    <w:p>
      <w:pPr>
        <w:spacing w:after="80"/>
        <w:ind w:left="283" w:hanging="283"/>
        <w:jc w:val="left"/>
      </w:pPr>
      <w:r>
        <w:rPr>
          <w:rFonts w:ascii="Times New Roman" w:hAnsi="Times New Roman" w:cs="Times New Roman" w:eastAsia="Times New Roman"/>
          <w:b w:val="0"/>
          <w:sz w:val="24"/>
        </w:rPr>
        <w:t>ROBERTSON, P.K. (2009). « Interpretation of cone penetration tests — a unified approach ». Canadian Geotechnical Journal, vol. 46, no 11, p. 1337–1355. DOI : https://doi.org/10.1139/T09-065.</w:t>
      </w:r>
    </w:p>
    <w:p>
      <w:pPr>
        <w:spacing w:after="80"/>
        <w:ind w:left="283" w:hanging="283"/>
        <w:jc w:val="left"/>
      </w:pPr>
      <w:r>
        <w:rPr>
          <w:rFonts w:ascii="Times New Roman" w:hAnsi="Times New Roman" w:cs="Times New Roman" w:eastAsia="Times New Roman"/>
          <w:b w:val="0"/>
          <w:sz w:val="24"/>
        </w:rPr>
        <w:t>ROBERTSON, P.K. et WRIDE, C.E. (1998). « Evaluating cyclic liquefaction potential using the cone penetration test ». Canadian Geotechnical Journal, vol. 35, no 3, p. 442–459. DOI : https://doi.org/10.1139/t98-017.</w:t>
      </w:r>
    </w:p>
    <w:p>
      <w:pPr>
        <w:spacing w:after="80"/>
        <w:ind w:left="283" w:hanging="283"/>
        <w:jc w:val="left"/>
      </w:pPr>
      <w:r>
        <w:rPr>
          <w:rFonts w:ascii="Times New Roman" w:hAnsi="Times New Roman" w:cs="Times New Roman" w:eastAsia="Times New Roman"/>
          <w:b w:val="0"/>
          <w:sz w:val="24"/>
        </w:rPr>
        <w:t>SCHLOSSER, F., SERVANT, C., GUILLOUX, A. et BERGERE, A. (2013). « Millau viaduct geotechnical studies and foundations ». Journal of Rock Mechanics and Geotechnical Engineering, vol. 5, no 3, p. 243–247. DOI : https://doi.org/10.1016/j.jrmge.2013.05.002.</w:t>
      </w:r>
    </w:p>
    <w:p>
      <w:pPr>
        <w:spacing w:after="80"/>
        <w:ind w:left="283" w:hanging="283"/>
        <w:jc w:val="left"/>
      </w:pPr>
      <w:r>
        <w:rPr>
          <w:rFonts w:ascii="Times New Roman" w:hAnsi="Times New Roman" w:cs="Times New Roman" w:eastAsia="Times New Roman"/>
          <w:b w:val="0"/>
          <w:sz w:val="24"/>
        </w:rPr>
        <w:t>SCHMERTMANN, J.H. (1970). « Static cone to compute static settlement over sand ». Journal of the Soil Mechanics and Foundations Division, ASCE, vol. 96, no SM3, p. 1011–1043.</w:t>
      </w:r>
    </w:p>
    <w:p>
      <w:pPr>
        <w:spacing w:after="80"/>
        <w:ind w:left="283" w:hanging="283"/>
        <w:jc w:val="left"/>
      </w:pPr>
      <w:r>
        <w:rPr>
          <w:rFonts w:ascii="Times New Roman" w:hAnsi="Times New Roman" w:cs="Times New Roman" w:eastAsia="Times New Roman"/>
          <w:b w:val="0"/>
          <w:sz w:val="24"/>
        </w:rPr>
        <w:t>SEED, H.B. et IDRISS, I.M. (1971). « Simplified procedure for evaluating soil liquefaction potential ». Journal of the Soil Mechanics and Foundations Division, ASCE, vol. 97, no SM9, p. 1249–1273.</w:t>
      </w:r>
    </w:p>
    <w:p>
      <w:pPr>
        <w:spacing w:after="80"/>
        <w:ind w:left="283" w:hanging="283"/>
        <w:jc w:val="left"/>
      </w:pPr>
      <w:r>
        <w:rPr>
          <w:rFonts w:ascii="Times New Roman" w:hAnsi="Times New Roman" w:cs="Times New Roman" w:eastAsia="Times New Roman"/>
          <w:b w:val="0"/>
          <w:sz w:val="24"/>
        </w:rPr>
        <w:t>SKEMPTON, A.W. (1986). « Standard penetration test procedures and the effects in sands of overburden pressure, relative density, particle size, ageing and overconsolidation ». Géotechnique, vol. 36, no 3, p. 425–447. DOI : https://doi.org/10.1680/geot.1986.36.3.425.</w:t>
      </w:r>
    </w:p>
    <w:p>
      <w:pPr>
        <w:spacing w:after="80"/>
        <w:ind w:left="283" w:hanging="283"/>
        <w:jc w:val="left"/>
      </w:pPr>
      <w:r>
        <w:rPr>
          <w:rFonts w:ascii="Times New Roman" w:hAnsi="Times New Roman" w:cs="Times New Roman" w:eastAsia="Times New Roman"/>
          <w:b w:val="0"/>
          <w:sz w:val="24"/>
        </w:rPr>
        <w:t>TOMLINSON, M.J. (2001). Foundation Design and Construction. 7e éd. Harlow : Pearson Education.</w:t>
      </w:r>
    </w:p>
    <w:p>
      <w:pPr>
        <w:spacing w:after="80"/>
        <w:ind w:left="283" w:hanging="283"/>
        <w:jc w:val="left"/>
      </w:pPr>
      <w:r>
        <w:rPr>
          <w:rFonts w:ascii="Times New Roman" w:hAnsi="Times New Roman" w:cs="Times New Roman" w:eastAsia="Times New Roman"/>
          <w:b w:val="0"/>
          <w:sz w:val="24"/>
        </w:rPr>
        <w:t>TSA (2018). « L’effondrement d’un pont à Blida : une négligence coûteuse ». https://www.tsa-algerie.com/leffondrement-dun-pont-a-blida-une-negligence-couteuse/ (consulté le 25 octobre 2026).</w:t>
      </w:r>
    </w:p>
    <w:p>
      <w:pPr>
        <w:spacing w:after="80"/>
        <w:ind w:left="283" w:hanging="283"/>
        <w:jc w:val="left"/>
      </w:pPr>
      <w:r>
        <w:rPr>
          <w:rFonts w:ascii="Times New Roman" w:hAnsi="Times New Roman" w:cs="Times New Roman" w:eastAsia="Times New Roman"/>
          <w:b w:val="0"/>
          <w:sz w:val="24"/>
        </w:rPr>
        <w:t>VESIĆ, A.S. (1975). « Bearing Capacity of Shallow Foundations ». In : WINTERKORN, H.F. et FANG, H.-Y. (dir.), Foundation Engineering Handbook, p. 121–147. New York : Van Nostrand Reinhold.</w:t>
      </w:r>
    </w:p>
    <w:p>
      <w:pPr>
        <w:spacing w:after="80"/>
        <w:ind w:left="283" w:hanging="283"/>
        <w:jc w:val="left"/>
      </w:pPr>
      <w:r>
        <w:rPr>
          <w:rFonts w:ascii="Times New Roman" w:hAnsi="Times New Roman" w:cs="Times New Roman" w:eastAsia="Times New Roman"/>
          <w:b w:val="0"/>
          <w:sz w:val="24"/>
        </w:rPr>
        <w:t>WALTHAM, T., BELL, F.G. et CULSHAW, M. (2005). Sinkholes and Subsidence: Karst and Cavernous Rocks in Engineering and Construction. Berlin : Springer.</w:t>
      </w:r>
    </w:p>
    <w:p>
      <w:pPr>
        <w:spacing w:after="80"/>
        <w:ind w:left="283" w:hanging="283"/>
        <w:jc w:val="left"/>
      </w:pPr>
      <w:r>
        <w:rPr>
          <w:rFonts w:ascii="Times New Roman" w:hAnsi="Times New Roman" w:cs="Times New Roman" w:eastAsia="Times New Roman"/>
          <w:b w:val="0"/>
          <w:sz w:val="24"/>
        </w:rPr>
        <w:t>WROTH, C.P. (1984). « The interpretation of in situ soil tests ». Géotechnique, vol. 34, no 4, p. 449–489. DOI : https://doi.org/10.1680/geot.1984.34.4.449.</w:t>
      </w:r>
    </w:p>
    <w:p>
      <w:pPr>
        <w:spacing w:after="80"/>
        <w:ind w:left="283" w:hanging="283"/>
        <w:jc w:val="left"/>
      </w:pPr>
      <w:r>
        <w:rPr>
          <w:rFonts w:ascii="Times New Roman" w:hAnsi="Times New Roman" w:cs="Times New Roman" w:eastAsia="Times New Roman"/>
          <w:b w:val="0"/>
          <w:sz w:val="24"/>
        </w:rPr>
        <w:t>WSDOT (s. d.). « Tacoma Narrows Bridge history — Lessons from failure ». https://wsdot.wa.gov/tnbhistory/bridges-failure.htm (consulté le 25 octobre 2026).</w:t>
      </w:r>
    </w:p>
    <w:p>
      <w:pPr>
        <w:spacing w:after="80"/>
        <w:ind w:left="283" w:hanging="283"/>
        <w:jc w:val="left"/>
      </w:pPr>
      <w:r>
        <w:rPr>
          <w:rFonts w:ascii="Times New Roman" w:hAnsi="Times New Roman" w:cs="Times New Roman" w:eastAsia="Times New Roman"/>
          <w:b w:val="0"/>
          <w:sz w:val="24"/>
        </w:rPr>
        <w:t>XERCAVINS, P., DEMARTHE, D. et SHUSHKEWICH, K. (2008). « Eugene Freyssinet — The Origins of Prestressed Concrete ». 2008 National Bridge Conference, Precast/Prestressed Concrete Institute. https://www.pci.org/Common/Uploaded%20files/PCI/Papers/2008/Eugene-Freyssinet%e2%80%93the-Origins-of-Prestressed-Concrete.pdf (consulté le 25 octobre 2026).</w:t>
      </w:r>
    </w:p>
    <w:p>
      <w:pPr>
        <w:spacing w:after="80"/>
        <w:ind w:left="283" w:hanging="283"/>
        <w:jc w:val="left"/>
      </w:pPr>
      <w:r>
        <w:rPr>
          <w:rFonts w:ascii="Times New Roman" w:hAnsi="Times New Roman" w:cs="Times New Roman" w:eastAsia="Times New Roman"/>
          <w:b w:val="0"/>
          <w:sz w:val="24"/>
        </w:rPr>
        <w:t>YOUD, T.L., IDRISS, I.M., ANDRUS, R.D., ARANGO, I., CASTRO, G., CHRISTIAN, J.T., et al. (2001). « Liquefaction Resistance of Soils: Summary Report from the 1996 NCEER and 1998 NCEER/NSF Workshops on Evaluation of Liquefaction Resistance of Soils ». Journal of Geotechnical and Geoenvironmental Engineering, vol. 127, no 10, p. 817–833. DOI : https://doi.org/10.1061/(ASCE)1090-0241(2001)127:10(817).</w:t>
      </w:r>
    </w:p>
    <w:p>
      <w:pPr>
        <w:sectPr>
          <w:headerReference w:type="default" r:id="rId108"/>
          <w:footerReference w:type="default" r:id="rId109"/>
          <w:headerReference w:type="first" r:id="rId110"/>
          <w:footerReference w:type="first" r:id="rId111"/>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ANNEXE A — AIDE-MÉMOIRE POUR UN PROJET DE PONT</w:t>
      </w:r>
    </w:p>
    <w:p>
      <w:pPr>
        <w:pStyle w:val="Heading2"/>
      </w:pPr>
      <w:r>
        <w:rPr>
          <w:rFonts w:ascii="Times New Roman" w:hAnsi="Times New Roman" w:cs="Times New Roman" w:eastAsia="Times New Roman"/>
          <w:b/>
          <w:color w:val="1F4E79"/>
          <w:sz w:val="24"/>
        </w:rPr>
        <w:t>A.1 Objet et mode d’emploi</w:t>
      </w:r>
    </w:p>
    <w:p>
      <w:pPr>
        <w:jc w:val="both"/>
      </w:pPr>
      <w:r>
        <w:rPr>
          <w:rFonts w:ascii="Times New Roman" w:hAnsi="Times New Roman" w:cs="Times New Roman" w:eastAsia="Times New Roman"/>
          <w:b w:val="0"/>
          <w:sz w:val="24"/>
        </w:rPr>
        <w:t>Cette annexe rassemble des grilles de contrôle. Elle ne fixe ni un nombre minimal d’essais, ni des valeurs de paramètres, ni des seuils réglementaires. Pour un projet réel, chaque ligne doit être reliée à un document, une donnée ou une décision identifiable. Les cases non applicables sont justifiées plutôt que laissées implicites.</w:t>
      </w:r>
    </w:p>
    <w:p>
      <w:pPr>
        <w:pStyle w:val="Heading2"/>
      </w:pPr>
      <w:r>
        <w:rPr>
          <w:rFonts w:ascii="Times New Roman" w:hAnsi="Times New Roman" w:cs="Times New Roman" w:eastAsia="Times New Roman"/>
          <w:b/>
          <w:color w:val="1F4E79"/>
          <w:sz w:val="24"/>
        </w:rPr>
        <w:t>A.2 Fiche initiale du projet</w:t>
      </w:r>
    </w:p>
    <w:p>
      <w:bookmarkStart w:id="116" w:name="BM_TABA_1"/>
      <w:pPr>
        <w:keepNext/>
        <w:jc w:val="center"/>
      </w:pPr>
      <w:r>
        <w:rPr>
          <w:rFonts w:ascii="Times New Roman" w:hAnsi="Times New Roman" w:cs="Times New Roman" w:eastAsia="Times New Roman"/>
          <w:b/>
          <w:sz w:val="20"/>
        </w:rPr>
        <w:t>Tableau A.1 — Fiche minimale avant définition du programme d’investigation</w:t>
      </w:r>
      <w:bookmarkEnd w:id="116"/>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814"/>
            <w:vAlign w:val="center"/>
            <w:shd w:fill="1F4E79"/>
          </w:tcPr>
          <w:p>
            <w:pPr>
              <w:spacing w:after="30"/>
            </w:pPr>
            <w:r>
              <w:rPr>
                <w:rFonts w:ascii="Times New Roman" w:hAnsi="Times New Roman" w:cs="Times New Roman" w:eastAsia="Times New Roman"/>
                <w:b/>
                <w:color w:val="FFFFFF"/>
                <w:sz w:val="17"/>
              </w:rPr>
              <w:t>Rubrique</w:t>
            </w:r>
          </w:p>
        </w:tc>
        <w:tc>
          <w:tcPr>
            <w:tcW w:type="dxa" w:w="3628"/>
            <w:vAlign w:val="center"/>
            <w:shd w:fill="1F4E79"/>
          </w:tcPr>
          <w:p>
            <w:pPr>
              <w:spacing w:after="30"/>
            </w:pPr>
            <w:r>
              <w:rPr>
                <w:rFonts w:ascii="Times New Roman" w:hAnsi="Times New Roman" w:cs="Times New Roman" w:eastAsia="Times New Roman"/>
                <w:b/>
                <w:color w:val="FFFFFF"/>
                <w:sz w:val="17"/>
              </w:rPr>
              <w:t>Informations à rassembler</w:t>
            </w:r>
          </w:p>
        </w:tc>
        <w:tc>
          <w:tcPr>
            <w:tcW w:type="dxa" w:w="3628"/>
            <w:vAlign w:val="center"/>
            <w:shd w:fill="1F4E79"/>
          </w:tcPr>
          <w:p>
            <w:pPr>
              <w:spacing w:after="30"/>
            </w:pPr>
            <w:r>
              <w:rPr>
                <w:rFonts w:ascii="Times New Roman" w:hAnsi="Times New Roman" w:cs="Times New Roman" w:eastAsia="Times New Roman"/>
                <w:b/>
                <w:color w:val="FFFFFF"/>
                <w:sz w:val="17"/>
              </w:rPr>
              <w:t>Point de validation</w:t>
            </w:r>
          </w:p>
        </w:tc>
      </w:tr>
      <w:tr>
        <w:trPr>
          <w:cantSplit/>
        </w:trPr>
        <w:tc>
          <w:tcPr>
            <w:tcW w:type="dxa" w:w="1814"/>
            <w:vAlign w:val="center"/>
          </w:tcPr>
          <w:p>
            <w:pPr>
              <w:spacing w:after="30"/>
            </w:pPr>
            <w:r>
              <w:rPr>
                <w:rFonts w:ascii="Times New Roman" w:hAnsi="Times New Roman" w:cs="Times New Roman" w:eastAsia="Times New Roman"/>
                <w:b w:val="0"/>
                <w:sz w:val="17"/>
              </w:rPr>
              <w:t>Ouvrage</w:t>
            </w:r>
          </w:p>
        </w:tc>
        <w:tc>
          <w:tcPr>
            <w:tcW w:type="dxa" w:w="3628"/>
            <w:vAlign w:val="center"/>
          </w:tcPr>
          <w:p>
            <w:pPr>
              <w:spacing w:after="30"/>
            </w:pPr>
            <w:r>
              <w:rPr>
                <w:rFonts w:ascii="Times New Roman" w:hAnsi="Times New Roman" w:cs="Times New Roman" w:eastAsia="Times New Roman"/>
                <w:b w:val="0"/>
                <w:sz w:val="17"/>
              </w:rPr>
              <w:t>Fonction, tracé, longueur, travées, profil en travers et phases</w:t>
            </w:r>
          </w:p>
        </w:tc>
        <w:tc>
          <w:tcPr>
            <w:tcW w:type="dxa" w:w="3628"/>
            <w:vAlign w:val="center"/>
          </w:tcPr>
          <w:p>
            <w:pPr>
              <w:spacing w:after="30"/>
            </w:pPr>
            <w:r>
              <w:rPr>
                <w:rFonts w:ascii="Times New Roman" w:hAnsi="Times New Roman" w:cs="Times New Roman" w:eastAsia="Times New Roman"/>
                <w:b w:val="0"/>
                <w:sz w:val="17"/>
              </w:rPr>
              <w:t>Version du plan et responsable des données</w:t>
            </w:r>
          </w:p>
        </w:tc>
      </w:tr>
      <w:tr>
        <w:trPr>
          <w:cantSplit/>
        </w:trPr>
        <w:tc>
          <w:tcPr>
            <w:tcW w:type="dxa" w:w="1814"/>
            <w:vAlign w:val="center"/>
            <w:shd w:fill="F3F6F8"/>
          </w:tcPr>
          <w:p>
            <w:pPr>
              <w:spacing w:after="30"/>
            </w:pPr>
            <w:r>
              <w:rPr>
                <w:rFonts w:ascii="Times New Roman" w:hAnsi="Times New Roman" w:cs="Times New Roman" w:eastAsia="Times New Roman"/>
                <w:b w:val="0"/>
                <w:sz w:val="17"/>
              </w:rPr>
              <w:t>Appuis</w:t>
            </w:r>
          </w:p>
        </w:tc>
        <w:tc>
          <w:tcPr>
            <w:tcW w:type="dxa" w:w="3628"/>
            <w:vAlign w:val="center"/>
            <w:shd w:fill="F3F6F8"/>
          </w:tcPr>
          <w:p>
            <w:pPr>
              <w:spacing w:after="30"/>
            </w:pPr>
            <w:r>
              <w:rPr>
                <w:rFonts w:ascii="Times New Roman" w:hAnsi="Times New Roman" w:cs="Times New Roman" w:eastAsia="Times New Roman"/>
                <w:b w:val="0"/>
                <w:sz w:val="17"/>
              </w:rPr>
              <w:t>Position des piles, culées, pylônes et ancrages</w:t>
            </w:r>
          </w:p>
        </w:tc>
        <w:tc>
          <w:tcPr>
            <w:tcW w:type="dxa" w:w="3628"/>
            <w:vAlign w:val="center"/>
            <w:shd w:fill="F3F6F8"/>
          </w:tcPr>
          <w:p>
            <w:pPr>
              <w:spacing w:after="30"/>
            </w:pPr>
            <w:r>
              <w:rPr>
                <w:rFonts w:ascii="Times New Roman" w:hAnsi="Times New Roman" w:cs="Times New Roman" w:eastAsia="Times New Roman"/>
                <w:b w:val="0"/>
                <w:sz w:val="17"/>
              </w:rPr>
              <w:t>Type d’appui et exposition à l’eau ou aux remblais</w:t>
            </w:r>
          </w:p>
        </w:tc>
      </w:tr>
      <w:tr>
        <w:trPr>
          <w:cantSplit/>
        </w:trPr>
        <w:tc>
          <w:tcPr>
            <w:tcW w:type="dxa" w:w="1814"/>
            <w:vAlign w:val="center"/>
          </w:tcPr>
          <w:p>
            <w:pPr>
              <w:spacing w:after="30"/>
            </w:pPr>
            <w:r>
              <w:rPr>
                <w:rFonts w:ascii="Times New Roman" w:hAnsi="Times New Roman" w:cs="Times New Roman" w:eastAsia="Times New Roman"/>
                <w:b w:val="0"/>
                <w:sz w:val="17"/>
              </w:rPr>
              <w:t>Structure</w:t>
            </w:r>
          </w:p>
        </w:tc>
        <w:tc>
          <w:tcPr>
            <w:tcW w:type="dxa" w:w="3628"/>
            <w:vAlign w:val="center"/>
          </w:tcPr>
          <w:p>
            <w:pPr>
              <w:spacing w:after="30"/>
            </w:pPr>
            <w:r>
              <w:rPr>
                <w:rFonts w:ascii="Times New Roman" w:hAnsi="Times New Roman" w:cs="Times New Roman" w:eastAsia="Times New Roman"/>
                <w:b w:val="0"/>
                <w:sz w:val="17"/>
              </w:rPr>
              <w:t>Système porteur, réactions estimées et déplacements sensibles</w:t>
            </w:r>
          </w:p>
        </w:tc>
        <w:tc>
          <w:tcPr>
            <w:tcW w:type="dxa" w:w="3628"/>
            <w:vAlign w:val="center"/>
          </w:tcPr>
          <w:p>
            <w:pPr>
              <w:spacing w:after="30"/>
            </w:pPr>
            <w:r>
              <w:rPr>
                <w:rFonts w:ascii="Times New Roman" w:hAnsi="Times New Roman" w:cs="Times New Roman" w:eastAsia="Times New Roman"/>
                <w:b w:val="0"/>
                <w:sz w:val="17"/>
              </w:rPr>
              <w:t>Situations et critères transmis par le concepteur</w:t>
            </w:r>
          </w:p>
        </w:tc>
      </w:tr>
      <w:tr>
        <w:trPr>
          <w:cantSplit/>
        </w:trPr>
        <w:tc>
          <w:tcPr>
            <w:tcW w:type="dxa" w:w="1814"/>
            <w:vAlign w:val="center"/>
            <w:shd w:fill="F3F6F8"/>
          </w:tcPr>
          <w:p>
            <w:pPr>
              <w:spacing w:after="30"/>
            </w:pPr>
            <w:r>
              <w:rPr>
                <w:rFonts w:ascii="Times New Roman" w:hAnsi="Times New Roman" w:cs="Times New Roman" w:eastAsia="Times New Roman"/>
                <w:b w:val="0"/>
                <w:sz w:val="17"/>
              </w:rPr>
              <w:t>Site</w:t>
            </w:r>
          </w:p>
        </w:tc>
        <w:tc>
          <w:tcPr>
            <w:tcW w:type="dxa" w:w="3628"/>
            <w:vAlign w:val="center"/>
            <w:shd w:fill="F3F6F8"/>
          </w:tcPr>
          <w:p>
            <w:pPr>
              <w:spacing w:after="30"/>
            </w:pPr>
            <w:r>
              <w:rPr>
                <w:rFonts w:ascii="Times New Roman" w:hAnsi="Times New Roman" w:cs="Times New Roman" w:eastAsia="Times New Roman"/>
                <w:b w:val="0"/>
                <w:sz w:val="17"/>
              </w:rPr>
              <w:t>Topographie, géologie, géomorphologie et occupations</w:t>
            </w:r>
          </w:p>
        </w:tc>
        <w:tc>
          <w:tcPr>
            <w:tcW w:type="dxa" w:w="3628"/>
            <w:vAlign w:val="center"/>
            <w:shd w:fill="F3F6F8"/>
          </w:tcPr>
          <w:p>
            <w:pPr>
              <w:spacing w:after="30"/>
            </w:pPr>
            <w:r>
              <w:rPr>
                <w:rFonts w:ascii="Times New Roman" w:hAnsi="Times New Roman" w:cs="Times New Roman" w:eastAsia="Times New Roman"/>
                <w:b w:val="0"/>
                <w:sz w:val="17"/>
              </w:rPr>
              <w:t>Cartes, date et zones non documentées</w:t>
            </w:r>
          </w:p>
        </w:tc>
      </w:tr>
      <w:tr>
        <w:trPr>
          <w:cantSplit/>
        </w:trPr>
        <w:tc>
          <w:tcPr>
            <w:tcW w:type="dxa" w:w="1814"/>
            <w:vAlign w:val="center"/>
          </w:tcPr>
          <w:p>
            <w:pPr>
              <w:spacing w:after="30"/>
            </w:pPr>
            <w:r>
              <w:rPr>
                <w:rFonts w:ascii="Times New Roman" w:hAnsi="Times New Roman" w:cs="Times New Roman" w:eastAsia="Times New Roman"/>
                <w:b w:val="0"/>
                <w:sz w:val="17"/>
              </w:rPr>
              <w:t>Hydrologie</w:t>
            </w:r>
          </w:p>
        </w:tc>
        <w:tc>
          <w:tcPr>
            <w:tcW w:type="dxa" w:w="3628"/>
            <w:vAlign w:val="center"/>
          </w:tcPr>
          <w:p>
            <w:pPr>
              <w:spacing w:after="30"/>
            </w:pPr>
            <w:r>
              <w:rPr>
                <w:rFonts w:ascii="Times New Roman" w:hAnsi="Times New Roman" w:cs="Times New Roman" w:eastAsia="Times New Roman"/>
                <w:b w:val="0"/>
                <w:sz w:val="17"/>
              </w:rPr>
              <w:t>Bassin, séries, débits et incertitudes</w:t>
            </w:r>
          </w:p>
        </w:tc>
        <w:tc>
          <w:tcPr>
            <w:tcW w:type="dxa" w:w="3628"/>
            <w:vAlign w:val="center"/>
          </w:tcPr>
          <w:p>
            <w:pPr>
              <w:spacing w:after="30"/>
            </w:pPr>
            <w:r>
              <w:rPr>
                <w:rFonts w:ascii="Times New Roman" w:hAnsi="Times New Roman" w:cs="Times New Roman" w:eastAsia="Times New Roman"/>
                <w:b w:val="0"/>
                <w:sz w:val="17"/>
              </w:rPr>
              <w:t>Méthode, scénarios et validation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Hydraulique</w:t>
            </w:r>
          </w:p>
        </w:tc>
        <w:tc>
          <w:tcPr>
            <w:tcW w:type="dxa" w:w="3628"/>
            <w:vAlign w:val="center"/>
            <w:shd w:fill="F3F6F8"/>
          </w:tcPr>
          <w:p>
            <w:pPr>
              <w:spacing w:after="30"/>
            </w:pPr>
            <w:r>
              <w:rPr>
                <w:rFonts w:ascii="Times New Roman" w:hAnsi="Times New Roman" w:cs="Times New Roman" w:eastAsia="Times New Roman"/>
                <w:b w:val="0"/>
                <w:sz w:val="17"/>
              </w:rPr>
              <w:t>Niveaux, vitesses, contraction, afflux et embâcles</w:t>
            </w:r>
          </w:p>
        </w:tc>
        <w:tc>
          <w:tcPr>
            <w:tcW w:type="dxa" w:w="3628"/>
            <w:vAlign w:val="center"/>
            <w:shd w:fill="F3F6F8"/>
          </w:tcPr>
          <w:p>
            <w:pPr>
              <w:spacing w:after="30"/>
            </w:pPr>
            <w:r>
              <w:rPr>
                <w:rFonts w:ascii="Times New Roman" w:hAnsi="Times New Roman" w:cs="Times New Roman" w:eastAsia="Times New Roman"/>
                <w:b w:val="0"/>
                <w:sz w:val="17"/>
              </w:rPr>
              <w:t>Géométrie, conditions aux limites et version du modèle</w:t>
            </w:r>
          </w:p>
        </w:tc>
      </w:tr>
      <w:tr>
        <w:trPr>
          <w:cantSplit/>
        </w:trPr>
        <w:tc>
          <w:tcPr>
            <w:tcW w:type="dxa" w:w="1814"/>
            <w:vAlign w:val="center"/>
          </w:tcPr>
          <w:p>
            <w:pPr>
              <w:spacing w:after="30"/>
            </w:pPr>
            <w:r>
              <w:rPr>
                <w:rFonts w:ascii="Times New Roman" w:hAnsi="Times New Roman" w:cs="Times New Roman" w:eastAsia="Times New Roman"/>
                <w:b w:val="0"/>
                <w:sz w:val="17"/>
              </w:rPr>
              <w:t>Morphodynamique</w:t>
            </w:r>
          </w:p>
        </w:tc>
        <w:tc>
          <w:tcPr>
            <w:tcW w:type="dxa" w:w="3628"/>
            <w:vAlign w:val="center"/>
          </w:tcPr>
          <w:p>
            <w:pPr>
              <w:spacing w:after="30"/>
            </w:pPr>
            <w:r>
              <w:rPr>
                <w:rFonts w:ascii="Times New Roman" w:hAnsi="Times New Roman" w:cs="Times New Roman" w:eastAsia="Times New Roman"/>
                <w:b w:val="0"/>
                <w:sz w:val="17"/>
              </w:rPr>
              <w:t>Historique du lit, transport solide et berges</w:t>
            </w:r>
          </w:p>
        </w:tc>
        <w:tc>
          <w:tcPr>
            <w:tcW w:type="dxa" w:w="3628"/>
            <w:vAlign w:val="center"/>
          </w:tcPr>
          <w:p>
            <w:pPr>
              <w:spacing w:after="30"/>
            </w:pPr>
            <w:r>
              <w:rPr>
                <w:rFonts w:ascii="Times New Roman" w:hAnsi="Times New Roman" w:cs="Times New Roman" w:eastAsia="Times New Roman"/>
                <w:b w:val="0"/>
                <w:sz w:val="17"/>
              </w:rPr>
              <w:t>Preuves d’évolution et besoins de suivi</w:t>
            </w:r>
          </w:p>
        </w:tc>
      </w:tr>
      <w:tr>
        <w:trPr>
          <w:cantSplit/>
        </w:trPr>
        <w:tc>
          <w:tcPr>
            <w:tcW w:type="dxa" w:w="1814"/>
            <w:vAlign w:val="center"/>
            <w:shd w:fill="F3F6F8"/>
          </w:tcPr>
          <w:p>
            <w:pPr>
              <w:spacing w:after="30"/>
            </w:pPr>
            <w:r>
              <w:rPr>
                <w:rFonts w:ascii="Times New Roman" w:hAnsi="Times New Roman" w:cs="Times New Roman" w:eastAsia="Times New Roman"/>
                <w:b w:val="0"/>
                <w:sz w:val="17"/>
              </w:rPr>
              <w:t>Hydrogéologie</w:t>
            </w:r>
          </w:p>
        </w:tc>
        <w:tc>
          <w:tcPr>
            <w:tcW w:type="dxa" w:w="3628"/>
            <w:vAlign w:val="center"/>
            <w:shd w:fill="F3F6F8"/>
          </w:tcPr>
          <w:p>
            <w:pPr>
              <w:spacing w:after="30"/>
            </w:pPr>
            <w:r>
              <w:rPr>
                <w:rFonts w:ascii="Times New Roman" w:hAnsi="Times New Roman" w:cs="Times New Roman" w:eastAsia="Times New Roman"/>
                <w:b w:val="0"/>
                <w:sz w:val="17"/>
              </w:rPr>
              <w:t>Nappes, gradients, exutoires et variations</w:t>
            </w:r>
          </w:p>
        </w:tc>
        <w:tc>
          <w:tcPr>
            <w:tcW w:type="dxa" w:w="3628"/>
            <w:vAlign w:val="center"/>
            <w:shd w:fill="F3F6F8"/>
          </w:tcPr>
          <w:p>
            <w:pPr>
              <w:spacing w:after="30"/>
            </w:pPr>
            <w:r>
              <w:rPr>
                <w:rFonts w:ascii="Times New Roman" w:hAnsi="Times New Roman" w:cs="Times New Roman" w:eastAsia="Times New Roman"/>
                <w:b w:val="0"/>
                <w:sz w:val="17"/>
              </w:rPr>
              <w:t>Piézométrie, saison et représentativité</w:t>
            </w:r>
          </w:p>
        </w:tc>
      </w:tr>
      <w:tr>
        <w:trPr>
          <w:cantSplit/>
        </w:trPr>
        <w:tc>
          <w:tcPr>
            <w:tcW w:type="dxa" w:w="1814"/>
            <w:vAlign w:val="center"/>
          </w:tcPr>
          <w:p>
            <w:pPr>
              <w:spacing w:after="30"/>
            </w:pPr>
            <w:r>
              <w:rPr>
                <w:rFonts w:ascii="Times New Roman" w:hAnsi="Times New Roman" w:cs="Times New Roman" w:eastAsia="Times New Roman"/>
                <w:b w:val="0"/>
                <w:sz w:val="17"/>
              </w:rPr>
              <w:t>Réglementation</w:t>
            </w:r>
          </w:p>
        </w:tc>
        <w:tc>
          <w:tcPr>
            <w:tcW w:type="dxa" w:w="3628"/>
            <w:vAlign w:val="center"/>
          </w:tcPr>
          <w:p>
            <w:pPr>
              <w:spacing w:after="30"/>
            </w:pPr>
            <w:r>
              <w:rPr>
                <w:rFonts w:ascii="Times New Roman" w:hAnsi="Times New Roman" w:cs="Times New Roman" w:eastAsia="Times New Roman"/>
                <w:b w:val="0"/>
                <w:sz w:val="17"/>
              </w:rPr>
              <w:t>DTR, normes, guides et exigences du maître d’ouvrage</w:t>
            </w:r>
          </w:p>
        </w:tc>
        <w:tc>
          <w:tcPr>
            <w:tcW w:type="dxa" w:w="3628"/>
            <w:vAlign w:val="center"/>
          </w:tcPr>
          <w:p>
            <w:pPr>
              <w:spacing w:after="30"/>
            </w:pPr>
            <w:r>
              <w:rPr>
                <w:rFonts w:ascii="Times New Roman" w:hAnsi="Times New Roman" w:cs="Times New Roman" w:eastAsia="Times New Roman"/>
                <w:b w:val="0"/>
                <w:sz w:val="17"/>
              </w:rPr>
              <w:t>Édition, champ et date d’application</w:t>
            </w:r>
          </w:p>
        </w:tc>
      </w:tr>
      <w:tr>
        <w:trPr>
          <w:cantSplit/>
        </w:trPr>
        <w:tc>
          <w:tcPr>
            <w:tcW w:type="dxa" w:w="1814"/>
            <w:vAlign w:val="center"/>
            <w:shd w:fill="F3F6F8"/>
          </w:tcPr>
          <w:p>
            <w:pPr>
              <w:spacing w:after="30"/>
            </w:pPr>
            <w:r>
              <w:rPr>
                <w:rFonts w:ascii="Times New Roman" w:hAnsi="Times New Roman" w:cs="Times New Roman" w:eastAsia="Times New Roman"/>
                <w:b w:val="0"/>
                <w:sz w:val="17"/>
              </w:rPr>
              <w:t>Construction</w:t>
            </w:r>
          </w:p>
        </w:tc>
        <w:tc>
          <w:tcPr>
            <w:tcW w:type="dxa" w:w="3628"/>
            <w:vAlign w:val="center"/>
            <w:shd w:fill="F3F6F8"/>
          </w:tcPr>
          <w:p>
            <w:pPr>
              <w:spacing w:after="30"/>
            </w:pPr>
            <w:r>
              <w:rPr>
                <w:rFonts w:ascii="Times New Roman" w:hAnsi="Times New Roman" w:cs="Times New Roman" w:eastAsia="Times New Roman"/>
                <w:b w:val="0"/>
                <w:sz w:val="17"/>
              </w:rPr>
              <w:t>Accès, méthodes, eau, nuisances et contrôles</w:t>
            </w:r>
          </w:p>
        </w:tc>
        <w:tc>
          <w:tcPr>
            <w:tcW w:type="dxa" w:w="3628"/>
            <w:vAlign w:val="center"/>
            <w:shd w:fill="F3F6F8"/>
          </w:tcPr>
          <w:p>
            <w:pPr>
              <w:spacing w:after="30"/>
            </w:pPr>
            <w:r>
              <w:rPr>
                <w:rFonts w:ascii="Times New Roman" w:hAnsi="Times New Roman" w:cs="Times New Roman" w:eastAsia="Times New Roman"/>
                <w:b w:val="0"/>
                <w:sz w:val="17"/>
              </w:rPr>
              <w:t>Faisabilité et investigations associées</w:t>
            </w:r>
          </w:p>
        </w:tc>
      </w:tr>
      <w:tr>
        <w:trPr>
          <w:cantSplit/>
        </w:trPr>
        <w:tc>
          <w:tcPr>
            <w:tcW w:type="dxa" w:w="1814"/>
            <w:vAlign w:val="center"/>
          </w:tcPr>
          <w:p>
            <w:pPr>
              <w:spacing w:after="30"/>
            </w:pPr>
            <w:r>
              <w:rPr>
                <w:rFonts w:ascii="Times New Roman" w:hAnsi="Times New Roman" w:cs="Times New Roman" w:eastAsia="Times New Roman"/>
                <w:b w:val="0"/>
                <w:sz w:val="17"/>
              </w:rPr>
              <w:t>Exploitation</w:t>
            </w:r>
          </w:p>
        </w:tc>
        <w:tc>
          <w:tcPr>
            <w:tcW w:type="dxa" w:w="3628"/>
            <w:vAlign w:val="center"/>
          </w:tcPr>
          <w:p>
            <w:pPr>
              <w:spacing w:after="30"/>
            </w:pPr>
            <w:r>
              <w:rPr>
                <w:rFonts w:ascii="Times New Roman" w:hAnsi="Times New Roman" w:cs="Times New Roman" w:eastAsia="Times New Roman"/>
                <w:b w:val="0"/>
                <w:sz w:val="17"/>
              </w:rPr>
              <w:t>Inspection, entretien et conséquences d’une défaillance</w:t>
            </w:r>
          </w:p>
        </w:tc>
        <w:tc>
          <w:tcPr>
            <w:tcW w:type="dxa" w:w="3628"/>
            <w:vAlign w:val="center"/>
          </w:tcPr>
          <w:p>
            <w:pPr>
              <w:spacing w:after="30"/>
            </w:pPr>
            <w:r>
              <w:rPr>
                <w:rFonts w:ascii="Times New Roman" w:hAnsi="Times New Roman" w:cs="Times New Roman" w:eastAsia="Times New Roman"/>
                <w:b w:val="0"/>
                <w:sz w:val="17"/>
              </w:rPr>
              <w:t>Accès, mesures initiales et responsabilités</w:t>
            </w:r>
          </w:p>
        </w:tc>
      </w:tr>
    </w:tbl>
    <w:p>
      <w:pPr>
        <w:spacing w:after="20"/>
      </w:pPr>
    </w:p>
    <w:p>
      <w:pPr>
        <w:pStyle w:val="Heading2"/>
      </w:pPr>
      <w:r>
        <w:rPr>
          <w:rFonts w:ascii="Times New Roman" w:hAnsi="Times New Roman" w:cs="Times New Roman" w:eastAsia="Times New Roman"/>
          <w:b/>
          <w:color w:val="1F4E79"/>
          <w:sz w:val="24"/>
        </w:rPr>
        <w:t>A.3 Matrice question–méthode–preuve</w:t>
      </w:r>
    </w:p>
    <w:p>
      <w:bookmarkStart w:id="117" w:name="BM_TABA_2"/>
      <w:pPr>
        <w:keepNext/>
        <w:jc w:val="center"/>
      </w:pPr>
      <w:r>
        <w:rPr>
          <w:rFonts w:ascii="Times New Roman" w:hAnsi="Times New Roman" w:cs="Times New Roman" w:eastAsia="Times New Roman"/>
          <w:b/>
          <w:sz w:val="20"/>
        </w:rPr>
        <w:t>Tableau A.2 — Exemples de questions et de preuves à rechercher</w:t>
      </w:r>
      <w:bookmarkEnd w:id="117"/>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3024"/>
            <w:vAlign w:val="center"/>
            <w:shd w:fill="1F4E79"/>
          </w:tcPr>
          <w:p>
            <w:pPr>
              <w:spacing w:after="30"/>
            </w:pPr>
            <w:r>
              <w:rPr>
                <w:rFonts w:ascii="Times New Roman" w:hAnsi="Times New Roman" w:cs="Times New Roman" w:eastAsia="Times New Roman"/>
                <w:b/>
                <w:color w:val="FFFFFF"/>
                <w:sz w:val="17"/>
              </w:rPr>
              <w:t>Question de projet</w:t>
            </w:r>
          </w:p>
        </w:tc>
        <w:tc>
          <w:tcPr>
            <w:tcW w:type="dxa" w:w="3024"/>
            <w:vAlign w:val="center"/>
            <w:shd w:fill="1F4E79"/>
          </w:tcPr>
          <w:p>
            <w:pPr>
              <w:spacing w:after="30"/>
            </w:pPr>
            <w:r>
              <w:rPr>
                <w:rFonts w:ascii="Times New Roman" w:hAnsi="Times New Roman" w:cs="Times New Roman" w:eastAsia="Times New Roman"/>
                <w:b/>
                <w:color w:val="FFFFFF"/>
                <w:sz w:val="17"/>
              </w:rPr>
              <w:t>Méthodes possibles selon le site</w:t>
            </w:r>
          </w:p>
        </w:tc>
        <w:tc>
          <w:tcPr>
            <w:tcW w:type="dxa" w:w="3024"/>
            <w:vAlign w:val="center"/>
            <w:shd w:fill="1F4E79"/>
          </w:tcPr>
          <w:p>
            <w:pPr>
              <w:spacing w:after="30"/>
            </w:pPr>
            <w:r>
              <w:rPr>
                <w:rFonts w:ascii="Times New Roman" w:hAnsi="Times New Roman" w:cs="Times New Roman" w:eastAsia="Times New Roman"/>
                <w:b/>
                <w:color w:val="FFFFFF"/>
                <w:sz w:val="17"/>
              </w:rPr>
              <w:t>Preuve permettant de progresser</w:t>
            </w:r>
          </w:p>
        </w:tc>
      </w:tr>
      <w:tr>
        <w:trPr>
          <w:cantSplit/>
        </w:trPr>
        <w:tc>
          <w:tcPr>
            <w:tcW w:type="dxa" w:w="3024"/>
            <w:vAlign w:val="center"/>
          </w:tcPr>
          <w:p>
            <w:pPr>
              <w:spacing w:after="30"/>
            </w:pPr>
            <w:r>
              <w:rPr>
                <w:rFonts w:ascii="Times New Roman" w:hAnsi="Times New Roman" w:cs="Times New Roman" w:eastAsia="Times New Roman"/>
                <w:b w:val="0"/>
                <w:sz w:val="17"/>
              </w:rPr>
              <w:t>Quelles unités traversent les pieux ?</w:t>
            </w:r>
          </w:p>
        </w:tc>
        <w:tc>
          <w:tcPr>
            <w:tcW w:type="dxa" w:w="3024"/>
            <w:vAlign w:val="center"/>
          </w:tcPr>
          <w:p>
            <w:pPr>
              <w:spacing w:after="30"/>
            </w:pPr>
            <w:r>
              <w:rPr>
                <w:rFonts w:ascii="Times New Roman" w:hAnsi="Times New Roman" w:cs="Times New Roman" w:eastAsia="Times New Roman"/>
                <w:b w:val="0"/>
                <w:sz w:val="17"/>
              </w:rPr>
              <w:t>Carottages, logs, CPT et géophysique calibrée</w:t>
            </w:r>
          </w:p>
        </w:tc>
        <w:tc>
          <w:tcPr>
            <w:tcW w:type="dxa" w:w="3024"/>
            <w:vAlign w:val="center"/>
          </w:tcPr>
          <w:p>
            <w:pPr>
              <w:spacing w:after="30"/>
            </w:pPr>
            <w:r>
              <w:rPr>
                <w:rFonts w:ascii="Times New Roman" w:hAnsi="Times New Roman" w:cs="Times New Roman" w:eastAsia="Times New Roman"/>
                <w:b w:val="0"/>
                <w:sz w:val="17"/>
              </w:rPr>
              <w:t>Coupe corrélée et limites d’interpolation</w:t>
            </w:r>
          </w:p>
        </w:tc>
      </w:tr>
      <w:tr>
        <w:trPr>
          <w:cantSplit/>
        </w:trPr>
        <w:tc>
          <w:tcPr>
            <w:tcW w:type="dxa" w:w="3024"/>
            <w:vAlign w:val="center"/>
            <w:shd w:fill="F3F6F8"/>
          </w:tcPr>
          <w:p>
            <w:pPr>
              <w:spacing w:after="30"/>
            </w:pPr>
            <w:r>
              <w:rPr>
                <w:rFonts w:ascii="Times New Roman" w:hAnsi="Times New Roman" w:cs="Times New Roman" w:eastAsia="Times New Roman"/>
                <w:b w:val="0"/>
                <w:sz w:val="17"/>
              </w:rPr>
              <w:t>Quelle compressibilité gouverne les tassements ?</w:t>
            </w:r>
          </w:p>
        </w:tc>
        <w:tc>
          <w:tcPr>
            <w:tcW w:type="dxa" w:w="3024"/>
            <w:vAlign w:val="center"/>
            <w:shd w:fill="F3F6F8"/>
          </w:tcPr>
          <w:p>
            <w:pPr>
              <w:spacing w:after="30"/>
            </w:pPr>
            <w:r>
              <w:rPr>
                <w:rFonts w:ascii="Times New Roman" w:hAnsi="Times New Roman" w:cs="Times New Roman" w:eastAsia="Times New Roman"/>
                <w:b w:val="0"/>
                <w:sz w:val="17"/>
              </w:rPr>
              <w:t>Échantillons de qualité, œdomètre et essais in situ adaptés</w:t>
            </w:r>
          </w:p>
        </w:tc>
        <w:tc>
          <w:tcPr>
            <w:tcW w:type="dxa" w:w="3024"/>
            <w:vAlign w:val="center"/>
            <w:shd w:fill="F3F6F8"/>
          </w:tcPr>
          <w:p>
            <w:pPr>
              <w:spacing w:after="30"/>
            </w:pPr>
            <w:r>
              <w:rPr>
                <w:rFonts w:ascii="Times New Roman" w:hAnsi="Times New Roman" w:cs="Times New Roman" w:eastAsia="Times New Roman"/>
                <w:b w:val="0"/>
                <w:sz w:val="17"/>
              </w:rPr>
              <w:t>Courbes contrainte–déformation et chemin de chargement</w:t>
            </w:r>
          </w:p>
        </w:tc>
      </w:tr>
      <w:tr>
        <w:trPr>
          <w:cantSplit/>
        </w:trPr>
        <w:tc>
          <w:tcPr>
            <w:tcW w:type="dxa" w:w="3024"/>
            <w:vAlign w:val="center"/>
          </w:tcPr>
          <w:p>
            <w:pPr>
              <w:spacing w:after="30"/>
            </w:pPr>
            <w:r>
              <w:rPr>
                <w:rFonts w:ascii="Times New Roman" w:hAnsi="Times New Roman" w:cs="Times New Roman" w:eastAsia="Times New Roman"/>
                <w:b w:val="0"/>
                <w:sz w:val="17"/>
              </w:rPr>
              <w:t>Quelle résistance non drainée mobiliser ?</w:t>
            </w:r>
          </w:p>
        </w:tc>
        <w:tc>
          <w:tcPr>
            <w:tcW w:type="dxa" w:w="3024"/>
            <w:vAlign w:val="center"/>
          </w:tcPr>
          <w:p>
            <w:pPr>
              <w:spacing w:after="30"/>
            </w:pPr>
            <w:r>
              <w:rPr>
                <w:rFonts w:ascii="Times New Roman" w:hAnsi="Times New Roman" w:cs="Times New Roman" w:eastAsia="Times New Roman"/>
                <w:b w:val="0"/>
                <w:sz w:val="17"/>
              </w:rPr>
              <w:t>Scissomètre, triaxial et corrélations validées</w:t>
            </w:r>
          </w:p>
        </w:tc>
        <w:tc>
          <w:tcPr>
            <w:tcW w:type="dxa" w:w="3024"/>
            <w:vAlign w:val="center"/>
          </w:tcPr>
          <w:p>
            <w:pPr>
              <w:spacing w:after="30"/>
            </w:pPr>
            <w:r>
              <w:rPr>
                <w:rFonts w:ascii="Times New Roman" w:hAnsi="Times New Roman" w:cs="Times New Roman" w:eastAsia="Times New Roman"/>
                <w:b w:val="0"/>
                <w:sz w:val="17"/>
              </w:rPr>
              <w:t>Valeurs par unité avec dispersion et conditions d’essai</w:t>
            </w:r>
          </w:p>
        </w:tc>
      </w:tr>
      <w:tr>
        <w:trPr>
          <w:cantSplit/>
        </w:trPr>
        <w:tc>
          <w:tcPr>
            <w:tcW w:type="dxa" w:w="3024"/>
            <w:vAlign w:val="center"/>
            <w:shd w:fill="F3F6F8"/>
          </w:tcPr>
          <w:p>
            <w:pPr>
              <w:spacing w:after="30"/>
            </w:pPr>
            <w:r>
              <w:rPr>
                <w:rFonts w:ascii="Times New Roman" w:hAnsi="Times New Roman" w:cs="Times New Roman" w:eastAsia="Times New Roman"/>
                <w:b w:val="0"/>
                <w:sz w:val="17"/>
              </w:rPr>
              <w:t>Quelle perméabilité pour le drainage ou le pompage ?</w:t>
            </w:r>
          </w:p>
        </w:tc>
        <w:tc>
          <w:tcPr>
            <w:tcW w:type="dxa" w:w="3024"/>
            <w:vAlign w:val="center"/>
            <w:shd w:fill="F3F6F8"/>
          </w:tcPr>
          <w:p>
            <w:pPr>
              <w:spacing w:after="30"/>
            </w:pPr>
            <w:r>
              <w:rPr>
                <w:rFonts w:ascii="Times New Roman" w:hAnsi="Times New Roman" w:cs="Times New Roman" w:eastAsia="Times New Roman"/>
                <w:b w:val="0"/>
                <w:sz w:val="17"/>
              </w:rPr>
              <w:t>Lefranc, essais de laboratoire ou pompage selon l’échelle</w:t>
            </w:r>
          </w:p>
        </w:tc>
        <w:tc>
          <w:tcPr>
            <w:tcW w:type="dxa" w:w="3024"/>
            <w:vAlign w:val="center"/>
            <w:shd w:fill="F3F6F8"/>
          </w:tcPr>
          <w:p>
            <w:pPr>
              <w:spacing w:after="30"/>
            </w:pPr>
            <w:r>
              <w:rPr>
                <w:rFonts w:ascii="Times New Roman" w:hAnsi="Times New Roman" w:cs="Times New Roman" w:eastAsia="Times New Roman"/>
                <w:b w:val="0"/>
                <w:sz w:val="17"/>
              </w:rPr>
              <w:t>Domaine de validité et comparaison des échelles</w:t>
            </w:r>
          </w:p>
        </w:tc>
      </w:tr>
      <w:tr>
        <w:trPr>
          <w:cantSplit/>
        </w:trPr>
        <w:tc>
          <w:tcPr>
            <w:tcW w:type="dxa" w:w="3024"/>
            <w:vAlign w:val="center"/>
          </w:tcPr>
          <w:p>
            <w:pPr>
              <w:spacing w:after="30"/>
            </w:pPr>
            <w:r>
              <w:rPr>
                <w:rFonts w:ascii="Times New Roman" w:hAnsi="Times New Roman" w:cs="Times New Roman" w:eastAsia="Times New Roman"/>
                <w:b w:val="0"/>
                <w:sz w:val="17"/>
              </w:rPr>
              <w:t>Quelles discontinuités dans le rocher ?</w:t>
            </w:r>
          </w:p>
        </w:tc>
        <w:tc>
          <w:tcPr>
            <w:tcW w:type="dxa" w:w="3024"/>
            <w:vAlign w:val="center"/>
          </w:tcPr>
          <w:p>
            <w:pPr>
              <w:spacing w:after="30"/>
            </w:pPr>
            <w:r>
              <w:rPr>
                <w:rFonts w:ascii="Times New Roman" w:hAnsi="Times New Roman" w:cs="Times New Roman" w:eastAsia="Times New Roman"/>
                <w:b w:val="0"/>
                <w:sz w:val="17"/>
              </w:rPr>
              <w:t>Carottage orienté, description et téléviewer si adapté</w:t>
            </w:r>
          </w:p>
        </w:tc>
        <w:tc>
          <w:tcPr>
            <w:tcW w:type="dxa" w:w="3024"/>
            <w:vAlign w:val="center"/>
          </w:tcPr>
          <w:p>
            <w:pPr>
              <w:spacing w:after="30"/>
            </w:pPr>
            <w:r>
              <w:rPr>
                <w:rFonts w:ascii="Times New Roman" w:hAnsi="Times New Roman" w:cs="Times New Roman" w:eastAsia="Times New Roman"/>
                <w:b w:val="0"/>
                <w:sz w:val="17"/>
              </w:rPr>
              <w:t>Orientation, ouverture, remplissage et altération</w:t>
            </w:r>
          </w:p>
        </w:tc>
      </w:tr>
      <w:tr>
        <w:trPr>
          <w:cantSplit/>
        </w:trPr>
        <w:tc>
          <w:tcPr>
            <w:tcW w:type="dxa" w:w="3024"/>
            <w:vAlign w:val="center"/>
            <w:shd w:fill="F3F6F8"/>
          </w:tcPr>
          <w:p>
            <w:pPr>
              <w:spacing w:after="30"/>
            </w:pPr>
            <w:r>
              <w:rPr>
                <w:rFonts w:ascii="Times New Roman" w:hAnsi="Times New Roman" w:cs="Times New Roman" w:eastAsia="Times New Roman"/>
                <w:b w:val="0"/>
                <w:sz w:val="17"/>
              </w:rPr>
              <w:t>Quelle profondeur de Vs pour la réponse du site ?</w:t>
            </w:r>
          </w:p>
        </w:tc>
        <w:tc>
          <w:tcPr>
            <w:tcW w:type="dxa" w:w="3024"/>
            <w:vAlign w:val="center"/>
            <w:shd w:fill="F3F6F8"/>
          </w:tcPr>
          <w:p>
            <w:pPr>
              <w:spacing w:after="30"/>
            </w:pPr>
            <w:r>
              <w:rPr>
                <w:rFonts w:ascii="Times New Roman" w:hAnsi="Times New Roman" w:cs="Times New Roman" w:eastAsia="Times New Roman"/>
                <w:b w:val="0"/>
                <w:sz w:val="17"/>
              </w:rPr>
              <w:t>MASW, SASW, cross-hole ou down-hole</w:t>
            </w:r>
          </w:p>
        </w:tc>
        <w:tc>
          <w:tcPr>
            <w:tcW w:type="dxa" w:w="3024"/>
            <w:vAlign w:val="center"/>
            <w:shd w:fill="F3F6F8"/>
          </w:tcPr>
          <w:p>
            <w:pPr>
              <w:spacing w:after="30"/>
            </w:pPr>
            <w:r>
              <w:rPr>
                <w:rFonts w:ascii="Times New Roman" w:hAnsi="Times New Roman" w:cs="Times New Roman" w:eastAsia="Times New Roman"/>
                <w:b w:val="0"/>
                <w:sz w:val="17"/>
              </w:rPr>
              <w:t>Modèle de propagation, résolution et calibrage</w:t>
            </w:r>
          </w:p>
        </w:tc>
      </w:tr>
      <w:tr>
        <w:trPr>
          <w:cantSplit/>
        </w:trPr>
        <w:tc>
          <w:tcPr>
            <w:tcW w:type="dxa" w:w="3024"/>
            <w:vAlign w:val="center"/>
          </w:tcPr>
          <w:p>
            <w:pPr>
              <w:spacing w:after="30"/>
            </w:pPr>
            <w:r>
              <w:rPr>
                <w:rFonts w:ascii="Times New Roman" w:hAnsi="Times New Roman" w:cs="Times New Roman" w:eastAsia="Times New Roman"/>
                <w:b w:val="0"/>
                <w:sz w:val="17"/>
              </w:rPr>
              <w:t>Quelle géométrie du lit et quelle évolution ?</w:t>
            </w:r>
          </w:p>
        </w:tc>
        <w:tc>
          <w:tcPr>
            <w:tcW w:type="dxa" w:w="3024"/>
            <w:vAlign w:val="center"/>
          </w:tcPr>
          <w:p>
            <w:pPr>
              <w:spacing w:after="30"/>
            </w:pPr>
            <w:r>
              <w:rPr>
                <w:rFonts w:ascii="Times New Roman" w:hAnsi="Times New Roman" w:cs="Times New Roman" w:eastAsia="Times New Roman"/>
                <w:b w:val="0"/>
                <w:sz w:val="17"/>
              </w:rPr>
              <w:t>Bathymétries répétées, profils et historique</w:t>
            </w:r>
          </w:p>
        </w:tc>
        <w:tc>
          <w:tcPr>
            <w:tcW w:type="dxa" w:w="3024"/>
            <w:vAlign w:val="center"/>
          </w:tcPr>
          <w:p>
            <w:pPr>
              <w:spacing w:after="30"/>
            </w:pPr>
            <w:r>
              <w:rPr>
                <w:rFonts w:ascii="Times New Roman" w:hAnsi="Times New Roman" w:cs="Times New Roman" w:eastAsia="Times New Roman"/>
                <w:b w:val="0"/>
                <w:sz w:val="17"/>
              </w:rPr>
              <w:t>Cotes datées, références communes et tendances</w:t>
            </w:r>
          </w:p>
        </w:tc>
      </w:tr>
      <w:tr>
        <w:trPr>
          <w:cantSplit/>
        </w:trPr>
        <w:tc>
          <w:tcPr>
            <w:tcW w:type="dxa" w:w="3024"/>
            <w:vAlign w:val="center"/>
            <w:shd w:fill="F3F6F8"/>
          </w:tcPr>
          <w:p>
            <w:pPr>
              <w:spacing w:after="30"/>
            </w:pPr>
            <w:r>
              <w:rPr>
                <w:rFonts w:ascii="Times New Roman" w:hAnsi="Times New Roman" w:cs="Times New Roman" w:eastAsia="Times New Roman"/>
                <w:b w:val="0"/>
                <w:sz w:val="17"/>
              </w:rPr>
              <w:t>Une anomalie est-elle une cavité ?</w:t>
            </w:r>
          </w:p>
        </w:tc>
        <w:tc>
          <w:tcPr>
            <w:tcW w:type="dxa" w:w="3024"/>
            <w:vAlign w:val="center"/>
            <w:shd w:fill="F3F6F8"/>
          </w:tcPr>
          <w:p>
            <w:pPr>
              <w:spacing w:after="30"/>
            </w:pPr>
            <w:r>
              <w:rPr>
                <w:rFonts w:ascii="Times New Roman" w:hAnsi="Times New Roman" w:cs="Times New Roman" w:eastAsia="Times New Roman"/>
                <w:b w:val="0"/>
                <w:sz w:val="17"/>
              </w:rPr>
              <w:t>Géophysique ciblée, sondage et modèle géologique</w:t>
            </w:r>
          </w:p>
        </w:tc>
        <w:tc>
          <w:tcPr>
            <w:tcW w:type="dxa" w:w="3024"/>
            <w:vAlign w:val="center"/>
            <w:shd w:fill="F3F6F8"/>
          </w:tcPr>
          <w:p>
            <w:pPr>
              <w:spacing w:after="30"/>
            </w:pPr>
            <w:r>
              <w:rPr>
                <w:rFonts w:ascii="Times New Roman" w:hAnsi="Times New Roman" w:cs="Times New Roman" w:eastAsia="Times New Roman"/>
                <w:b w:val="0"/>
                <w:sz w:val="17"/>
              </w:rPr>
              <w:t>Recoupement direct ou scénario conservateur explicite</w:t>
            </w:r>
          </w:p>
        </w:tc>
      </w:tr>
      <w:tr>
        <w:trPr>
          <w:cantSplit/>
        </w:trPr>
        <w:tc>
          <w:tcPr>
            <w:tcW w:type="dxa" w:w="3024"/>
            <w:vAlign w:val="center"/>
          </w:tcPr>
          <w:p>
            <w:pPr>
              <w:spacing w:after="30"/>
            </w:pPr>
            <w:r>
              <w:rPr>
                <w:rFonts w:ascii="Times New Roman" w:hAnsi="Times New Roman" w:cs="Times New Roman" w:eastAsia="Times New Roman"/>
                <w:b w:val="0"/>
                <w:sz w:val="17"/>
              </w:rPr>
              <w:t>Les matériaux sont-ils compatibles avec l’exposition ?</w:t>
            </w:r>
          </w:p>
        </w:tc>
        <w:tc>
          <w:tcPr>
            <w:tcW w:type="dxa" w:w="3024"/>
            <w:vAlign w:val="center"/>
          </w:tcPr>
          <w:p>
            <w:pPr>
              <w:spacing w:after="30"/>
            </w:pPr>
            <w:r>
              <w:rPr>
                <w:rFonts w:ascii="Times New Roman" w:hAnsi="Times New Roman" w:cs="Times New Roman" w:eastAsia="Times New Roman"/>
                <w:b w:val="0"/>
                <w:sz w:val="17"/>
              </w:rPr>
              <w:t>Analyses sol–eau et identification des contacts</w:t>
            </w:r>
          </w:p>
        </w:tc>
        <w:tc>
          <w:tcPr>
            <w:tcW w:type="dxa" w:w="3024"/>
            <w:vAlign w:val="center"/>
          </w:tcPr>
          <w:p>
            <w:pPr>
              <w:spacing w:after="30"/>
            </w:pPr>
            <w:r>
              <w:rPr>
                <w:rFonts w:ascii="Times New Roman" w:hAnsi="Times New Roman" w:cs="Times New Roman" w:eastAsia="Times New Roman"/>
                <w:b w:val="0"/>
                <w:sz w:val="17"/>
              </w:rPr>
              <w:t>Méthodes, unités, saisons et classes d’exposition</w:t>
            </w:r>
          </w:p>
        </w:tc>
      </w:tr>
      <w:tr>
        <w:trPr>
          <w:cantSplit/>
        </w:trPr>
        <w:tc>
          <w:tcPr>
            <w:tcW w:type="dxa" w:w="3024"/>
            <w:vAlign w:val="center"/>
            <w:shd w:fill="F3F6F8"/>
          </w:tcPr>
          <w:p>
            <w:pPr>
              <w:spacing w:after="30"/>
            </w:pPr>
            <w:r>
              <w:rPr>
                <w:rFonts w:ascii="Times New Roman" w:hAnsi="Times New Roman" w:cs="Times New Roman" w:eastAsia="Times New Roman"/>
                <w:b w:val="0"/>
                <w:sz w:val="17"/>
              </w:rPr>
              <w:t>La qualité d’exécution correspond-elle au modèle ?</w:t>
            </w:r>
          </w:p>
        </w:tc>
        <w:tc>
          <w:tcPr>
            <w:tcW w:type="dxa" w:w="3024"/>
            <w:vAlign w:val="center"/>
            <w:shd w:fill="F3F6F8"/>
          </w:tcPr>
          <w:p>
            <w:pPr>
              <w:spacing w:after="30"/>
            </w:pPr>
            <w:r>
              <w:rPr>
                <w:rFonts w:ascii="Times New Roman" w:hAnsi="Times New Roman" w:cs="Times New Roman" w:eastAsia="Times New Roman"/>
                <w:b w:val="0"/>
                <w:sz w:val="17"/>
              </w:rPr>
              <w:t>Enregistrements, inspection, essais et contrôles</w:t>
            </w:r>
          </w:p>
        </w:tc>
        <w:tc>
          <w:tcPr>
            <w:tcW w:type="dxa" w:w="3024"/>
            <w:vAlign w:val="center"/>
            <w:shd w:fill="F3F6F8"/>
          </w:tcPr>
          <w:p>
            <w:pPr>
              <w:spacing w:after="30"/>
            </w:pPr>
            <w:r>
              <w:rPr>
                <w:rFonts w:ascii="Times New Roman" w:hAnsi="Times New Roman" w:cs="Times New Roman" w:eastAsia="Times New Roman"/>
                <w:b w:val="0"/>
                <w:sz w:val="17"/>
              </w:rPr>
              <w:t>Critères d’acceptation et traitement des écarts</w:t>
            </w:r>
          </w:p>
        </w:tc>
      </w:tr>
    </w:tbl>
    <w:p>
      <w:pPr>
        <w:spacing w:after="20"/>
      </w:pPr>
    </w:p>
    <w:p>
      <w:pPr>
        <w:pStyle w:val="Heading2"/>
      </w:pPr>
      <w:r>
        <w:rPr>
          <w:rFonts w:ascii="Times New Roman" w:hAnsi="Times New Roman" w:cs="Times New Roman" w:eastAsia="Times New Roman"/>
          <w:b/>
          <w:color w:val="1F4E79"/>
          <w:sz w:val="24"/>
        </w:rPr>
        <w:t>A.4 Structure d’un compte rendu d’investigation</w:t>
      </w:r>
    </w:p>
    <w:p>
      <w:pPr>
        <w:jc w:val="both"/>
      </w:pPr>
      <w:r>
        <w:rPr>
          <w:rFonts w:ascii="Times New Roman" w:hAnsi="Times New Roman" w:cs="Times New Roman" w:eastAsia="Times New Roman"/>
          <w:b w:val="0"/>
          <w:sz w:val="24"/>
        </w:rPr>
        <w:t>Chaque opération est décrite avec un identifiant stable. La localisation comprend les coordonnées, l’altitude, le système de référence et la date. Le compte rendu précise l’équipement, la méthode, les conditions d’accès, les incidents et les personnes responsables. Les enregistrements bruts sont associés à l’identifiant et non seulement à une feuille de synthèse.</w:t>
      </w:r>
    </w:p>
    <w:p>
      <w:pPr>
        <w:jc w:val="both"/>
      </w:pPr>
      <w:r>
        <w:rPr>
          <w:rFonts w:ascii="Times New Roman" w:hAnsi="Times New Roman" w:cs="Times New Roman" w:eastAsia="Times New Roman"/>
          <w:b w:val="0"/>
          <w:sz w:val="24"/>
        </w:rPr>
        <w:t>Pour un sondage, les logs indiquent les profondeurs, les lithologies, les échantillons, les refus, les venues d’eau et les pertes. Pour un essai in situ, les zéros, les étalonnages et les corrections sont conservés. Pour un échantillon, l’état à la réception, la conservation et les essais affectés sont documentés.</w:t>
      </w:r>
    </w:p>
    <w:p>
      <w:pPr>
        <w:jc w:val="both"/>
      </w:pPr>
      <w:r>
        <w:rPr>
          <w:rFonts w:ascii="Times New Roman" w:hAnsi="Times New Roman" w:cs="Times New Roman" w:eastAsia="Times New Roman"/>
          <w:b w:val="0"/>
          <w:sz w:val="24"/>
        </w:rPr>
        <w:t>L’interprétation est séparée de l’observation. Une couche « supposée » n’est pas écrite comme une couche mesurée. Une corrélation indique sa source et son domaine. Les désaccords entre opérateurs ou méthodes sont conservés dans la revue.</w:t>
      </w:r>
    </w:p>
    <w:p>
      <w:pPr>
        <w:pStyle w:val="Heading2"/>
      </w:pPr>
      <w:r>
        <w:rPr>
          <w:rFonts w:ascii="Times New Roman" w:hAnsi="Times New Roman" w:cs="Times New Roman" w:eastAsia="Times New Roman"/>
          <w:b/>
          <w:color w:val="1F4E79"/>
          <w:sz w:val="24"/>
        </w:rPr>
        <w:t>A.5 Revue avant remise du dossier géotechnique</w:t>
      </w:r>
    </w:p>
    <w:p>
      <w:pPr>
        <w:spacing w:after="40"/>
        <w:ind w:left="227" w:hanging="170"/>
      </w:pPr>
      <w:r>
        <w:rPr>
          <w:rFonts w:ascii="Times New Roman" w:hAnsi="Times New Roman" w:cs="Times New Roman" w:eastAsia="Times New Roman"/>
          <w:b w:val="0"/>
          <w:sz w:val="24"/>
        </w:rPr>
        <w:t>• Le modèle de site montre-t-il les appuis, les accès, l’eau et les zones incertaines ?</w:t>
      </w:r>
    </w:p>
    <w:p>
      <w:pPr>
        <w:spacing w:after="40"/>
        <w:ind w:left="227" w:hanging="170"/>
      </w:pPr>
      <w:r>
        <w:rPr>
          <w:rFonts w:ascii="Times New Roman" w:hAnsi="Times New Roman" w:cs="Times New Roman" w:eastAsia="Times New Roman"/>
          <w:b w:val="0"/>
          <w:sz w:val="24"/>
        </w:rPr>
        <w:t>• Chaque paramètre est-il relié à une unité, une méthode, une correction et un état limite ?</w:t>
      </w:r>
    </w:p>
    <w:p>
      <w:pPr>
        <w:spacing w:after="40"/>
        <w:ind w:left="227" w:hanging="170"/>
      </w:pPr>
      <w:r>
        <w:rPr>
          <w:rFonts w:ascii="Times New Roman" w:hAnsi="Times New Roman" w:cs="Times New Roman" w:eastAsia="Times New Roman"/>
          <w:b w:val="0"/>
          <w:sz w:val="24"/>
        </w:rPr>
        <w:t>• Les hypothèses de drainage, de nappe et de géométrie future sont-elles explicites ?</w:t>
      </w:r>
    </w:p>
    <w:p>
      <w:pPr>
        <w:spacing w:after="40"/>
        <w:ind w:left="227" w:hanging="170"/>
      </w:pPr>
      <w:r>
        <w:rPr>
          <w:rFonts w:ascii="Times New Roman" w:hAnsi="Times New Roman" w:cs="Times New Roman" w:eastAsia="Times New Roman"/>
          <w:b w:val="0"/>
          <w:sz w:val="24"/>
        </w:rPr>
        <w:t>• Les investigations insuffisantes sont-elles signalées avec leur conséquence sur la décision ?</w:t>
      </w:r>
    </w:p>
    <w:p>
      <w:pPr>
        <w:spacing w:after="40"/>
        <w:ind w:left="227" w:hanging="170"/>
      </w:pPr>
      <w:r>
        <w:rPr>
          <w:rFonts w:ascii="Times New Roman" w:hAnsi="Times New Roman" w:cs="Times New Roman" w:eastAsia="Times New Roman"/>
          <w:b w:val="0"/>
          <w:sz w:val="24"/>
        </w:rPr>
        <w:t>• Les alternatives de fondation incluent-elles l’exécution, la protection et le suivi ?</w:t>
      </w:r>
    </w:p>
    <w:p>
      <w:pPr>
        <w:spacing w:after="40"/>
        <w:ind w:left="227" w:hanging="170"/>
      </w:pPr>
      <w:r>
        <w:rPr>
          <w:rFonts w:ascii="Times New Roman" w:hAnsi="Times New Roman" w:cs="Times New Roman" w:eastAsia="Times New Roman"/>
          <w:b w:val="0"/>
          <w:sz w:val="24"/>
        </w:rPr>
        <w:t>• Les vérifications utilisent-elles un seul système cohérent de facteurs et de résistances ?</w:t>
      </w:r>
    </w:p>
    <w:p>
      <w:pPr>
        <w:spacing w:after="40"/>
        <w:ind w:left="227" w:hanging="170"/>
      </w:pPr>
      <w:r>
        <w:rPr>
          <w:rFonts w:ascii="Times New Roman" w:hAnsi="Times New Roman" w:cs="Times New Roman" w:eastAsia="Times New Roman"/>
          <w:b w:val="0"/>
          <w:sz w:val="24"/>
        </w:rPr>
        <w:t>• Les critères de déplacement sont-ils validés avec le concepteur de la structure ?</w:t>
      </w:r>
    </w:p>
    <w:p>
      <w:pPr>
        <w:spacing w:after="40"/>
        <w:ind w:left="227" w:hanging="170"/>
      </w:pPr>
      <w:r>
        <w:rPr>
          <w:rFonts w:ascii="Times New Roman" w:hAnsi="Times New Roman" w:cs="Times New Roman" w:eastAsia="Times New Roman"/>
          <w:b w:val="0"/>
          <w:sz w:val="24"/>
        </w:rPr>
        <w:t>• Les exigences de construction sont-elles mesurables et assorties de contrôles ?</w:t>
      </w:r>
    </w:p>
    <w:p>
      <w:pPr>
        <w:spacing w:after="40"/>
        <w:ind w:left="227" w:hanging="170"/>
      </w:pPr>
      <w:r>
        <w:rPr>
          <w:rFonts w:ascii="Times New Roman" w:hAnsi="Times New Roman" w:cs="Times New Roman" w:eastAsia="Times New Roman"/>
          <w:b w:val="0"/>
          <w:sz w:val="24"/>
        </w:rPr>
        <w:t>• Les mesures d’alerte et les responsabilités sont-elles définies avant travaux ?</w:t>
      </w:r>
    </w:p>
    <w:p>
      <w:pPr>
        <w:spacing w:after="40"/>
        <w:ind w:left="227" w:hanging="170"/>
      </w:pPr>
      <w:r>
        <w:rPr>
          <w:rFonts w:ascii="Times New Roman" w:hAnsi="Times New Roman" w:cs="Times New Roman" w:eastAsia="Times New Roman"/>
          <w:b w:val="0"/>
          <w:sz w:val="24"/>
        </w:rPr>
        <w:t>• Un tiers peut-il reproduire les calculs à partir des données et références fournies ?</w:t>
      </w:r>
    </w:p>
    <w:p>
      <w:pPr>
        <w:sectPr>
          <w:headerReference w:type="default" r:id="rId112"/>
          <w:footerReference w:type="default" r:id="rId113"/>
          <w:headerReference w:type="first" r:id="rId114"/>
          <w:footerReference w:type="first" r:id="rId115"/>
          <w:pgSz w:w="11906" w:h="16838"/>
          <w:pgMar w:top="1417" w:right="1417" w:bottom="1417" w:left="1417" w:header="454" w:footer="454" w:gutter="0"/>
          <w:cols w:space="720"/>
          <w:titlePg/>
          <w:docGrid w:linePitch="360"/>
        </w:sectPr>
      </w:pPr>
    </w:p>
    <w:p>
      <w:pPr>
        <w:pStyle w:val="Heading1"/>
        <w:jc w:val="left"/>
        <w:pBdr>
          <w:bottom w:val="single" w:sz="8" w:color="1F4E79"/>
        </w:pBdr>
      </w:pPr>
      <w:r>
        <w:rPr>
          <w:rFonts w:ascii="Times New Roman" w:hAnsi="Times New Roman" w:cs="Times New Roman" w:eastAsia="Times New Roman"/>
          <w:b/>
          <w:color w:val="1F4E79"/>
          <w:sz w:val="28"/>
        </w:rPr>
        <w:t>ANNEXE B — FORMULES, UNITÉS ET CONTRÔLES DE COHÉRENCE</w:t>
      </w:r>
    </w:p>
    <w:p>
      <w:pPr>
        <w:pStyle w:val="Heading2"/>
      </w:pPr>
      <w:r>
        <w:rPr>
          <w:rFonts w:ascii="Times New Roman" w:hAnsi="Times New Roman" w:cs="Times New Roman" w:eastAsia="Times New Roman"/>
          <w:b/>
          <w:color w:val="1F4E79"/>
          <w:sz w:val="24"/>
        </w:rPr>
        <w:t>B.1 Règles d’écriture</w:t>
      </w:r>
    </w:p>
    <w:p>
      <w:pPr>
        <w:jc w:val="both"/>
      </w:pPr>
      <w:r>
        <w:rPr>
          <w:rFonts w:ascii="Times New Roman" w:hAnsi="Times New Roman" w:cs="Times New Roman" w:eastAsia="Times New Roman"/>
          <w:b w:val="0"/>
          <w:sz w:val="24"/>
        </w:rPr>
        <w:t>Une équation est accompagnée de son domaine, de ses variables et de ses unités. Les grandeurs effectives et totales ne sont pas mélangées. Les pourcentages et les rapports sont distingués : une énergie de 60 % correspond à un rapport de 0,60 dans une formule qui attend un rapport sans dimension.</w:t>
      </w:r>
    </w:p>
    <w:p>
      <w:pPr>
        <w:jc w:val="both"/>
      </w:pPr>
      <w:r>
        <w:rPr>
          <w:rFonts w:ascii="Times New Roman" w:hAnsi="Times New Roman" w:cs="Times New Roman" w:eastAsia="Times New Roman"/>
          <w:b w:val="0"/>
          <w:sz w:val="24"/>
        </w:rPr>
        <w:t>Les indices et exposants sont vérifiés par analyse dimensionnelle. Les expressions empiriques peuvent toutefois dépendre d’un système d’unités imposé par leur source ; dans ce cas, le système est indiqué et aucune conversion implicite n’est effectuée.</w:t>
      </w:r>
    </w:p>
    <w:p>
      <w:bookmarkStart w:id="118" w:name="BM_TABB_1"/>
      <w:pPr>
        <w:keepNext/>
        <w:jc w:val="center"/>
      </w:pPr>
      <w:r>
        <w:rPr>
          <w:rFonts w:ascii="Times New Roman" w:hAnsi="Times New Roman" w:cs="Times New Roman" w:eastAsia="Times New Roman"/>
          <w:b/>
          <w:sz w:val="20"/>
        </w:rPr>
        <w:t>Tableau B.1 — Contrôles rapides des relations utilisées dans le mémoire</w:t>
      </w:r>
      <w:bookmarkEnd w:id="118"/>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68"/>
            <w:vAlign w:val="center"/>
            <w:shd w:fill="1F4E79"/>
          </w:tcPr>
          <w:p>
            <w:pPr>
              <w:spacing w:after="30"/>
            </w:pPr>
            <w:r>
              <w:rPr>
                <w:rFonts w:ascii="Times New Roman" w:hAnsi="Times New Roman" w:cs="Times New Roman" w:eastAsia="Times New Roman"/>
                <w:b/>
                <w:color w:val="FFFFFF"/>
                <w:sz w:val="17"/>
              </w:rPr>
              <w:t>Relation</w:t>
            </w:r>
          </w:p>
        </w:tc>
        <w:tc>
          <w:tcPr>
            <w:tcW w:type="dxa" w:w="2268"/>
            <w:vAlign w:val="center"/>
            <w:shd w:fill="1F4E79"/>
          </w:tcPr>
          <w:p>
            <w:pPr>
              <w:spacing w:after="30"/>
            </w:pPr>
            <w:r>
              <w:rPr>
                <w:rFonts w:ascii="Times New Roman" w:hAnsi="Times New Roman" w:cs="Times New Roman" w:eastAsia="Times New Roman"/>
                <w:b/>
                <w:color w:val="FFFFFF"/>
                <w:sz w:val="17"/>
              </w:rPr>
              <w:t>Contrôle dimensionnel ou de domaine</w:t>
            </w:r>
          </w:p>
        </w:tc>
        <w:tc>
          <w:tcPr>
            <w:tcW w:type="dxa" w:w="4535"/>
            <w:vAlign w:val="center"/>
            <w:shd w:fill="1F4E79"/>
          </w:tcPr>
          <w:p>
            <w:pPr>
              <w:spacing w:after="30"/>
            </w:pPr>
            <w:r>
              <w:rPr>
                <w:rFonts w:ascii="Times New Roman" w:hAnsi="Times New Roman" w:cs="Times New Roman" w:eastAsia="Times New Roman"/>
                <w:b/>
                <w:color w:val="FFFFFF"/>
                <w:sz w:val="17"/>
              </w:rPr>
              <w:t>Vigilance</w:t>
            </w:r>
          </w:p>
        </w:tc>
      </w:tr>
      <w:tr>
        <w:trPr>
          <w:cantSplit/>
        </w:trPr>
        <w:tc>
          <w:tcPr>
            <w:tcW w:type="dxa" w:w="2268"/>
            <w:vAlign w:val="center"/>
          </w:tcPr>
          <w:p>
            <w:pPr>
              <w:spacing w:after="30"/>
            </w:pPr>
            <w:r>
              <w:rPr>
                <w:rFonts w:ascii="Times New Roman" w:hAnsi="Times New Roman" w:cs="Times New Roman" w:eastAsia="Times New Roman"/>
                <w:b w:val="0"/>
                <w:sz w:val="17"/>
              </w:rPr>
              <w:t>q = k i A</w:t>
            </w:r>
          </w:p>
        </w:tc>
        <w:tc>
          <w:tcPr>
            <w:tcW w:type="dxa" w:w="2268"/>
            <w:vAlign w:val="center"/>
          </w:tcPr>
          <w:p>
            <w:pPr>
              <w:spacing w:after="30"/>
            </w:pPr>
            <w:r>
              <w:rPr>
                <w:rFonts w:ascii="Times New Roman" w:hAnsi="Times New Roman" w:cs="Times New Roman" w:eastAsia="Times New Roman"/>
                <w:b w:val="0"/>
                <w:sz w:val="17"/>
              </w:rPr>
              <w:t>q en volume/temps, k en longueur/temps, i sans dimension et A en aire</w:t>
            </w:r>
          </w:p>
        </w:tc>
        <w:tc>
          <w:tcPr>
            <w:tcW w:type="dxa" w:w="4535"/>
            <w:vAlign w:val="center"/>
          </w:tcPr>
          <w:p>
            <w:pPr>
              <w:spacing w:after="30"/>
            </w:pPr>
            <w:r>
              <w:rPr>
                <w:rFonts w:ascii="Times New Roman" w:hAnsi="Times New Roman" w:cs="Times New Roman" w:eastAsia="Times New Roman"/>
                <w:b w:val="0"/>
                <w:sz w:val="17"/>
              </w:rPr>
              <w:t>Loi de Darcy et section traversée cohérentes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i = Δh/L</w:t>
            </w:r>
          </w:p>
        </w:tc>
        <w:tc>
          <w:tcPr>
            <w:tcW w:type="dxa" w:w="2268"/>
            <w:vAlign w:val="center"/>
            <w:shd w:fill="F3F6F8"/>
          </w:tcPr>
          <w:p>
            <w:pPr>
              <w:spacing w:after="30"/>
            </w:pPr>
            <w:r>
              <w:rPr>
                <w:rFonts w:ascii="Times New Roman" w:hAnsi="Times New Roman" w:cs="Times New Roman" w:eastAsia="Times New Roman"/>
                <w:b w:val="0"/>
                <w:sz w:val="17"/>
              </w:rPr>
              <w:t>Charge et longueur dans la même unité</w:t>
            </w:r>
          </w:p>
        </w:tc>
        <w:tc>
          <w:tcPr>
            <w:tcW w:type="dxa" w:w="4535"/>
            <w:vAlign w:val="center"/>
            <w:shd w:fill="F3F6F8"/>
          </w:tcPr>
          <w:p>
            <w:pPr>
              <w:spacing w:after="30"/>
            </w:pPr>
            <w:r>
              <w:rPr>
                <w:rFonts w:ascii="Times New Roman" w:hAnsi="Times New Roman" w:cs="Times New Roman" w:eastAsia="Times New Roman"/>
                <w:b w:val="0"/>
                <w:sz w:val="17"/>
              </w:rPr>
              <w:t>Direction et géométrie de l’écoulement</w:t>
            </w:r>
          </w:p>
        </w:tc>
      </w:tr>
      <w:tr>
        <w:trPr>
          <w:cantSplit/>
        </w:trPr>
        <w:tc>
          <w:tcPr>
            <w:tcW w:type="dxa" w:w="2268"/>
            <w:vAlign w:val="center"/>
          </w:tcPr>
          <w:p>
            <w:pPr>
              <w:spacing w:after="30"/>
            </w:pPr>
            <w:r>
              <w:rPr>
                <w:rFonts w:ascii="Times New Roman" w:hAnsi="Times New Roman" w:cs="Times New Roman" w:eastAsia="Times New Roman"/>
                <w:b w:val="0"/>
                <w:sz w:val="17"/>
              </w:rPr>
              <w:t>N₆₀ = N × ER/60</w:t>
            </w:r>
          </w:p>
        </w:tc>
        <w:tc>
          <w:tcPr>
            <w:tcW w:type="dxa" w:w="2268"/>
            <w:vAlign w:val="center"/>
          </w:tcPr>
          <w:p>
            <w:pPr>
              <w:spacing w:after="30"/>
            </w:pPr>
            <w:r>
              <w:rPr>
                <w:rFonts w:ascii="Times New Roman" w:hAnsi="Times New Roman" w:cs="Times New Roman" w:eastAsia="Times New Roman"/>
                <w:b w:val="0"/>
                <w:sz w:val="17"/>
              </w:rPr>
              <w:t>ER et 60 exprimés dans la même convention de pourcentage</w:t>
            </w:r>
          </w:p>
        </w:tc>
        <w:tc>
          <w:tcPr>
            <w:tcW w:type="dxa" w:w="4535"/>
            <w:vAlign w:val="center"/>
          </w:tcPr>
          <w:p>
            <w:pPr>
              <w:spacing w:after="30"/>
            </w:pPr>
            <w:r>
              <w:rPr>
                <w:rFonts w:ascii="Times New Roman" w:hAnsi="Times New Roman" w:cs="Times New Roman" w:eastAsia="Times New Roman"/>
                <w:b w:val="0"/>
                <w:sz w:val="17"/>
              </w:rPr>
              <w:t>Ne remplace pas les autres corrections SPT</w:t>
            </w:r>
          </w:p>
        </w:tc>
      </w:tr>
      <w:tr>
        <w:trPr>
          <w:cantSplit/>
        </w:trPr>
        <w:tc>
          <w:tcPr>
            <w:tcW w:type="dxa" w:w="2268"/>
            <w:vAlign w:val="center"/>
            <w:shd w:fill="F3F6F8"/>
          </w:tcPr>
          <w:p>
            <w:pPr>
              <w:spacing w:after="30"/>
            </w:pPr>
            <w:r>
              <w:rPr>
                <w:rFonts w:ascii="Times New Roman" w:hAnsi="Times New Roman" w:cs="Times New Roman" w:eastAsia="Times New Roman"/>
                <w:b w:val="0"/>
                <w:sz w:val="17"/>
              </w:rPr>
              <w:t>qt = qc + u₂(1 − a)</w:t>
            </w:r>
          </w:p>
        </w:tc>
        <w:tc>
          <w:tcPr>
            <w:tcW w:type="dxa" w:w="2268"/>
            <w:vAlign w:val="center"/>
            <w:shd w:fill="F3F6F8"/>
          </w:tcPr>
          <w:p>
            <w:pPr>
              <w:spacing w:after="30"/>
            </w:pPr>
            <w:r>
              <w:rPr>
                <w:rFonts w:ascii="Times New Roman" w:hAnsi="Times New Roman" w:cs="Times New Roman" w:eastAsia="Times New Roman"/>
                <w:b w:val="0"/>
                <w:sz w:val="17"/>
              </w:rPr>
              <w:t>Pressions dans la même unité et a sans dimension</w:t>
            </w:r>
          </w:p>
        </w:tc>
        <w:tc>
          <w:tcPr>
            <w:tcW w:type="dxa" w:w="4535"/>
            <w:vAlign w:val="center"/>
            <w:shd w:fill="F3F6F8"/>
          </w:tcPr>
          <w:p>
            <w:pPr>
              <w:spacing w:after="30"/>
            </w:pPr>
            <w:r>
              <w:rPr>
                <w:rFonts w:ascii="Times New Roman" w:hAnsi="Times New Roman" w:cs="Times New Roman" w:eastAsia="Times New Roman"/>
                <w:b w:val="0"/>
                <w:sz w:val="17"/>
              </w:rPr>
              <w:t>Position de u₂ et coefficient de surface du cône</w:t>
            </w:r>
          </w:p>
        </w:tc>
      </w:tr>
      <w:tr>
        <w:trPr>
          <w:cantSplit/>
        </w:trPr>
        <w:tc>
          <w:tcPr>
            <w:tcW w:type="dxa" w:w="2268"/>
            <w:vAlign w:val="center"/>
          </w:tcPr>
          <w:p>
            <w:pPr>
              <w:spacing w:after="30"/>
            </w:pPr>
            <w:r>
              <w:rPr>
                <w:rFonts w:ascii="Times New Roman" w:hAnsi="Times New Roman" w:cs="Times New Roman" w:eastAsia="Times New Roman"/>
                <w:b w:val="0"/>
                <w:sz w:val="17"/>
              </w:rPr>
              <w:t>Fr = V/√(g y)</w:t>
            </w:r>
          </w:p>
        </w:tc>
        <w:tc>
          <w:tcPr>
            <w:tcW w:type="dxa" w:w="2268"/>
            <w:vAlign w:val="center"/>
          </w:tcPr>
          <w:p>
            <w:pPr>
              <w:spacing w:after="30"/>
            </w:pPr>
            <w:r>
              <w:rPr>
                <w:rFonts w:ascii="Times New Roman" w:hAnsi="Times New Roman" w:cs="Times New Roman" w:eastAsia="Times New Roman"/>
                <w:b w:val="0"/>
                <w:sz w:val="17"/>
              </w:rPr>
              <w:t>Vitesse, gravité et profondeur en unités cohérentes</w:t>
            </w:r>
          </w:p>
        </w:tc>
        <w:tc>
          <w:tcPr>
            <w:tcW w:type="dxa" w:w="4535"/>
            <w:vAlign w:val="center"/>
          </w:tcPr>
          <w:p>
            <w:pPr>
              <w:spacing w:after="30"/>
            </w:pPr>
            <w:r>
              <w:rPr>
                <w:rFonts w:ascii="Times New Roman" w:hAnsi="Times New Roman" w:cs="Times New Roman" w:eastAsia="Times New Roman"/>
                <w:b w:val="0"/>
                <w:sz w:val="17"/>
              </w:rPr>
              <w:t>Définition de la profondeur et écoulement représenté</w:t>
            </w:r>
          </w:p>
        </w:tc>
      </w:tr>
      <w:tr>
        <w:trPr>
          <w:cantSplit/>
        </w:trPr>
        <w:tc>
          <w:tcPr>
            <w:tcW w:type="dxa" w:w="2268"/>
            <w:vAlign w:val="center"/>
            <w:shd w:fill="F3F6F8"/>
          </w:tcPr>
          <w:p>
            <w:pPr>
              <w:spacing w:after="30"/>
            </w:pPr>
            <w:r>
              <w:rPr>
                <w:rFonts w:ascii="Times New Roman" w:hAnsi="Times New Roman" w:cs="Times New Roman" w:eastAsia="Times New Roman"/>
                <w:b w:val="0"/>
                <w:sz w:val="17"/>
              </w:rPr>
              <w:t>y_l/y₁ = 2,0 K₁K₂K₃(a/y₁)^0,65 Fr₁^0,43</w:t>
            </w:r>
          </w:p>
        </w:tc>
        <w:tc>
          <w:tcPr>
            <w:tcW w:type="dxa" w:w="2268"/>
            <w:vAlign w:val="center"/>
            <w:shd w:fill="F3F6F8"/>
          </w:tcPr>
          <w:p>
            <w:pPr>
              <w:spacing w:after="30"/>
            </w:pPr>
            <w:r>
              <w:rPr>
                <w:rFonts w:ascii="Times New Roman" w:hAnsi="Times New Roman" w:cs="Times New Roman" w:eastAsia="Times New Roman"/>
                <w:b w:val="0"/>
                <w:sz w:val="17"/>
              </w:rPr>
              <w:t>Rapports sans dimension ; expression HEC-18 pour son domaine</w:t>
            </w:r>
          </w:p>
        </w:tc>
        <w:tc>
          <w:tcPr>
            <w:tcW w:type="dxa" w:w="4535"/>
            <w:vAlign w:val="center"/>
            <w:shd w:fill="F3F6F8"/>
          </w:tcPr>
          <w:p>
            <w:pPr>
              <w:spacing w:after="30"/>
            </w:pPr>
            <w:r>
              <w:rPr>
                <w:rFonts w:ascii="Times New Roman" w:hAnsi="Times New Roman" w:cs="Times New Roman" w:eastAsia="Times New Roman"/>
                <w:b w:val="0"/>
                <w:sz w:val="17"/>
              </w:rPr>
              <w:t>Facteurs K et limites conditionnelles du guide</w:t>
            </w:r>
          </w:p>
        </w:tc>
      </w:tr>
      <w:tr>
        <w:trPr>
          <w:cantSplit/>
        </w:trPr>
        <w:tc>
          <w:tcPr>
            <w:tcW w:type="dxa" w:w="2268"/>
            <w:vAlign w:val="center"/>
          </w:tcPr>
          <w:p>
            <w:pPr>
              <w:spacing w:after="30"/>
            </w:pPr>
            <w:r>
              <w:rPr>
                <w:rFonts w:ascii="Times New Roman" w:hAnsi="Times New Roman" w:cs="Times New Roman" w:eastAsia="Times New Roman"/>
                <w:b w:val="0"/>
                <w:sz w:val="17"/>
              </w:rPr>
              <w:t>ΔH = Σ[Hᵢ(e₀,ᵢ − e₁,ᵢ)/(1 + e₀,ᵢ)]</w:t>
            </w:r>
          </w:p>
        </w:tc>
        <w:tc>
          <w:tcPr>
            <w:tcW w:type="dxa" w:w="2268"/>
            <w:vAlign w:val="center"/>
          </w:tcPr>
          <w:p>
            <w:pPr>
              <w:spacing w:after="30"/>
            </w:pPr>
            <w:r>
              <w:rPr>
                <w:rFonts w:ascii="Times New Roman" w:hAnsi="Times New Roman" w:cs="Times New Roman" w:eastAsia="Times New Roman"/>
                <w:b w:val="0"/>
                <w:sz w:val="17"/>
              </w:rPr>
              <w:t>Hauteurs et indices cohérents par couche</w:t>
            </w:r>
          </w:p>
        </w:tc>
        <w:tc>
          <w:tcPr>
            <w:tcW w:type="dxa" w:w="4535"/>
            <w:vAlign w:val="center"/>
          </w:tcPr>
          <w:p>
            <w:pPr>
              <w:spacing w:after="30"/>
            </w:pPr>
            <w:r>
              <w:rPr>
                <w:rFonts w:ascii="Times New Roman" w:hAnsi="Times New Roman" w:cs="Times New Roman" w:eastAsia="Times New Roman"/>
                <w:b w:val="0"/>
                <w:sz w:val="17"/>
              </w:rPr>
              <w:t>Chemin de contrainte et courbe de compressibilité</w:t>
            </w:r>
          </w:p>
        </w:tc>
      </w:tr>
      <w:tr>
        <w:trPr>
          <w:cantSplit/>
        </w:trPr>
        <w:tc>
          <w:tcPr>
            <w:tcW w:type="dxa" w:w="2268"/>
            <w:vAlign w:val="center"/>
            <w:shd w:fill="F3F6F8"/>
          </w:tcPr>
          <w:p>
            <w:pPr>
              <w:spacing w:after="30"/>
            </w:pPr>
            <w:r>
              <w:rPr>
                <w:rFonts w:ascii="Times New Roman" w:hAnsi="Times New Roman" w:cs="Times New Roman" w:eastAsia="Times New Roman"/>
                <w:b w:val="0"/>
                <w:sz w:val="17"/>
              </w:rPr>
              <w:t>CSR = 0,65(a_max/g)(σ_v0/σ′v0)r_d</w:t>
            </w:r>
          </w:p>
        </w:tc>
        <w:tc>
          <w:tcPr>
            <w:tcW w:type="dxa" w:w="2268"/>
            <w:vAlign w:val="center"/>
            <w:shd w:fill="F3F6F8"/>
          </w:tcPr>
          <w:p>
            <w:pPr>
              <w:spacing w:after="30"/>
            </w:pPr>
            <w:r>
              <w:rPr>
                <w:rFonts w:ascii="Times New Roman" w:hAnsi="Times New Roman" w:cs="Times New Roman" w:eastAsia="Times New Roman"/>
                <w:b w:val="0"/>
                <w:sz w:val="17"/>
              </w:rPr>
              <w:t>Tous les rapports sans dimension</w:t>
            </w:r>
          </w:p>
        </w:tc>
        <w:tc>
          <w:tcPr>
            <w:tcW w:type="dxa" w:w="4535"/>
            <w:vAlign w:val="center"/>
            <w:shd w:fill="F3F6F8"/>
          </w:tcPr>
          <w:p>
            <w:pPr>
              <w:spacing w:after="30"/>
            </w:pPr>
            <w:r>
              <w:rPr>
                <w:rFonts w:ascii="Times New Roman" w:hAnsi="Times New Roman" w:cs="Times New Roman" w:eastAsia="Times New Roman"/>
                <w:b w:val="0"/>
                <w:sz w:val="17"/>
              </w:rPr>
              <w:t>Méthode simplifiée, mouvement de surface et facteur r_d</w:t>
            </w:r>
          </w:p>
        </w:tc>
      </w:tr>
      <w:tr>
        <w:trPr>
          <w:cantSplit/>
        </w:trPr>
        <w:tc>
          <w:tcPr>
            <w:tcW w:type="dxa" w:w="2268"/>
            <w:vAlign w:val="center"/>
          </w:tcPr>
          <w:p>
            <w:pPr>
              <w:spacing w:after="30"/>
            </w:pPr>
            <w:r>
              <w:rPr>
                <w:rFonts w:ascii="Times New Roman" w:hAnsi="Times New Roman" w:cs="Times New Roman" w:eastAsia="Times New Roman"/>
                <w:b w:val="0"/>
                <w:sz w:val="17"/>
              </w:rPr>
              <w:t>qᵤₗₜ = c′N꜀ + q′N_q + 0,5γ′B N_γ</w:t>
            </w:r>
          </w:p>
        </w:tc>
        <w:tc>
          <w:tcPr>
            <w:tcW w:type="dxa" w:w="2268"/>
            <w:vAlign w:val="center"/>
          </w:tcPr>
          <w:p>
            <w:pPr>
              <w:spacing w:after="30"/>
            </w:pPr>
            <w:r>
              <w:rPr>
                <w:rFonts w:ascii="Times New Roman" w:hAnsi="Times New Roman" w:cs="Times New Roman" w:eastAsia="Times New Roman"/>
                <w:b w:val="0"/>
                <w:sz w:val="17"/>
              </w:rPr>
              <w:t>Chaque terme en contrainte</w:t>
            </w:r>
          </w:p>
        </w:tc>
        <w:tc>
          <w:tcPr>
            <w:tcW w:type="dxa" w:w="4535"/>
            <w:vAlign w:val="center"/>
          </w:tcPr>
          <w:p>
            <w:pPr>
              <w:spacing w:after="30"/>
            </w:pPr>
            <w:r>
              <w:rPr>
                <w:rFonts w:ascii="Times New Roman" w:hAnsi="Times New Roman" w:cs="Times New Roman" w:eastAsia="Times New Roman"/>
                <w:b w:val="0"/>
                <w:sz w:val="17"/>
              </w:rPr>
              <w:t>Semelle filante, drainage et formulation des facteurs</w:t>
            </w:r>
          </w:p>
        </w:tc>
      </w:tr>
      <w:tr>
        <w:trPr>
          <w:cantSplit/>
        </w:trPr>
        <w:tc>
          <w:tcPr>
            <w:tcW w:type="dxa" w:w="2268"/>
            <w:vAlign w:val="center"/>
            <w:shd w:fill="F3F6F8"/>
          </w:tcPr>
          <w:p>
            <w:pPr>
              <w:spacing w:after="30"/>
            </w:pPr>
            <w:r>
              <w:rPr>
                <w:rFonts w:ascii="Times New Roman" w:hAnsi="Times New Roman" w:cs="Times New Roman" w:eastAsia="Times New Roman"/>
                <w:b w:val="0"/>
                <w:sz w:val="17"/>
              </w:rPr>
              <w:t>E_d ≤ R_d</w:t>
            </w:r>
          </w:p>
        </w:tc>
        <w:tc>
          <w:tcPr>
            <w:tcW w:type="dxa" w:w="2268"/>
            <w:vAlign w:val="center"/>
            <w:shd w:fill="F3F6F8"/>
          </w:tcPr>
          <w:p>
            <w:pPr>
              <w:spacing w:after="30"/>
            </w:pPr>
            <w:r>
              <w:rPr>
                <w:rFonts w:ascii="Times New Roman" w:hAnsi="Times New Roman" w:cs="Times New Roman" w:eastAsia="Times New Roman"/>
                <w:b w:val="0"/>
                <w:sz w:val="17"/>
              </w:rPr>
              <w:t>Même nature d’effet et de résistance</w:t>
            </w:r>
          </w:p>
        </w:tc>
        <w:tc>
          <w:tcPr>
            <w:tcW w:type="dxa" w:w="4535"/>
            <w:vAlign w:val="center"/>
            <w:shd w:fill="F3F6F8"/>
          </w:tcPr>
          <w:p>
            <w:pPr>
              <w:spacing w:after="30"/>
            </w:pPr>
            <w:r>
              <w:rPr>
                <w:rFonts w:ascii="Times New Roman" w:hAnsi="Times New Roman" w:cs="Times New Roman" w:eastAsia="Times New Roman"/>
                <w:b w:val="0"/>
                <w:sz w:val="17"/>
              </w:rPr>
              <w:t>Facteurs définis par le référentiel, sans double réduction</w:t>
            </w:r>
          </w:p>
        </w:tc>
      </w:tr>
    </w:tbl>
    <w:p>
      <w:pPr>
        <w:spacing w:after="20"/>
      </w:pPr>
    </w:p>
    <w:p>
      <w:pPr>
        <w:pStyle w:val="Heading2"/>
      </w:pPr>
      <w:r>
        <w:rPr>
          <w:rFonts w:ascii="Times New Roman" w:hAnsi="Times New Roman" w:cs="Times New Roman" w:eastAsia="Times New Roman"/>
          <w:b/>
          <w:color w:val="1F4E79"/>
          <w:sz w:val="24"/>
        </w:rPr>
        <w:t>B.2 Distinctions à contrôler dans une revue orale ou écrite</w:t>
      </w:r>
    </w:p>
    <w:p>
      <w:pPr>
        <w:jc w:val="both"/>
      </w:pPr>
      <w:r>
        <w:rPr>
          <w:rFonts w:ascii="Times New Roman" w:hAnsi="Times New Roman" w:cs="Times New Roman" w:eastAsia="Times New Roman"/>
          <w:b/>
          <w:sz w:val="24"/>
        </w:rPr>
        <w:t>Affouillement et érosion interne.</w:t>
      </w:r>
      <w:r>
        <w:rPr>
          <w:rFonts w:ascii="Times New Roman" w:hAnsi="Times New Roman" w:cs="Times New Roman" w:eastAsia="Times New Roman"/>
          <w:b w:val="0"/>
          <w:sz w:val="24"/>
        </w:rPr>
        <w:t xml:space="preserve"> L’affouillement retire ou déplace les matériaux du lit et des berges sous l’action de l’écoulement et du transport solide. L’érosion interne concerne le transport de particules dans un sol, à une interface ou le long d’une discontinuité sous l’effet d’un écoulement interne. Le renard est un mécanisme d’érosion interne, pas un synonyme de l’affouillement.</w:t>
      </w:r>
    </w:p>
    <w:p>
      <w:pPr>
        <w:jc w:val="both"/>
      </w:pPr>
      <w:r>
        <w:rPr>
          <w:rFonts w:ascii="Times New Roman" w:hAnsi="Times New Roman" w:cs="Times New Roman" w:eastAsia="Times New Roman"/>
          <w:b/>
          <w:sz w:val="24"/>
        </w:rPr>
        <w:t>TCR et RQD.</w:t>
      </w:r>
      <w:r>
        <w:rPr>
          <w:rFonts w:ascii="Times New Roman" w:hAnsi="Times New Roman" w:cs="Times New Roman" w:eastAsia="Times New Roman"/>
          <w:b w:val="0"/>
          <w:sz w:val="24"/>
        </w:rPr>
        <w:t xml:space="preserve"> Le TCR mesure la longueur totale récupérée par rapport à la longueur carottée. Le RQD ne retient que les morceaux sains de roche dont la longueur dépasse le seuil défini par la méthode, avec des règles de mesure et de qualité de carottage. Une récupération élevée peut inclure des fragments qui ne comptent pas dans le RQD.</w:t>
      </w:r>
    </w:p>
    <w:p>
      <w:pPr>
        <w:jc w:val="both"/>
      </w:pPr>
      <w:r>
        <w:rPr>
          <w:rFonts w:ascii="Times New Roman" w:hAnsi="Times New Roman" w:cs="Times New Roman" w:eastAsia="Times New Roman"/>
          <w:b/>
          <w:sz w:val="24"/>
        </w:rPr>
        <w:t>Vp et Vs.</w:t>
      </w:r>
      <w:r>
        <w:rPr>
          <w:rFonts w:ascii="Times New Roman" w:hAnsi="Times New Roman" w:cs="Times New Roman" w:eastAsia="Times New Roman"/>
          <w:b w:val="0"/>
          <w:sz w:val="24"/>
        </w:rPr>
        <w:t xml:space="preserve"> Une méthode fondée sur les ondes de compression estime Vp dans son modèle. Elle ne fournit pas directement la vitesse de cisaillement Vs. Cette dernière nécessite une mesure ou une interprétation adaptée, par exemple par ondes de surface ou par dispositifs en forage.</w:t>
      </w:r>
    </w:p>
    <w:p>
      <w:pPr>
        <w:jc w:val="both"/>
      </w:pPr>
      <w:r>
        <w:rPr>
          <w:rFonts w:ascii="Times New Roman" w:hAnsi="Times New Roman" w:cs="Times New Roman" w:eastAsia="Times New Roman"/>
          <w:b/>
          <w:sz w:val="24"/>
        </w:rPr>
        <w:t>Porosité et perméabilité.</w:t>
      </w:r>
      <w:r>
        <w:rPr>
          <w:rFonts w:ascii="Times New Roman" w:hAnsi="Times New Roman" w:cs="Times New Roman" w:eastAsia="Times New Roman"/>
          <w:b w:val="0"/>
          <w:sz w:val="24"/>
        </w:rPr>
        <w:t xml:space="preserve"> La porosité décrit la proportion de vides ; la perméabilité décrit la capacité à laisser circuler un fluide selon une loi et des conditions données. Deux matériaux de porosité comparable peuvent avoir des perméabilités très différentes.</w:t>
      </w:r>
    </w:p>
    <w:p>
      <w:pPr>
        <w:jc w:val="both"/>
      </w:pPr>
      <w:r>
        <w:rPr>
          <w:rFonts w:ascii="Times New Roman" w:hAnsi="Times New Roman" w:cs="Times New Roman" w:eastAsia="Times New Roman"/>
          <w:b/>
          <w:sz w:val="24"/>
        </w:rPr>
        <w:t>Mesure et paramètre.</w:t>
      </w:r>
      <w:r>
        <w:rPr>
          <w:rFonts w:ascii="Times New Roman" w:hAnsi="Times New Roman" w:cs="Times New Roman" w:eastAsia="Times New Roman"/>
          <w:b w:val="0"/>
          <w:sz w:val="24"/>
        </w:rPr>
        <w:t xml:space="preserve"> Le nombre N du SPT, la résistance qc du CPT et une pression pressiométrique sont des résultats d’essai. Les paramètres c′, φ′, cu ou E sont interprétés avec des modèles et des hypothèses. Les deux niveaux doivent rester identifiables.</w:t>
      </w:r>
    </w:p>
    <w:p>
      <w:pPr>
        <w:jc w:val="both"/>
      </w:pPr>
      <w:r>
        <w:rPr>
          <w:rFonts w:ascii="Times New Roman" w:hAnsi="Times New Roman" w:cs="Times New Roman" w:eastAsia="Times New Roman"/>
          <w:b/>
          <w:sz w:val="24"/>
        </w:rPr>
        <w:t>Valeur caractéristique et valeur de calcul.</w:t>
      </w:r>
      <w:r>
        <w:rPr>
          <w:rFonts w:ascii="Times New Roman" w:hAnsi="Times New Roman" w:cs="Times New Roman" w:eastAsia="Times New Roman"/>
          <w:b w:val="0"/>
          <w:sz w:val="24"/>
        </w:rPr>
        <w:t xml:space="preserve"> La première est choisie pour l’état limite et le volume concernés ; la seconde résulte de l’application du référentiel. Une résistance déjà exprimée comme valeur de calcul n’est pas réduite une seconde fois.</w:t>
      </w:r>
    </w:p>
    <w:p>
      <w:pPr>
        <w:jc w:val="both"/>
      </w:pPr>
      <w:r>
        <w:rPr>
          <w:rFonts w:ascii="Times New Roman" w:hAnsi="Times New Roman" w:cs="Times New Roman" w:eastAsia="Times New Roman"/>
          <w:b/>
          <w:sz w:val="24"/>
        </w:rPr>
        <w:t>Source primaire et source secondaire.</w:t>
      </w:r>
      <w:r>
        <w:rPr>
          <w:rFonts w:ascii="Times New Roman" w:hAnsi="Times New Roman" w:cs="Times New Roman" w:eastAsia="Times New Roman"/>
          <w:b w:val="0"/>
          <w:sz w:val="24"/>
        </w:rPr>
        <w:t xml:space="preserve"> Un arrêté officialise un document et ses dispositions d’application ; il ne remplace pas le texte technique annexé. Un article de presse signale un événement ; il ne remplace pas un rapport d’expertise pour établir un mécanisme.</w:t>
      </w:r>
    </w:p>
    <w:p>
      <w:pPr>
        <w:pStyle w:val="Heading2"/>
      </w:pPr>
      <w:r>
        <w:rPr>
          <w:rFonts w:ascii="Times New Roman" w:hAnsi="Times New Roman" w:cs="Times New Roman" w:eastAsia="Times New Roman"/>
          <w:b/>
          <w:color w:val="1F4E79"/>
          <w:sz w:val="24"/>
        </w:rPr>
        <w:t>B.3 Contrôle des tableaux et figures</w:t>
      </w:r>
    </w:p>
    <w:p>
      <w:pPr>
        <w:jc w:val="both"/>
      </w:pPr>
      <w:r>
        <w:rPr>
          <w:rFonts w:ascii="Times New Roman" w:hAnsi="Times New Roman" w:cs="Times New Roman" w:eastAsia="Times New Roman"/>
          <w:b w:val="0"/>
          <w:sz w:val="24"/>
        </w:rPr>
        <w:t>Chaque figure possède un numéro, un titre et une source. Les schémas originaux sont identifiés comme tels et ne doivent pas être interprétés comme des coupes mesurées. Les dimensions normatives ne sont pas ajoutées à un dessin qualitatif. Les cartes et profils d’un projet réel doivent comporter orientation, échelle ou indication de non-échelle, unités et références de cotes.</w:t>
      </w:r>
    </w:p>
    <w:p>
      <w:pPr>
        <w:jc w:val="both"/>
      </w:pPr>
      <w:r>
        <w:rPr>
          <w:rFonts w:ascii="Times New Roman" w:hAnsi="Times New Roman" w:cs="Times New Roman" w:eastAsia="Times New Roman"/>
          <w:b w:val="0"/>
          <w:sz w:val="24"/>
        </w:rPr>
        <w:t>Chaque tableau possède un titre, des en-têtes et des unités lorsque des grandeurs sont présentées. Les cellules vides sont expliquées. Les valeurs copiées d’une source sont vérifiées dans leur contexte et non dans un tableau secondaire qui les aurait déjà simplifiées.</w:t>
      </w:r>
    </w:p>
    <w:p>
      <w:pPr>
        <w:pStyle w:val="Heading2"/>
      </w:pPr>
      <w:r>
        <w:rPr>
          <w:rFonts w:ascii="Times New Roman" w:hAnsi="Times New Roman" w:cs="Times New Roman" w:eastAsia="Times New Roman"/>
          <w:b/>
          <w:color w:val="1F4E79"/>
          <w:sz w:val="24"/>
        </w:rPr>
        <w:t>B.4 Contrôle final de cohérence scientifique</w:t>
      </w:r>
    </w:p>
    <w:p>
      <w:pPr>
        <w:jc w:val="both"/>
      </w:pPr>
      <w:r>
        <w:rPr>
          <w:rFonts w:ascii="Times New Roman" w:hAnsi="Times New Roman" w:cs="Times New Roman" w:eastAsia="Times New Roman"/>
          <w:b w:val="0"/>
          <w:sz w:val="24"/>
        </w:rPr>
        <w:t>Avant diffusion, le lecteur vérifie que les mêmes termes désignent les mêmes objets dans tout le document. Les sigles sont définis, les références appelées dans le texte figurent dans la bibliographie et les notices non utilisées sont retirées. Les exemples locaux ne sont pas présentés comme des règles universelles.</w:t>
      </w:r>
    </w:p>
    <w:p>
      <w:pPr>
        <w:jc w:val="both"/>
      </w:pPr>
      <w:r>
        <w:rPr>
          <w:rFonts w:ascii="Times New Roman" w:hAnsi="Times New Roman" w:cs="Times New Roman" w:eastAsia="Times New Roman"/>
          <w:b w:val="0"/>
          <w:sz w:val="24"/>
        </w:rPr>
        <w:t>Le lecteur recherche enfin les formulations absolues : « toujours », « jamais », « systématiquement », « premier facteur » ou « valeur admissible unique ». Elles ne sont conservées que si une définition, une démonstration ou un texte applicable les justifie. Cette revue stylistique est aussi une revue scientifique, car elle empêche une hypothèse limitée de devenir une règle non fondée.</w:t>
      </w:r>
    </w:p>
    <w:sectPr w:rsidR="00FC693F" w:rsidRPr="0006063C" w:rsidSect="00034616">
      <w:headerReference w:type="default" r:id="rId116"/>
      <w:footerReference w:type="default" r:id="rId117"/>
      <w:headerReference w:type="first" r:id="rId118"/>
      <w:footerReference w:type="first" r:id="rId119"/>
      <w:pgSz w:w="11906" w:h="16838"/>
      <w:pgMar w:top="1417" w:right="1417" w:bottom="1417"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Particularités de la reconnaissance géotechnique des ponts — version révisée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INTRODUCTION GÉNÉRALE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I — ÉVOLUTION DES PONTS ET EXIGENCES GÉOTECHNIQUES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II — MODÈLE GÉOLOGIQUE, HYDROGÉOLOGIQUE ET FLUVIAL DU SITE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III — INVESTIGATIONS ET ESSAIS : PROGRAMME ADAPTATIF ET CHOIX DES MÉTHODES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IV — MÉCANISMES DE RISQUE ET VULNÉRABILITÉ DES PONTS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V — INTERPRÉTATION DES DONNÉES ET DÉCISIONS DE FONDATION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CHAPITRE VI — APPLICATION MÉTHODOLOGIQUE AU CONTEXTE ALGÉRIEN ET SYNTHÈSE MULTIDISCIPLINAIRE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CONCLUSION GÉNÉRALE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BIBLIOGRAPHIE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ANNEXE A — AIDE-MÉMOIRE POUR UN PROJET DE PONT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color w:val="59636B"/>
        <w:sz w:val="18"/>
      </w:rPr>
      <w:t>ANNEXE B — FORMULES, UNITÉS ET CONTRÔLES DE COHÉRENCE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2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header" Target="header7.xml"/><Relationship Id="rId36" Type="http://schemas.openxmlformats.org/officeDocument/2006/relationships/footer" Target="footer7.xml"/><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header" Target="header8.xml"/><Relationship Id="rId48" Type="http://schemas.openxmlformats.org/officeDocument/2006/relationships/footer" Target="footer8.xml"/><Relationship Id="rId49" Type="http://schemas.openxmlformats.org/officeDocument/2006/relationships/header" Target="header9.xml"/><Relationship Id="rId50" Type="http://schemas.openxmlformats.org/officeDocument/2006/relationships/footer" Target="footer9.xml"/><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header" Target="header10.xml"/><Relationship Id="rId67" Type="http://schemas.openxmlformats.org/officeDocument/2006/relationships/footer" Target="footer10.xml"/><Relationship Id="rId68" Type="http://schemas.openxmlformats.org/officeDocument/2006/relationships/header" Target="header11.xml"/><Relationship Id="rId69" Type="http://schemas.openxmlformats.org/officeDocument/2006/relationships/footer" Target="footer11.xml"/><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image" Target="media/image46.png"/><Relationship Id="rId77" Type="http://schemas.openxmlformats.org/officeDocument/2006/relationships/image" Target="media/image47.png"/><Relationship Id="rId78" Type="http://schemas.openxmlformats.org/officeDocument/2006/relationships/image" Target="media/image48.png"/><Relationship Id="rId79" Type="http://schemas.openxmlformats.org/officeDocument/2006/relationships/image" Target="media/image49.png"/><Relationship Id="rId80" Type="http://schemas.openxmlformats.org/officeDocument/2006/relationships/image" Target="media/image50.png"/><Relationship Id="rId81" Type="http://schemas.openxmlformats.org/officeDocument/2006/relationships/header" Target="header12.xml"/><Relationship Id="rId82" Type="http://schemas.openxmlformats.org/officeDocument/2006/relationships/footer" Target="footer12.xml"/><Relationship Id="rId83" Type="http://schemas.openxmlformats.org/officeDocument/2006/relationships/header" Target="header13.xml"/><Relationship Id="rId84" Type="http://schemas.openxmlformats.org/officeDocument/2006/relationships/footer" Target="footer13.xml"/><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image" Target="media/image57.png"/><Relationship Id="rId92" Type="http://schemas.openxmlformats.org/officeDocument/2006/relationships/image" Target="media/image58.png"/><Relationship Id="rId93" Type="http://schemas.openxmlformats.org/officeDocument/2006/relationships/image" Target="media/image59.png"/><Relationship Id="rId94" Type="http://schemas.openxmlformats.org/officeDocument/2006/relationships/image" Target="media/image60.png"/><Relationship Id="rId95" Type="http://schemas.openxmlformats.org/officeDocument/2006/relationships/header" Target="header14.xml"/><Relationship Id="rId96" Type="http://schemas.openxmlformats.org/officeDocument/2006/relationships/footer" Target="footer14.xml"/><Relationship Id="rId97" Type="http://schemas.openxmlformats.org/officeDocument/2006/relationships/header" Target="header15.xml"/><Relationship Id="rId98" Type="http://schemas.openxmlformats.org/officeDocument/2006/relationships/footer" Target="footer15.xml"/><Relationship Id="rId99" Type="http://schemas.openxmlformats.org/officeDocument/2006/relationships/image" Target="media/image61.png"/><Relationship Id="rId100" Type="http://schemas.openxmlformats.org/officeDocument/2006/relationships/image" Target="media/image62.png"/><Relationship Id="rId101" Type="http://schemas.openxmlformats.org/officeDocument/2006/relationships/image" Target="media/image63.png"/><Relationship Id="rId102" Type="http://schemas.openxmlformats.org/officeDocument/2006/relationships/image" Target="media/image64.png"/><Relationship Id="rId103" Type="http://schemas.openxmlformats.org/officeDocument/2006/relationships/image" Target="media/image65.png"/><Relationship Id="rId104" Type="http://schemas.openxmlformats.org/officeDocument/2006/relationships/header" Target="header16.xml"/><Relationship Id="rId105" Type="http://schemas.openxmlformats.org/officeDocument/2006/relationships/footer" Target="footer16.xml"/><Relationship Id="rId106" Type="http://schemas.openxmlformats.org/officeDocument/2006/relationships/header" Target="header17.xml"/><Relationship Id="rId107" Type="http://schemas.openxmlformats.org/officeDocument/2006/relationships/footer" Target="footer17.xml"/><Relationship Id="rId108" Type="http://schemas.openxmlformats.org/officeDocument/2006/relationships/header" Target="header18.xml"/><Relationship Id="rId109" Type="http://schemas.openxmlformats.org/officeDocument/2006/relationships/footer" Target="footer18.xml"/><Relationship Id="rId110" Type="http://schemas.openxmlformats.org/officeDocument/2006/relationships/header" Target="header19.xml"/><Relationship Id="rId111" Type="http://schemas.openxmlformats.org/officeDocument/2006/relationships/footer" Target="footer19.xml"/><Relationship Id="rId112" Type="http://schemas.openxmlformats.org/officeDocument/2006/relationships/header" Target="header20.xml"/><Relationship Id="rId113" Type="http://schemas.openxmlformats.org/officeDocument/2006/relationships/footer" Target="footer20.xml"/><Relationship Id="rId114" Type="http://schemas.openxmlformats.org/officeDocument/2006/relationships/header" Target="header21.xml"/><Relationship Id="rId115" Type="http://schemas.openxmlformats.org/officeDocument/2006/relationships/footer" Target="footer21.xml"/><Relationship Id="rId116" Type="http://schemas.openxmlformats.org/officeDocument/2006/relationships/header" Target="header22.xml"/><Relationship Id="rId117" Type="http://schemas.openxmlformats.org/officeDocument/2006/relationships/footer" Target="footer22.xml"/><Relationship Id="rId118" Type="http://schemas.openxmlformats.org/officeDocument/2006/relationships/header" Target="header23.xml"/><Relationship Id="rId119"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Particularités de la reconnaissance géotechnique des ponts — version révisée</dc:title>
  <dc:subject>Étude bibliographique — version révisée et traçable</dc:subject>
  <dc:creator>BERKANE Dhiyaddine</dc:creator>
  <cp:keywords/>
  <dc:description>generated by python-docx</dc:description>
  <cp:lastModifiedBy/>
  <cp:revision>1</cp:revision>
  <dcterms:created xsi:type="dcterms:W3CDTF">2013-12-23T23:15:00Z</dcterms:created>
  <dcterms:modified xsi:type="dcterms:W3CDTF">2013-12-23T23:15:00Z</dcterms:modified>
  <cp:category/>
</cp:coreProperties>
</file>