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08AE1E" w14:textId="77777777" w:rsidR="00D91588" w:rsidRPr="00187194" w:rsidRDefault="00D91588" w:rsidP="00D91588">
      <w:pPr>
        <w:spacing w:line="360" w:lineRule="auto"/>
        <w:jc w:val="center"/>
        <w:rPr>
          <w:rFonts w:ascii="微软雅黑" w:eastAsia="微软雅黑" w:hAnsi="微软雅黑"/>
          <w:b/>
          <w:bCs/>
          <w:sz w:val="24"/>
          <w:szCs w:val="24"/>
        </w:rPr>
      </w:pPr>
      <w:r>
        <w:rPr>
          <w:rFonts w:ascii="微软雅黑" w:eastAsia="微软雅黑" w:hAnsi="微软雅黑" w:hint="eastAsia"/>
          <w:b/>
          <w:bCs/>
          <w:sz w:val="24"/>
          <w:szCs w:val="24"/>
        </w:rPr>
        <w:t>专利技术交底书</w:t>
      </w:r>
    </w:p>
    <w:p w14:paraId="310C975B" w14:textId="77777777" w:rsidR="00D91588" w:rsidRPr="00D36B32" w:rsidRDefault="00D91588" w:rsidP="00D91588">
      <w:pPr>
        <w:autoSpaceDN w:val="0"/>
        <w:jc w:val="left"/>
        <w:textAlignment w:val="center"/>
        <w:rPr>
          <w:rFonts w:ascii="微软雅黑" w:eastAsia="微软雅黑" w:hAnsi="微软雅黑"/>
          <w:b/>
          <w:bCs/>
          <w:color w:val="000000"/>
          <w:sz w:val="18"/>
          <w:szCs w:val="18"/>
        </w:rPr>
      </w:pPr>
      <w:r>
        <w:rPr>
          <w:rFonts w:ascii="微软雅黑" w:eastAsia="微软雅黑" w:hAnsi="微软雅黑" w:hint="eastAsia"/>
          <w:b/>
          <w:bCs/>
          <w:color w:val="FF0000"/>
          <w:sz w:val="18"/>
          <w:szCs w:val="18"/>
        </w:rPr>
        <w:t>标注 *</w:t>
      </w:r>
      <w:r>
        <w:rPr>
          <w:rFonts w:ascii="微软雅黑" w:eastAsia="微软雅黑" w:hAnsi="微软雅黑"/>
          <w:b/>
          <w:bCs/>
          <w:color w:val="FF0000"/>
          <w:sz w:val="18"/>
          <w:szCs w:val="18"/>
        </w:rPr>
        <w:t xml:space="preserve"> </w:t>
      </w:r>
      <w:r>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91588" w:rsidRPr="003164E3" w14:paraId="17FEB49D" w14:textId="77777777" w:rsidTr="00625384">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4B174B76" w14:textId="77777777" w:rsidR="00D91588" w:rsidRPr="003164E3" w:rsidRDefault="00D91588" w:rsidP="00625384">
            <w:pPr>
              <w:autoSpaceDN w:val="0"/>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sz w:val="18"/>
                <w:szCs w:val="18"/>
              </w:rPr>
              <w:t>交底书名称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57B6B9B2" w14:textId="77777777" w:rsidR="00D91588" w:rsidRPr="003164E3" w:rsidRDefault="00D91588" w:rsidP="00625384">
            <w:pPr>
              <w:autoSpaceDN w:val="0"/>
              <w:textAlignment w:val="center"/>
              <w:rPr>
                <w:rFonts w:ascii="微软雅黑" w:eastAsia="微软雅黑" w:hAnsi="微软雅黑"/>
                <w:sz w:val="18"/>
                <w:szCs w:val="18"/>
              </w:rPr>
            </w:pPr>
            <w:r>
              <w:rPr>
                <w:rFonts w:ascii="楷体" w:eastAsia="楷体" w:hAnsi="楷体" w:hint="eastAsia"/>
                <w:sz w:val="20"/>
              </w:rPr>
              <w:t>一种利用skill来辅助写专利的方法</w:t>
            </w:r>
          </w:p>
        </w:tc>
      </w:tr>
      <w:tr w:rsidR="00D91588" w:rsidRPr="003164E3" w14:paraId="53D03C09" w14:textId="77777777" w:rsidTr="00625384">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2163A16F" w14:textId="77777777" w:rsidR="00D91588" w:rsidRPr="003164E3" w:rsidRDefault="00D91588" w:rsidP="00625384">
            <w:pPr>
              <w:autoSpaceDN w:val="0"/>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color w:val="000000"/>
                <w:sz w:val="18"/>
                <w:szCs w:val="18"/>
              </w:rPr>
              <w:t>交底书</w:t>
            </w:r>
            <w:r>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0634F439" w14:textId="77777777" w:rsidR="00D91588" w:rsidRPr="003164E3" w:rsidRDefault="00D91588" w:rsidP="00625384">
            <w:pPr>
              <w:autoSpaceDN w:val="0"/>
              <w:textAlignment w:val="center"/>
              <w:rPr>
                <w:rFonts w:ascii="微软雅黑" w:eastAsia="微软雅黑" w:hAnsi="微软雅黑"/>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3889DA77" w14:textId="77777777" w:rsidR="00D91588" w:rsidRPr="003164E3" w:rsidRDefault="00D91588" w:rsidP="00625384">
            <w:pPr>
              <w:autoSpaceDN w:val="0"/>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color w:val="000000"/>
                <w:sz w:val="18"/>
                <w:szCs w:val="18"/>
              </w:rPr>
              <w:t>本发明</w:t>
            </w:r>
            <w:r>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1B8EE412" w14:textId="77777777" w:rsidR="00D91588" w:rsidRPr="003164E3" w:rsidRDefault="00D91588" w:rsidP="00625384">
            <w:pPr>
              <w:autoSpaceDN w:val="0"/>
              <w:textAlignment w:val="center"/>
              <w:rPr>
                <w:rFonts w:ascii="微软雅黑" w:eastAsia="微软雅黑" w:hAnsi="微软雅黑"/>
                <w:sz w:val="18"/>
                <w:szCs w:val="18"/>
              </w:rPr>
            </w:pPr>
            <w:r>
              <w:rPr>
                <w:rFonts w:ascii="楷体" w:eastAsia="楷体" w:hAnsi="楷体" w:hint="eastAsia"/>
                <w:sz w:val="20"/>
              </w:rPr>
              <w:t>skill</w:t>
            </w:r>
          </w:p>
        </w:tc>
      </w:tr>
      <w:tr w:rsidR="00D91588" w:rsidRPr="003164E3" w14:paraId="753DA92E" w14:textId="77777777" w:rsidTr="0062538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769C19A1" w14:textId="77777777" w:rsidR="00D91588" w:rsidRPr="003164E3" w:rsidRDefault="00D91588" w:rsidP="0062538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竞对或竞品名称（如有）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5D903910" w14:textId="77777777" w:rsidR="00D91588" w:rsidRPr="003164E3" w:rsidRDefault="00D91588" w:rsidP="00625384">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00E9F328" w14:textId="77777777" w:rsidR="00D91588" w:rsidRPr="003164E3" w:rsidRDefault="00D91588" w:rsidP="0062538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A21FEEE" w14:textId="77777777" w:rsidR="00D91588" w:rsidRPr="003164E3" w:rsidRDefault="00D91588" w:rsidP="00625384">
            <w:pPr>
              <w:autoSpaceDN w:val="0"/>
              <w:jc w:val="left"/>
              <w:textAlignment w:val="center"/>
              <w:rPr>
                <w:rFonts w:ascii="微软雅黑" w:eastAsia="微软雅黑" w:hAnsi="微软雅黑"/>
                <w:color w:val="000000"/>
                <w:sz w:val="18"/>
                <w:szCs w:val="18"/>
              </w:rPr>
            </w:pPr>
          </w:p>
        </w:tc>
      </w:tr>
      <w:tr w:rsidR="00D91588" w:rsidRPr="003164E3" w14:paraId="608C3C94" w14:textId="77777777" w:rsidTr="0062538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5990424F" w14:textId="77777777" w:rsidR="00D91588" w:rsidRDefault="00D91588" w:rsidP="0062538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color w:val="000000"/>
                <w:sz w:val="18"/>
                <w:szCs w:val="18"/>
              </w:rPr>
              <w:t>专利保护的目的</w:t>
            </w:r>
          </w:p>
          <w:p w14:paraId="0E4CA4D9" w14:textId="77777777" w:rsidR="00D91588" w:rsidRPr="00DD03DB" w:rsidRDefault="00D91588" w:rsidP="0062538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双击选中，可多选）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2D5CCBA3" w14:textId="77777777" w:rsidR="00D91588"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标准技术相关</w:t>
            </w:r>
            <w:r>
              <w:rPr>
                <w:rFonts w:ascii="微软雅黑" w:eastAsia="微软雅黑" w:hAnsi="微软雅黑"/>
                <w:color w:val="000000"/>
                <w:sz w:val="18"/>
                <w:szCs w:val="18"/>
                <w:u w:val="single"/>
              </w:rPr>
              <w:t xml:space="preserve">                              ;</w:t>
            </w:r>
          </w:p>
          <w:p w14:paraId="5BFCE589" w14:textId="77777777" w:rsidR="00D91588"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维权目的相关</w:t>
            </w:r>
            <w:r>
              <w:rPr>
                <w:rFonts w:ascii="微软雅黑" w:eastAsia="微软雅黑" w:hAnsi="微软雅黑"/>
                <w:color w:val="000000"/>
                <w:sz w:val="18"/>
                <w:szCs w:val="18"/>
                <w:u w:val="single"/>
              </w:rPr>
              <w:t xml:space="preserve">                          ;</w:t>
            </w:r>
          </w:p>
          <w:p w14:paraId="0FFE90E3" w14:textId="77777777" w:rsidR="00D91588"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原创产品功能或技术</w:t>
            </w:r>
          </w:p>
          <w:p w14:paraId="34091F52" w14:textId="77777777" w:rsidR="00D91588"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奖项申报专利相关</w:t>
            </w:r>
          </w:p>
          <w:p w14:paraId="5D0351DF" w14:textId="77777777" w:rsidR="00D91588"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合同交付相关</w:t>
            </w:r>
          </w:p>
          <w:p w14:paraId="6368C3FB" w14:textId="77777777" w:rsidR="00D91588"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功能或技术改进</w:t>
            </w:r>
          </w:p>
          <w:p w14:paraId="45336A92" w14:textId="77777777" w:rsidR="00D91588" w:rsidRPr="00751A53" w:rsidRDefault="00D91588" w:rsidP="00625384">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Pr>
                <w:rFonts w:ascii="微软雅黑" w:eastAsia="微软雅黑" w:hAnsi="微软雅黑"/>
                <w:color w:val="000000"/>
                <w:sz w:val="18"/>
                <w:szCs w:val="18"/>
              </w:rPr>
            </w:r>
            <w:r>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6694A800" w14:textId="7EFCD5ED" w:rsidR="00D91588" w:rsidRDefault="00D91588" w:rsidP="00413AB1">
      <w:pPr>
        <w:ind w:left="3360" w:firstLine="420"/>
        <w:rPr>
          <w:rFonts w:ascii="微软雅黑" w:eastAsia="微软雅黑" w:hAnsi="微软雅黑"/>
          <w:b/>
          <w:bCs/>
          <w:szCs w:val="21"/>
        </w:rPr>
      </w:pPr>
      <w:r>
        <w:rPr>
          <w:rFonts w:ascii="微软雅黑" w:eastAsia="微软雅黑" w:hAnsi="微软雅黑"/>
          <w:b/>
          <w:bCs/>
          <w:szCs w:val="21"/>
        </w:rPr>
        <w:br w:type="page"/>
      </w:r>
    </w:p>
    <w:p w14:paraId="3A0DE9B6" w14:textId="36427792" w:rsidR="000F0257" w:rsidRDefault="007A6927" w:rsidP="00D91588">
      <w:pPr>
        <w:jc w:val="center"/>
        <w:rPr>
          <w:rFonts w:ascii="微软雅黑" w:eastAsia="微软雅黑" w:hAnsi="微软雅黑"/>
          <w:b/>
          <w:bCs/>
          <w:szCs w:val="21"/>
        </w:rPr>
      </w:pPr>
      <w:r>
        <w:rPr>
          <w:rFonts w:ascii="微软雅黑" w:eastAsia="微软雅黑" w:hAnsi="微软雅黑" w:hint="eastAsia"/>
          <w:b/>
          <w:bCs/>
          <w:szCs w:val="21"/>
        </w:rPr>
        <w:lastRenderedPageBreak/>
        <w:t>专利交底书正文</w:t>
      </w:r>
    </w:p>
    <w:p w14:paraId="42CBB0F3" w14:textId="77777777" w:rsidR="000F0257" w:rsidRDefault="00BE69FD" w:rsidP="000F0257">
      <w:pPr>
        <w:ind w:firstLineChars="200" w:firstLine="420"/>
        <w:jc w:val="center"/>
        <w:rPr>
          <w:rFonts w:ascii="微软雅黑" w:eastAsia="微软雅黑" w:hAnsi="微软雅黑"/>
          <w:b/>
          <w:bCs/>
          <w:sz w:val="18"/>
          <w:szCs w:val="18"/>
        </w:rPr>
      </w:pPr>
      <w:hyperlink r:id="rId7" w:history="1">
        <w:r>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Pr>
            <w:rStyle w:val="a3"/>
            <w:rFonts w:ascii="微软雅黑" w:eastAsia="微软雅黑" w:hAnsi="微软雅黑" w:hint="eastAsia"/>
            <w:b/>
            <w:bCs/>
            <w:sz w:val="18"/>
            <w:szCs w:val="18"/>
          </w:rPr>
          <w:t>戳此处查看交底书撰写示范）</w:t>
        </w:r>
      </w:hyperlink>
    </w:p>
    <w:p w14:paraId="1B503F35" w14:textId="77777777" w:rsidR="00B46AB6" w:rsidRPr="00AF4E63" w:rsidRDefault="00B46AB6" w:rsidP="000F0257">
      <w:pPr>
        <w:ind w:firstLineChars="200" w:firstLine="360"/>
        <w:jc w:val="center"/>
        <w:rPr>
          <w:rFonts w:ascii="微软雅黑" w:eastAsia="微软雅黑" w:hAnsi="微软雅黑"/>
          <w:b/>
          <w:bCs/>
          <w:sz w:val="18"/>
          <w:szCs w:val="18"/>
        </w:rPr>
      </w:pPr>
    </w:p>
    <w:p w14:paraId="7095A16D" w14:textId="77777777" w:rsidR="00B5409A" w:rsidRPr="00B46AB6" w:rsidRDefault="00B5409A" w:rsidP="00D36B32">
      <w:pPr>
        <w:spacing w:line="276" w:lineRule="auto"/>
        <w:rPr>
          <w:rFonts w:ascii="微软雅黑" w:eastAsia="微软雅黑" w:hAnsi="微软雅黑"/>
          <w:sz w:val="18"/>
          <w:szCs w:val="18"/>
        </w:rPr>
      </w:pPr>
    </w:p>
    <w:p w14:paraId="375ED63F" w14:textId="77777777" w:rsidR="00D75CFA" w:rsidRPr="003F57CF" w:rsidRDefault="00E86347" w:rsidP="00D36B32">
      <w:pPr>
        <w:spacing w:line="276" w:lineRule="auto"/>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hint="eastAsia"/>
          <w:b/>
          <w:bCs/>
          <w:sz w:val="18"/>
          <w:szCs w:val="18"/>
        </w:rPr>
        <w:t>【关键术语】</w:t>
      </w:r>
      <w:r>
        <w:rPr>
          <w:rFonts w:ascii="微软雅黑" w:eastAsia="微软雅黑" w:hAnsi="微软雅黑" w:hint="eastAsia"/>
          <w:sz w:val="18"/>
          <w:szCs w:val="18"/>
        </w:rPr>
        <w:t>本发明涉及到的关键术语和定义</w:t>
      </w:r>
    </w:p>
    <w:p w14:paraId="4C4E0E45"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Skill规范（Skill Specification）：一种将特定领域的专家知识编码为结构化、可执行的指令文件的方法。在本发明中，指将专利代理人的撰写知识（包括章节结构、质量标准、写作约束、阶段验证条件）编码为AI智能体可读取和执行的规范文档。通俗理解：就像一份精确到每个步骤的菜谱，让不会做菜的人也能做出达标的菜品。</w:t>
      </w:r>
    </w:p>
    <w:p w14:paraId="69864FAB" w14:textId="77777777" w:rsidR="00FE595A" w:rsidRDefault="00FE595A"/>
    <w:p w14:paraId="60AB54D2"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归属判定（Attribution Determination）：一种基于版本控制状态自动识别代码原创性的方法。在本发明中，指通过检测代码仓库的版本控制元数据（是否存在远端追踪分支、是否有未推送的本地提交），自动判定哪些代码属于用户原创发明、哪些属于已公开的现有技术。通俗理解：就像海关查验货物是"新进口的"还是"早已通关的"，自动区分哪些是新发明。</w:t>
      </w:r>
    </w:p>
    <w:p w14:paraId="27E1E63D" w14:textId="77777777" w:rsidR="00FE595A" w:rsidRDefault="00FE595A"/>
    <w:p w14:paraId="204A85DB"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阶段级产出验证（Stage-level Preflight Check）：一种在多阶段流水线中确保每个阶段输出质量的硬守卫方法。在本发明中，指在进入每个新阶段前，系统自动检查前一阶段的产出是否满足预定义的完整性条件（如文件是否存在、字符数是否达标、必需章节标题是否包含）。通俗理解：就像生产线上每个工位之间的质检站，不合格的半成品不允许流入下一工位。</w:t>
      </w:r>
    </w:p>
    <w:p w14:paraId="65FDF846" w14:textId="77777777" w:rsidR="00FE595A" w:rsidRDefault="00FE595A"/>
    <w:p w14:paraId="5B2A8DD7"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术语降维（Terminology Downgrading）：一种将编程语言专有数据结构名称替换为逻辑功能描述的文本处理方法。在本发明中，指将专利正文中裸露的编程术语（如键值映射关系替代dict、序列化集合替代list）转化为非技术人员可理解的逻辑描述。通俗理解：就像医生把病历从专业术语翻译成患者能懂的白话。</w:t>
      </w:r>
    </w:p>
    <w:p w14:paraId="0A9046FA" w14:textId="77777777" w:rsidR="00FE595A" w:rsidRDefault="00FE595A"/>
    <w:p w14:paraId="5BFF9E70"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图位占位符（Figure Placeholder）：一种在撰写阶段预标记配图位置的标注方法。在本发明中，指在发明内容的文字描述中插入格式化标记，标注该位置需要放置何种类型的配图，截图和组装阶段根据这些标记自动匹配对应的图片文件。通俗理解：就像装修设计图上标注"此处挂画"的占位标签，施工时按标签把画挂上去。</w:t>
      </w:r>
    </w:p>
    <w:p w14:paraId="786E22AC" w14:textId="77777777" w:rsidR="00A75D12" w:rsidRDefault="00A75D12" w:rsidP="00D36B32">
      <w:pPr>
        <w:spacing w:line="276" w:lineRule="auto"/>
        <w:rPr>
          <w:rFonts w:ascii="微软雅黑" w:eastAsia="微软雅黑" w:hAnsi="微软雅黑"/>
          <w:sz w:val="18"/>
          <w:szCs w:val="18"/>
        </w:rPr>
      </w:pPr>
    </w:p>
    <w:p w14:paraId="34352795" w14:textId="77777777" w:rsidR="00A75D12" w:rsidRDefault="00A75D12" w:rsidP="00D36B32">
      <w:pPr>
        <w:spacing w:line="276" w:lineRule="auto"/>
        <w:rPr>
          <w:rFonts w:ascii="微软雅黑" w:eastAsia="微软雅黑" w:hAnsi="微软雅黑"/>
          <w:sz w:val="18"/>
          <w:szCs w:val="18"/>
        </w:rPr>
      </w:pPr>
    </w:p>
    <w:p w14:paraId="763C45C9" w14:textId="77777777" w:rsidR="00A75D12" w:rsidRDefault="00A75D12" w:rsidP="00D36B32">
      <w:pPr>
        <w:spacing w:line="276" w:lineRule="auto"/>
        <w:rPr>
          <w:rFonts w:ascii="微软雅黑" w:eastAsia="微软雅黑" w:hAnsi="微软雅黑"/>
          <w:sz w:val="18"/>
          <w:szCs w:val="18"/>
        </w:rPr>
      </w:pPr>
    </w:p>
    <w:p w14:paraId="014E14E1" w14:textId="77777777" w:rsidR="00A75D12" w:rsidRDefault="00A75D12" w:rsidP="00D36B32">
      <w:pPr>
        <w:spacing w:line="276" w:lineRule="auto"/>
        <w:rPr>
          <w:rFonts w:ascii="微软雅黑" w:eastAsia="微软雅黑" w:hAnsi="微软雅黑"/>
          <w:sz w:val="18"/>
          <w:szCs w:val="18"/>
        </w:rPr>
      </w:pPr>
    </w:p>
    <w:p w14:paraId="0C165710" w14:textId="77777777" w:rsidR="00CB2C4D" w:rsidRDefault="00CB2C4D" w:rsidP="00D36B32">
      <w:pPr>
        <w:spacing w:line="276" w:lineRule="auto"/>
        <w:rPr>
          <w:rFonts w:ascii="微软雅黑" w:eastAsia="微软雅黑" w:hAnsi="微软雅黑"/>
          <w:sz w:val="18"/>
          <w:szCs w:val="18"/>
        </w:rPr>
      </w:pPr>
    </w:p>
    <w:p w14:paraId="128DC6DE" w14:textId="77777777" w:rsidR="00CB2C4D" w:rsidRDefault="00CB2C4D" w:rsidP="00D36B32">
      <w:pPr>
        <w:spacing w:line="276" w:lineRule="auto"/>
        <w:rPr>
          <w:rFonts w:ascii="微软雅黑" w:eastAsia="微软雅黑" w:hAnsi="微软雅黑"/>
          <w:sz w:val="18"/>
          <w:szCs w:val="18"/>
        </w:rPr>
      </w:pPr>
    </w:p>
    <w:p w14:paraId="2B839B96" w14:textId="77777777" w:rsidR="00D75CFA" w:rsidRPr="003F57CF" w:rsidRDefault="00E86347" w:rsidP="00D36B32">
      <w:pPr>
        <w:spacing w:line="276" w:lineRule="auto"/>
        <w:rPr>
          <w:rFonts w:ascii="微软雅黑" w:eastAsia="微软雅黑" w:hAnsi="微软雅黑"/>
          <w:sz w:val="18"/>
          <w:szCs w:val="18"/>
        </w:rPr>
      </w:pPr>
      <w:r>
        <w:rPr>
          <w:rFonts w:ascii="微软雅黑" w:eastAsia="微软雅黑" w:hAnsi="微软雅黑"/>
          <w:sz w:val="18"/>
          <w:szCs w:val="18"/>
        </w:rPr>
        <w:lastRenderedPageBreak/>
        <w:t>2</w:t>
      </w:r>
      <w:r>
        <w:rPr>
          <w:rFonts w:ascii="微软雅黑" w:eastAsia="微软雅黑" w:hAnsi="微软雅黑" w:hint="eastAsia"/>
          <w:sz w:val="18"/>
          <w:szCs w:val="18"/>
        </w:rPr>
        <w:t>、</w:t>
      </w:r>
      <w:r>
        <w:rPr>
          <w:rFonts w:ascii="微软雅黑" w:eastAsia="微软雅黑" w:hAnsi="微软雅黑" w:hint="eastAsia"/>
          <w:b/>
          <w:bCs/>
          <w:sz w:val="18"/>
          <w:szCs w:val="18"/>
        </w:rPr>
        <w:t>【发明构思】</w:t>
      </w:r>
      <w:r>
        <w:rPr>
          <w:rFonts w:ascii="微软雅黑" w:eastAsia="微软雅黑" w:hAnsi="微软雅黑" w:hint="eastAsia"/>
          <w:sz w:val="18"/>
          <w:szCs w:val="18"/>
        </w:rPr>
        <w:t>本发明涉及到的技术关键点或功能关键点介绍</w:t>
      </w:r>
      <w:r>
        <w:rPr>
          <w:rFonts w:ascii="微软雅黑" w:eastAsia="微软雅黑" w:hAnsi="微软雅黑" w:hint="eastAsia"/>
          <w:color w:val="FF0000"/>
          <w:sz w:val="18"/>
          <w:szCs w:val="18"/>
        </w:rPr>
        <w:t>（必填）</w:t>
      </w:r>
    </w:p>
    <w:p w14:paraId="298D6635" w14:textId="4A58878B"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本发明的核心思路是将专利撰写领域的专家知识从"人脑中的隐性经验"转化为"机器可执行的显性规范"。通过定义一份结构化的Skill规范文件，该文件包含16个处理阶段的完整定义、每个阶段的输入输出验证条件、三层质量保障规则和防膨胀写作约束，使通用AI智能体在读取该规范后，能够像经过培训的专利代理人一样，按流程完成从代码仓库到标准专利交底书的端到端转化。</w:t>
      </w:r>
    </w:p>
    <w:p w14:paraId="23501F35" w14:textId="298D8CC8" w:rsidR="00FE595A" w:rsidRPr="00F379BB" w:rsidRDefault="00000000" w:rsidP="00F379BB">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t>创新点一：Skill规范驱动的端到端自动化</w:t>
      </w:r>
    </w:p>
    <w:p w14:paraId="062D2731" w14:textId="365E96BE"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痛点：工程师不熟悉专利写作规范，通用AI不具备专利领域知识，两者之间存在"知识鸿沟"。</w:t>
      </w:r>
    </w:p>
    <w:p w14:paraId="347C453D" w14:textId="65C9D8CE"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现有不足：Prompt工程方法受限于单次上下文窗口，无法承载完整的多阶段流程控制和阶段间质量验证。</w:t>
      </w:r>
    </w:p>
    <w:p w14:paraId="263E394B" w14:textId="0B8F3241"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本发明方案：将专利代理人的领域知识编码为Skill规范文件，定义16阶段流水线（代码分析→创新点识别→各章节撰写→图文生成→评审修订→文档组装），每个阶段附带preflight硬守卫验证条件。智能体读取规范后按阶段串行执行，每完成一个阶段调用验证命令确认产出合格后再进入下一阶段。</w:t>
      </w:r>
    </w:p>
    <w:p w14:paraId="017E1873" w14:textId="0F878BCF"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效果：将分散在专利代理人头脑中的12天工作量的领域知识聚合为一份规范文件，智能体按此规范约3小时完成全部工作。</w:t>
      </w:r>
    </w:p>
    <w:p w14:paraId="0F99D7C7" w14:textId="4154BD75"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通俗解释：假设你是一个刚入职的工程师，老板让你写专利但你从没写过。以前你需要花两周边学边写，反复找代理人修改。现在系统给你一份详细到每一步该写什么、怎么检查、哪些词不能用的"操作手册"，你照着做3小时就能交出一份达标的交底书——这份"操作手册"就是Skill规范。</w:t>
      </w:r>
    </w:p>
    <w:p w14:paraId="049AA5DB" w14:textId="5E0B2D69" w:rsidR="00FE595A" w:rsidRPr="00F379BB" w:rsidRDefault="00000000" w:rsidP="00F379BB">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t>创新点二：基于版本控制的代码原创性自动识别</w:t>
      </w:r>
    </w:p>
    <w:p w14:paraId="214CE08A" w14:textId="6DD9EB3C"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痛点：专利申请中必须区分"申请人的原创发明"和"已有技术"，但代码仓库中两者混杂在一起。</w:t>
      </w:r>
    </w:p>
    <w:p w14:paraId="716EEEF4" w14:textId="5C2251AF"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现有不足：现有代码分析工具不具备法律意义上的代码归属判定能力，工程师需要手动标注哪些代码是自己写的。</w:t>
      </w:r>
    </w:p>
    <w:p w14:paraId="5D71D441" w14:textId="2BA48E34"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本发明方案：系统检测仓库的版本控制状态，按四种场景自动判定归属模式——无版本控制时整个项目视为自有发明；有版本控制但无远端追踪分支时同样视为自有发明；有远端且有未推送提交时，远端代码视为现有技术，仅未推送部分纳入发明范围。</w:t>
      </w:r>
    </w:p>
    <w:p w14:paraId="62AE8B25" w14:textId="6AF502CC"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效果：将深度分析范围从全量代码文件缩小到真正的创新代码，同时避免将已公开开源代码误判为原创发明，降低专利申请被驳回的新颖性风险。</w:t>
      </w:r>
    </w:p>
    <w:p w14:paraId="3A5719D8" w14:textId="54794F62" w:rsidR="00FE595A"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通俗解释：假设你是一个研发经理，团队基于开源框架做了创新开发。以前你需要花两天逐文件标注"这个是框架的、那个是我们写的"。现在系统查看版本控制记录，自动把"已经提交到公共仓库的"归为现有技术，只分析"还没提交的新代码"——10分钟完成原来两天的工作。</w:t>
      </w:r>
    </w:p>
    <w:p w14:paraId="0497FEA2" w14:textId="77777777" w:rsidR="0029025A" w:rsidRPr="00413AB1" w:rsidRDefault="0029025A" w:rsidP="00413AB1">
      <w:pPr>
        <w:spacing w:beforeLines="50" w:before="156" w:afterLines="50" w:after="156"/>
        <w:rPr>
          <w:rFonts w:ascii="楷体" w:eastAsia="楷体" w:hAnsi="楷体" w:hint="eastAsia"/>
          <w:color w:val="000000"/>
          <w:sz w:val="20"/>
        </w:rPr>
      </w:pPr>
    </w:p>
    <w:p w14:paraId="721B3379" w14:textId="62F01C62" w:rsidR="00FE595A" w:rsidRPr="00F379BB" w:rsidRDefault="00000000" w:rsidP="00F379BB">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lastRenderedPageBreak/>
        <w:t>创新点三：面向专利交底书规范的三层文本合规性处理</w:t>
      </w:r>
    </w:p>
    <w:p w14:paraId="4D9899D5" w14:textId="307DBDFC"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痛点：AI生成的文本容易包含对话性前缀、编程术语和口语化高频词，不符合专利交底书常见的说明性表达要求。</w:t>
      </w:r>
    </w:p>
    <w:p w14:paraId="5A705E21" w14:textId="62EE32FA"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现有不足：通用文本清洗工具面向一般文档，不针对专利法的特殊要求（如禁止使用编程语法、必须使用技术功能描述替代数据结构名称）。</w:t>
      </w:r>
    </w:p>
    <w:p w14:paraId="30760BE5" w14:textId="67269721"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本发明方案：建立三层处理体系。预防层在撰写阶段通过19词黑名单和防膨胀约束主动排除不规范内容；检测层通过16维度评审和13维加权评分定位已有缺陷；修复层通过7层清洗管道覆盖89种已知的不规范文本模式。三层形成闭环，每层的遗漏由下一层兜底。</w:t>
      </w:r>
    </w:p>
    <w:p w14:paraId="5EE83A0C" w14:textId="4E80C5EC"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效果：89种前缀模式覆盖98%的不规范对话开场白，22组术语降维规则将编程术语替换为逻辑功能描述，使输出文本更接近专利交底书的规范表达。</w:t>
      </w:r>
    </w:p>
    <w:p w14:paraId="0E07D4AD"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通俗解释：假设你是一个质检员，负责检查AI写的专利文档。以前你需要逐行阅读30页文档，手动删除AI口语、替换编程术语。现在系统自动完成三轮筛查——写作时就屏蔽了19个禁用词，写完后16项逐条检查，最后89种模式自动清洗——你只需要花5分钟做最终确认。</w:t>
      </w:r>
    </w:p>
    <w:p w14:paraId="6E5DE58D" w14:textId="77777777" w:rsidR="00B5409A" w:rsidRDefault="00B5409A" w:rsidP="00D36B32">
      <w:pPr>
        <w:spacing w:line="276" w:lineRule="auto"/>
        <w:rPr>
          <w:rFonts w:ascii="微软雅黑" w:eastAsia="微软雅黑" w:hAnsi="微软雅黑"/>
          <w:sz w:val="18"/>
          <w:szCs w:val="18"/>
        </w:rPr>
      </w:pPr>
    </w:p>
    <w:p w14:paraId="233C40AB" w14:textId="77777777" w:rsidR="00D75CFA" w:rsidRPr="003F57CF" w:rsidRDefault="00087110" w:rsidP="00D36B32">
      <w:pPr>
        <w:spacing w:line="276" w:lineRule="auto"/>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hint="eastAsia"/>
          <w:b/>
          <w:bCs/>
          <w:sz w:val="18"/>
          <w:szCs w:val="18"/>
        </w:rPr>
        <w:t>【背景技术】</w:t>
      </w:r>
      <w:r>
        <w:rPr>
          <w:rFonts w:ascii="微软雅黑" w:eastAsia="微软雅黑" w:hAnsi="微软雅黑" w:hint="eastAsia"/>
          <w:sz w:val="18"/>
          <w:szCs w:val="18"/>
        </w:rPr>
        <w:t>与本发明最相近的现有技术</w:t>
      </w:r>
    </w:p>
    <w:p w14:paraId="5989AFEB" w14:textId="77777777" w:rsidR="002E7E7C" w:rsidRPr="003F57CF" w:rsidRDefault="00087110" w:rsidP="002E7E7C">
      <w:pPr>
        <w:spacing w:line="276" w:lineRule="auto"/>
        <w:rPr>
          <w:rFonts w:ascii="微软雅黑" w:eastAsia="微软雅黑" w:hAnsi="微软雅黑"/>
          <w:sz w:val="18"/>
          <w:szCs w:val="18"/>
        </w:rPr>
      </w:pPr>
      <w:r>
        <w:rPr>
          <w:rFonts w:ascii="微软雅黑" w:eastAsia="微软雅黑" w:hAnsi="微软雅黑"/>
          <w:sz w:val="18"/>
          <w:szCs w:val="18"/>
        </w:rPr>
        <w:t>3.1</w:t>
      </w:r>
      <w:r>
        <w:rPr>
          <w:rFonts w:ascii="微软雅黑" w:eastAsia="微软雅黑" w:hAnsi="微软雅黑" w:hint="eastAsia"/>
          <w:sz w:val="18"/>
          <w:szCs w:val="18"/>
        </w:rPr>
        <w:t>相关背景描述，以及现有技术的技术方案</w:t>
      </w:r>
      <w:r>
        <w:rPr>
          <w:rFonts w:ascii="微软雅黑" w:eastAsia="微软雅黑" w:hAnsi="微软雅黑" w:hint="eastAsia"/>
          <w:color w:val="FF0000"/>
          <w:sz w:val="18"/>
          <w:szCs w:val="18"/>
        </w:rPr>
        <w:t>（必填）</w:t>
      </w:r>
    </w:p>
    <w:p w14:paraId="24F0BFAD" w14:textId="4CE7456E" w:rsidR="00FE595A" w:rsidRPr="00413AB1" w:rsidRDefault="00000000" w:rsidP="00413AB1">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t>方案一：多智能体协作框架（AutoPatent, arXiv:2412.09796）</w:t>
      </w:r>
    </w:p>
    <w:p w14:paraId="75265F16" w14:textId="5F5F7D34"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AutoPatent部署规划智能体、撰写智能体和审查智能体三类角色，规划智能体构建专利写作指南树（PGTree）分解任务，撰写智能体按树节点逐段生成，审查智能体做质量检查。该方案需要多个专用智能体协同工作，部署成本高，且PGTree的任务分解粒度固定，难以适配不同技术领域的专利特点。更关键的是，该方案不具备从代码仓库直接提取创新点的能力，发明人仍需手动提供技术方案描述。</w:t>
      </w:r>
    </w:p>
    <w:p w14:paraId="094F7C93" w14:textId="786EEAAE" w:rsidR="00FE595A" w:rsidRPr="00413AB1" w:rsidRDefault="00000000" w:rsidP="00413AB1">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t>方案二：知识微调大模型（PatentGPT, arXiv:2409.00092）</w:t>
      </w:r>
    </w:p>
    <w:p w14:paraId="2275FF3A" w14:textId="522DFE69"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PatentGPT通过知识微调框架对大语言模型注入专利领域知识，使模型自主挖掘和应用领域概念。该方案依赖大量专利语料进行模型微调，训练成本高（需要GPU集群），且微调后的模型仅适用于特定技术领域，切换到新领域需要重新收集语料和微调。微调方法无法保证输出符合特定国家的专利申请格式要求。</w:t>
      </w:r>
    </w:p>
    <w:p w14:paraId="10D47BEA" w14:textId="4985DCE2" w:rsidR="00FE595A" w:rsidRPr="00413AB1" w:rsidRDefault="00000000" w:rsidP="00413AB1">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t>方案三：通用AI辅助撰写工具（如专加瓦、绿洲慧写等）</w:t>
      </w:r>
    </w:p>
    <w:p w14:paraId="61148C1F" w14:textId="2F77A2AB" w:rsidR="00B5409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国内已出现多款AI专利撰写辅助平台，支持从技术方案描述生成交底书草稿。这些工具基于Prompt工程引导通用模型按专利格式输出。受限于单次Prompt的上下文窗口，无法承载完整的多阶段流程控制；缺少阶段间产出验证机制，生成质量不稳定；不具备代码级分析能力，创新点提取依赖人工输入。</w:t>
      </w:r>
    </w:p>
    <w:p w14:paraId="6C506570" w14:textId="77777777" w:rsidR="002E7E7C" w:rsidRPr="003F57CF" w:rsidRDefault="00087110" w:rsidP="002E7E7C">
      <w:pPr>
        <w:spacing w:line="276" w:lineRule="auto"/>
        <w:rPr>
          <w:rFonts w:ascii="微软雅黑" w:eastAsia="微软雅黑" w:hAnsi="微软雅黑"/>
          <w:sz w:val="18"/>
          <w:szCs w:val="18"/>
        </w:rPr>
      </w:pPr>
      <w:r>
        <w:rPr>
          <w:rFonts w:ascii="微软雅黑" w:eastAsia="微软雅黑" w:hAnsi="微软雅黑"/>
          <w:sz w:val="18"/>
          <w:szCs w:val="18"/>
        </w:rPr>
        <w:lastRenderedPageBreak/>
        <w:t>3.2</w:t>
      </w:r>
      <w:r>
        <w:rPr>
          <w:rFonts w:ascii="微软雅黑" w:eastAsia="微软雅黑" w:hAnsi="微软雅黑" w:hint="eastAsia"/>
          <w:sz w:val="18"/>
          <w:szCs w:val="18"/>
        </w:rPr>
        <w:t>现有技术的缺点或尚未解决的问题，以及本专利技术方案可以解决的问题</w:t>
      </w:r>
      <w:r>
        <w:rPr>
          <w:rFonts w:ascii="微软雅黑" w:eastAsia="微软雅黑" w:hAnsi="微软雅黑" w:hint="eastAsia"/>
          <w:color w:val="FF0000"/>
          <w:sz w:val="18"/>
          <w:szCs w:val="18"/>
        </w:rPr>
        <w:t>（必填）</w:t>
      </w:r>
    </w:p>
    <w:p w14:paraId="20895B34" w14:textId="1BA8486C" w:rsidR="00FE595A" w:rsidRPr="00413AB1" w:rsidRDefault="00000000" w:rsidP="00413AB1">
      <w:pPr>
        <w:spacing w:beforeLines="50" w:before="156" w:afterLines="50" w:after="156"/>
        <w:rPr>
          <w:rFonts w:ascii="楷体" w:eastAsia="楷体" w:hAnsi="楷体"/>
          <w:color w:val="000000"/>
          <w:sz w:val="20"/>
        </w:rPr>
      </w:pPr>
      <w:r w:rsidRPr="00F379BB">
        <w:rPr>
          <w:rFonts w:ascii="楷体" w:eastAsia="楷体" w:hAnsi="楷体" w:hint="eastAsia"/>
          <w:color w:val="000000"/>
          <w:sz w:val="20"/>
        </w:rPr>
        <w:t>多智能体方案的局限：需要部署和协调多个独立智能体，系统复杂度高；PGTree的任务分解模板化，对非典型技术领域适配性差；不具备代码仓库分析能力，无法自动识别发明代码与现有技术的边界。</w:t>
      </w:r>
    </w:p>
    <w:p w14:paraId="558A3DD8" w14:textId="21EF29F5" w:rsidR="00FE595A" w:rsidRPr="00413AB1" w:rsidRDefault="00000000" w:rsidP="00413AB1">
      <w:pPr>
        <w:spacing w:beforeLines="50" w:before="156" w:afterLines="50" w:after="156"/>
        <w:rPr>
          <w:rFonts w:ascii="楷体" w:eastAsia="楷体" w:hAnsi="楷体"/>
          <w:color w:val="000000"/>
          <w:sz w:val="20"/>
        </w:rPr>
      </w:pPr>
      <w:r w:rsidRPr="00F379BB">
        <w:rPr>
          <w:rFonts w:ascii="楷体" w:eastAsia="楷体" w:hAnsi="楷体" w:hint="eastAsia"/>
          <w:color w:val="000000"/>
          <w:sz w:val="20"/>
        </w:rPr>
        <w:t>知识微调方案的局限：依赖大量领域语料和GPU训练资源，技术门槛高；微调后的模型不通用，新技术领域需重新训练；模型权重中编码的知识不可解释、不可编辑，无法快速迭代专利写作规范。</w:t>
      </w:r>
    </w:p>
    <w:p w14:paraId="6F62A319" w14:textId="6F2963DC"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通用辅助工具的局限：单次交互模式下无法实现多阶段的流程控制和质量递进保障；生成文本普遍包含AI味词汇和编程术语，清洗能力薄弱；不支持从代码仓库直接提取创新点，在"代码→专利"的端到端链路上存在断裂。</w:t>
      </w:r>
    </w:p>
    <w:p w14:paraId="3617E3EE"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以上三类方案都未解决一个根本问题：如何将专利代理人的领域知识以低成本、可编辑、可解释的方式注入通用AI智能体，使其在不进行模型微调的前提下，按照专利交底书的撰写规范完成从代码仓库到交底书的端到端自动化。本发明正是针对这一技术空白提出解决方案。</w:t>
      </w:r>
    </w:p>
    <w:p w14:paraId="040315DB" w14:textId="77777777" w:rsidR="00F379BB" w:rsidRPr="003F57CF" w:rsidRDefault="00F379BB" w:rsidP="00D36B32">
      <w:pPr>
        <w:spacing w:line="276" w:lineRule="auto"/>
        <w:rPr>
          <w:rFonts w:ascii="微软雅黑" w:eastAsia="微软雅黑" w:hAnsi="微软雅黑"/>
          <w:sz w:val="18"/>
          <w:szCs w:val="18"/>
        </w:rPr>
      </w:pPr>
    </w:p>
    <w:p w14:paraId="238C79FB" w14:textId="77777777" w:rsidR="00D75CFA" w:rsidRPr="003F57CF" w:rsidRDefault="004670B1" w:rsidP="00D36B32">
      <w:pPr>
        <w:spacing w:line="276" w:lineRule="auto"/>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color w:val="000000"/>
          <w:sz w:val="18"/>
          <w:szCs w:val="18"/>
        </w:rPr>
        <w:t>、</w:t>
      </w:r>
      <w:r>
        <w:rPr>
          <w:rFonts w:ascii="微软雅黑" w:eastAsia="微软雅黑" w:hAnsi="微软雅黑" w:hint="eastAsia"/>
          <w:b/>
          <w:bCs/>
          <w:color w:val="000000"/>
          <w:sz w:val="18"/>
          <w:szCs w:val="18"/>
        </w:rPr>
        <w:t>【发明内容】</w:t>
      </w:r>
      <w:r>
        <w:rPr>
          <w:rFonts w:ascii="微软雅黑" w:eastAsia="微软雅黑" w:hAnsi="微软雅黑" w:hint="eastAsia"/>
          <w:sz w:val="18"/>
          <w:szCs w:val="18"/>
        </w:rPr>
        <w:t xml:space="preserve">本专利方案的详细阐述（图文并茂） </w:t>
      </w:r>
    </w:p>
    <w:p w14:paraId="5F305159" w14:textId="77777777" w:rsidR="002E7E7C" w:rsidRPr="003F57CF" w:rsidRDefault="004670B1" w:rsidP="002E7E7C">
      <w:pPr>
        <w:spacing w:line="276" w:lineRule="auto"/>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sz w:val="18"/>
          <w:szCs w:val="18"/>
        </w:rPr>
        <w:t>.1产品侧</w:t>
      </w:r>
      <w:r>
        <w:rPr>
          <w:rFonts w:ascii="微软雅黑" w:eastAsia="微软雅黑" w:hAnsi="微软雅黑" w:hint="eastAsia"/>
          <w:color w:val="FF0000"/>
          <w:sz w:val="18"/>
          <w:szCs w:val="18"/>
        </w:rPr>
        <w:t>（必填）</w:t>
      </w:r>
    </w:p>
    <w:p w14:paraId="5BADA1E4"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本发明提供一种从代码仓库自动生成专利交底书的系统。以下从两个差异化使用场景说明系统的操作流程。</w:t>
      </w:r>
    </w:p>
    <w:p w14:paraId="2F288A83" w14:textId="77777777" w:rsidR="00FE595A" w:rsidRDefault="00FE595A"/>
    <w:p w14:paraId="41567F88" w14:textId="77777777" w:rsidR="00FE595A" w:rsidRDefault="00FE595A"/>
    <w:p w14:paraId="2E676A3C" w14:textId="77777777" w:rsidR="00FE595A" w:rsidRDefault="00000000">
      <w:pPr>
        <w:jc w:val="center"/>
      </w:pPr>
      <w:r>
        <w:rPr>
          <w:rFonts w:ascii="微软雅黑" w:eastAsia="微软雅黑" w:hAnsi="微软雅黑"/>
          <w:noProof/>
        </w:rPr>
        <w:drawing>
          <wp:inline distT="0" distB="0" distL="0" distR="0" wp14:anchorId="3FBB3A44" wp14:editId="0CB70D8F">
            <wp:extent cx="5040000" cy="1681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icPr>
                  <pic:blipFill>
                    <a:blip r:embed="rId8"/>
                    <a:srcRect/>
                    <a:stretch/>
                  </pic:blipFill>
                  <pic:spPr bwMode="auto">
                    <a:xfrm>
                      <a:off x="0" y="0"/>
                      <a:ext cx="5040000" cy="1681200"/>
                    </a:xfrm>
                    <a:prstGeom prst="rect">
                      <a:avLst/>
                    </a:prstGeom>
                    <a:noFill/>
                    <a:ln>
                      <a:noFill/>
                    </a:ln>
                  </pic:spPr>
                </pic:pic>
              </a:graphicData>
            </a:graphic>
          </wp:inline>
        </w:drawing>
      </w:r>
    </w:p>
    <w:p w14:paraId="506353DE"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图1：应用场景总览</w:t>
      </w:r>
    </w:p>
    <w:p w14:paraId="0D953DD9" w14:textId="77777777" w:rsidR="00FE595A" w:rsidRDefault="00FE595A"/>
    <w:p w14:paraId="31726B46" w14:textId="77777777" w:rsidR="00FE595A" w:rsidRDefault="00FE595A"/>
    <w:p w14:paraId="7B8745B5" w14:textId="77777777" w:rsidR="00413AB1" w:rsidRDefault="00413AB1"/>
    <w:p w14:paraId="3FCD837C" w14:textId="77777777" w:rsidR="00413AB1" w:rsidRDefault="00413AB1"/>
    <w:p w14:paraId="2C62E545" w14:textId="77777777" w:rsidR="00413AB1" w:rsidRDefault="00413AB1"/>
    <w:p w14:paraId="1B8CB1CB" w14:textId="77777777" w:rsidR="00413AB1" w:rsidRDefault="00413AB1"/>
    <w:p w14:paraId="6F9D36F4" w14:textId="77777777" w:rsidR="00413AB1" w:rsidRDefault="00413AB1"/>
    <w:p w14:paraId="0A004A5D" w14:textId="7D52277F" w:rsidR="00FE595A" w:rsidRPr="00413AB1" w:rsidRDefault="00000000" w:rsidP="00413AB1">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lastRenderedPageBreak/>
        <w:t>场景一：新项目专利生成（主场景）</w:t>
      </w:r>
    </w:p>
    <w:p w14:paraId="2ECC6D46" w14:textId="53C232E3"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工程师小李完成了一个创新项目的代码开发，需要将其中的核心算法申请发明专利。</w:t>
      </w:r>
    </w:p>
    <w:p w14:paraId="62E18D80" w14:textId="5C272320"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步骤1：输入代码仓库并启动分析</w:t>
      </w:r>
    </w:p>
    <w:p w14:paraId="1E94FB7C" w14:textId="3E6F7DB7"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小李在系统界面输入代码仓库的本地路径（如/workspace/my-project），选择"新项目分析"模式后点击"开始生成"。系统接收路径后自动检测仓库状态：确认该目录包含版本控制元数据，检查远端追踪分支状态，判定归属模式为"整个项目视为自有发明"。接着系统调用代码上下文提取引擎，扫描全部代码文件，提取函数和类的签名特征索引、模块间依赖关系图、项目文档摘要，生成一份约6万字符的结构化代码上下文报告。进度面板显示"阶段1/16：代码上下文提取完成"（如图1所示）。</w:t>
      </w:r>
    </w:p>
    <w:p w14:paraId="5480860F" w14:textId="77777777" w:rsidR="00FE595A" w:rsidRDefault="00000000">
      <w:pPr>
        <w:jc w:val="center"/>
      </w:pPr>
      <w:r>
        <w:rPr>
          <w:rFonts w:ascii="微软雅黑" w:eastAsia="微软雅黑" w:hAnsi="微软雅黑"/>
          <w:noProof/>
        </w:rPr>
        <w:drawing>
          <wp:inline distT="0" distB="0" distL="0" distR="0" wp14:anchorId="658FEC08" wp14:editId="5D5EDAE0">
            <wp:extent cx="5040000" cy="1749600"/>
            <wp:effectExtent l="0" t="0" r="0" b="0"/>
            <wp:docPr id="1232339711" name="image3.png"/>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icPr>
                  <pic:blipFill>
                    <a:blip r:embed="rId9"/>
                    <a:srcRect/>
                    <a:stretch/>
                  </pic:blipFill>
                  <pic:spPr bwMode="auto">
                    <a:xfrm>
                      <a:off x="0" y="0"/>
                      <a:ext cx="5040000" cy="1749600"/>
                    </a:xfrm>
                    <a:prstGeom prst="rect">
                      <a:avLst/>
                    </a:prstGeom>
                    <a:noFill/>
                    <a:ln>
                      <a:noFill/>
                    </a:ln>
                  </pic:spPr>
                </pic:pic>
              </a:graphicData>
            </a:graphic>
          </wp:inline>
        </w:drawing>
      </w:r>
    </w:p>
    <w:p w14:paraId="2557088E" w14:textId="7045BCF9" w:rsidR="00FE595A" w:rsidRPr="00413AB1" w:rsidRDefault="00000000" w:rsidP="00413AB1">
      <w:pPr>
        <w:jc w:val="center"/>
        <w:rPr>
          <w:rFonts w:ascii="楷体" w:eastAsia="楷体" w:hAnsi="楷体"/>
          <w:color w:val="000000"/>
          <w:sz w:val="20"/>
        </w:rPr>
      </w:pPr>
      <w:r>
        <w:rPr>
          <w:rFonts w:ascii="楷体" w:eastAsia="楷体" w:hAnsi="楷体" w:hint="eastAsia"/>
          <w:color w:val="000000"/>
          <w:sz w:val="20"/>
        </w:rPr>
        <w:t>图2：场景A步骤1-输入仓库</w:t>
      </w:r>
    </w:p>
    <w:p w14:paraId="10A3B7E9" w14:textId="647B7BB5"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步骤2：系统自动撰写各专利章节</w:t>
      </w:r>
    </w:p>
    <w:p w14:paraId="083D607C" w14:textId="38A0291A"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系统读取Skill规范中定义的16个阶段指令，按串行顺序逐阶段执行：先分析代码上下文识别出3个核心创新点（含版本控制归属筛选），然后依次撰写发明范围说明书、现有技术分析报告（联网检索至少20条文献后精选10篇）、关键术语定义（5个术语各含定义+在本发明中的作用+通俗类比）、发明构思、背景技术和发明内容。每完成一个阶段，系统调用阶段级产出验证命令，确认文件是否存在、字符数是否达标、必需章节标题是否完整，只有验证通过才进入下一阶段。进度面板实时更新各阶段状态（如图2所示）。</w:t>
      </w:r>
    </w:p>
    <w:p w14:paraId="35AB247A" w14:textId="77777777" w:rsidR="00FE595A" w:rsidRDefault="00FE595A"/>
    <w:p w14:paraId="01A33557" w14:textId="77777777" w:rsidR="00FE595A" w:rsidRDefault="00000000">
      <w:pPr>
        <w:jc w:val="center"/>
      </w:pPr>
      <w:r>
        <w:rPr>
          <w:rFonts w:ascii="微软雅黑" w:eastAsia="微软雅黑" w:hAnsi="微软雅黑"/>
          <w:noProof/>
        </w:rPr>
        <w:drawing>
          <wp:inline distT="0" distB="0" distL="0" distR="0" wp14:anchorId="1AFFB9C4" wp14:editId="5F864761">
            <wp:extent cx="5040000" cy="1951200"/>
            <wp:effectExtent l="0" t="0" r="0" b="0"/>
            <wp:docPr id="993771233" name="image4.png"/>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pic:cNvPicPr>
                  </pic:nvPicPr>
                  <pic:blipFill>
                    <a:blip r:embed="rId10"/>
                    <a:srcRect/>
                    <a:stretch/>
                  </pic:blipFill>
                  <pic:spPr bwMode="auto">
                    <a:xfrm>
                      <a:off x="0" y="0"/>
                      <a:ext cx="5040000" cy="1951200"/>
                    </a:xfrm>
                    <a:prstGeom prst="rect">
                      <a:avLst/>
                    </a:prstGeom>
                    <a:noFill/>
                    <a:ln>
                      <a:noFill/>
                    </a:ln>
                  </pic:spPr>
                </pic:pic>
              </a:graphicData>
            </a:graphic>
          </wp:inline>
        </w:drawing>
      </w:r>
    </w:p>
    <w:p w14:paraId="6D41F5FD"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图3：场景A步骤2-自动撰写</w:t>
      </w:r>
    </w:p>
    <w:p w14:paraId="4C30EBB6" w14:textId="77777777" w:rsidR="00FE595A" w:rsidRDefault="00FE595A"/>
    <w:p w14:paraId="30100827" w14:textId="75D13CC3"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lastRenderedPageBreak/>
        <w:t>步骤3：查看生成结果并获取交底书</w:t>
      </w:r>
    </w:p>
    <w:p w14:paraId="7829CC19" w14:textId="7714E92A"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系统完成全部16个阶段后，输出一份标准的DOCX格式专利交底书。小李在结果页面可以预览交底书的各章节内容：关键术语、发明构思、背景技术（含3项真实文献引用）、发明内容（产品侧2个场景+技术侧完整方案+有益效果）。交底书内嵌了14张以上产品侧高清截图（含场景总览、逐步交互、产出物预览、创新点联动）和4张技术图表（架构图、流程图、时序图、数据流图）。小李点击"下载"获取DOCX文件（如图3所示）。</w:t>
      </w:r>
    </w:p>
    <w:p w14:paraId="7687CD1F" w14:textId="77777777" w:rsidR="00FE595A" w:rsidRDefault="00000000">
      <w:pPr>
        <w:jc w:val="center"/>
      </w:pPr>
      <w:r>
        <w:rPr>
          <w:rFonts w:ascii="微软雅黑" w:eastAsia="微软雅黑" w:hAnsi="微软雅黑"/>
          <w:noProof/>
        </w:rPr>
        <w:drawing>
          <wp:inline distT="0" distB="0" distL="0" distR="0" wp14:anchorId="3D6D3067" wp14:editId="20E6A2EE">
            <wp:extent cx="5040000" cy="1810800"/>
            <wp:effectExtent l="0" t="0" r="0" b="0"/>
            <wp:docPr id="1553472345" name="image5.png"/>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pic:cNvPicPr>
                  </pic:nvPicPr>
                  <pic:blipFill>
                    <a:blip r:embed="rId11"/>
                    <a:srcRect/>
                    <a:stretch/>
                  </pic:blipFill>
                  <pic:spPr bwMode="auto">
                    <a:xfrm>
                      <a:off x="0" y="0"/>
                      <a:ext cx="5040000" cy="1810800"/>
                    </a:xfrm>
                    <a:prstGeom prst="rect">
                      <a:avLst/>
                    </a:prstGeom>
                    <a:noFill/>
                    <a:ln>
                      <a:noFill/>
                    </a:ln>
                  </pic:spPr>
                </pic:pic>
              </a:graphicData>
            </a:graphic>
          </wp:inline>
        </w:drawing>
      </w:r>
    </w:p>
    <w:p w14:paraId="52D509A2"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图4：场景A步骤3-查看结果</w:t>
      </w:r>
    </w:p>
    <w:p w14:paraId="7DA01D71" w14:textId="77777777" w:rsidR="00FE595A" w:rsidRDefault="00FE595A"/>
    <w:p w14:paraId="02967E7A" w14:textId="77777777" w:rsidR="00FE595A" w:rsidRDefault="00000000">
      <w:pPr>
        <w:jc w:val="center"/>
      </w:pPr>
      <w:r>
        <w:rPr>
          <w:rFonts w:ascii="微软雅黑" w:eastAsia="微软雅黑" w:hAnsi="微软雅黑"/>
          <w:noProof/>
        </w:rPr>
        <w:drawing>
          <wp:inline distT="0" distB="0" distL="0" distR="0" wp14:anchorId="4B055130" wp14:editId="26087847">
            <wp:extent cx="5040000" cy="2113200"/>
            <wp:effectExtent l="0" t="0" r="0" b="0"/>
            <wp:docPr id="1603171539" name="image6.png"/>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pic:cNvPicPr>
                  </pic:nvPicPr>
                  <pic:blipFill>
                    <a:blip r:embed="rId12"/>
                    <a:srcRect/>
                    <a:stretch/>
                  </pic:blipFill>
                  <pic:spPr bwMode="auto">
                    <a:xfrm>
                      <a:off x="0" y="0"/>
                      <a:ext cx="5040000" cy="2113200"/>
                    </a:xfrm>
                    <a:prstGeom prst="rect">
                      <a:avLst/>
                    </a:prstGeom>
                    <a:noFill/>
                    <a:ln>
                      <a:noFill/>
                    </a:ln>
                  </pic:spPr>
                </pic:pic>
              </a:graphicData>
            </a:graphic>
          </wp:inline>
        </w:drawing>
      </w:r>
    </w:p>
    <w:p w14:paraId="627EBC8D"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图5：产出物实例展示</w:t>
      </w:r>
    </w:p>
    <w:p w14:paraId="331449D6" w14:textId="77777777" w:rsidR="00FE595A" w:rsidRDefault="00FE595A"/>
    <w:p w14:paraId="2C6174B4" w14:textId="77777777" w:rsidR="00FE595A" w:rsidRDefault="00FE595A"/>
    <w:p w14:paraId="3BDCA757" w14:textId="77777777" w:rsidR="00413AB1" w:rsidRDefault="00413AB1"/>
    <w:p w14:paraId="4BE3FB89" w14:textId="77777777" w:rsidR="00413AB1" w:rsidRDefault="00413AB1"/>
    <w:p w14:paraId="143ED643" w14:textId="77777777" w:rsidR="00413AB1" w:rsidRDefault="00413AB1"/>
    <w:p w14:paraId="48DEAF6C" w14:textId="77777777" w:rsidR="00413AB1" w:rsidRDefault="00413AB1"/>
    <w:p w14:paraId="71A925D5" w14:textId="77777777" w:rsidR="00413AB1" w:rsidRDefault="00413AB1"/>
    <w:p w14:paraId="5C87281E" w14:textId="77777777" w:rsidR="00413AB1" w:rsidRDefault="00413AB1"/>
    <w:p w14:paraId="4DE404FD" w14:textId="77777777" w:rsidR="00413AB1" w:rsidRDefault="00413AB1"/>
    <w:p w14:paraId="01CF43AF" w14:textId="77777777" w:rsidR="00413AB1" w:rsidRDefault="00413AB1"/>
    <w:p w14:paraId="2B180978" w14:textId="77777777" w:rsidR="00413AB1" w:rsidRDefault="00413AB1"/>
    <w:p w14:paraId="37BFB2D9" w14:textId="54301182" w:rsidR="00FE595A" w:rsidRPr="00413AB1" w:rsidRDefault="00000000" w:rsidP="00413AB1">
      <w:pPr>
        <w:spacing w:beforeLines="50" w:before="156" w:afterLines="50" w:after="156"/>
        <w:rPr>
          <w:rFonts w:ascii="微软雅黑" w:eastAsia="微软雅黑" w:hAnsi="微软雅黑"/>
          <w:color w:val="000000"/>
          <w:sz w:val="20"/>
        </w:rPr>
      </w:pPr>
      <w:r>
        <w:rPr>
          <w:rFonts w:ascii="微软雅黑" w:eastAsia="微软雅黑" w:hAnsi="微软雅黑" w:hint="eastAsia"/>
          <w:b/>
          <w:bCs/>
          <w:color w:val="000000"/>
          <w:sz w:val="20"/>
        </w:rPr>
        <w:lastRenderedPageBreak/>
        <w:t>场景二：已有项目增量创新专利（扩展场景）</w:t>
      </w:r>
    </w:p>
    <w:p w14:paraId="503D11A9" w14:textId="77777777" w:rsidR="00FE595A" w:rsidRDefault="00FE595A"/>
    <w:p w14:paraId="51DB70A3" w14:textId="77777777" w:rsidR="00FE595A" w:rsidRDefault="00000000">
      <w:pPr>
        <w:jc w:val="center"/>
      </w:pPr>
      <w:r>
        <w:rPr>
          <w:rFonts w:ascii="微软雅黑" w:eastAsia="微软雅黑" w:hAnsi="微软雅黑"/>
          <w:noProof/>
        </w:rPr>
        <w:drawing>
          <wp:inline distT="0" distB="0" distL="0" distR="0" wp14:anchorId="2DFB0D77" wp14:editId="1340679F">
            <wp:extent cx="5040000" cy="1375200"/>
            <wp:effectExtent l="0" t="0" r="0" b="0"/>
            <wp:docPr id="769361956" name="image7.png"/>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pic:cNvPicPr>
                  </pic:nvPicPr>
                  <pic:blipFill>
                    <a:blip r:embed="rId13"/>
                    <a:srcRect/>
                    <a:stretch/>
                  </pic:blipFill>
                  <pic:spPr bwMode="auto">
                    <a:xfrm>
                      <a:off x="0" y="0"/>
                      <a:ext cx="5040000" cy="1375200"/>
                    </a:xfrm>
                    <a:prstGeom prst="rect">
                      <a:avLst/>
                    </a:prstGeom>
                    <a:noFill/>
                    <a:ln>
                      <a:noFill/>
                    </a:ln>
                  </pic:spPr>
                </pic:pic>
              </a:graphicData>
            </a:graphic>
          </wp:inline>
        </w:drawing>
      </w:r>
    </w:p>
    <w:p w14:paraId="578A8B66" w14:textId="531C7969" w:rsidR="00FE595A" w:rsidRPr="00413AB1" w:rsidRDefault="00000000" w:rsidP="00413AB1">
      <w:pPr>
        <w:jc w:val="center"/>
        <w:rPr>
          <w:rFonts w:ascii="楷体" w:eastAsia="楷体" w:hAnsi="楷体"/>
          <w:color w:val="000000"/>
          <w:sz w:val="20"/>
        </w:rPr>
      </w:pPr>
      <w:r>
        <w:rPr>
          <w:rFonts w:ascii="楷体" w:eastAsia="楷体" w:hAnsi="楷体" w:hint="eastAsia"/>
          <w:color w:val="000000"/>
          <w:sz w:val="20"/>
        </w:rPr>
        <w:t>图6：场景切换对比</w:t>
      </w:r>
    </w:p>
    <w:p w14:paraId="5BEAB393" w14:textId="066A96D3" w:rsidR="00FE595A"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技术经理王工负责团队基于开源框架开发的增量创新项目。该项目的代码仓库中既有开源框架的代码（已推送到远端公共仓库），也有团队新开发的创新代码（本地未推送的提交）。</w:t>
      </w:r>
    </w:p>
    <w:p w14:paraId="58E1F342" w14:textId="77777777" w:rsidR="00413AB1" w:rsidRPr="00413AB1" w:rsidRDefault="00413AB1" w:rsidP="00413AB1">
      <w:pPr>
        <w:spacing w:beforeLines="50" w:before="156" w:afterLines="50" w:after="156"/>
        <w:rPr>
          <w:rFonts w:ascii="楷体" w:eastAsia="楷体" w:hAnsi="楷体"/>
          <w:color w:val="000000"/>
          <w:sz w:val="20"/>
        </w:rPr>
      </w:pPr>
    </w:p>
    <w:p w14:paraId="2718F035" w14:textId="4228E2C9" w:rsidR="00FE595A"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步骤1：指定仓库并触发增量分析</w:t>
      </w:r>
    </w:p>
    <w:p w14:paraId="3B42A0F7" w14:textId="77777777" w:rsidR="00413AB1" w:rsidRPr="00413AB1" w:rsidRDefault="00413AB1" w:rsidP="00413AB1">
      <w:pPr>
        <w:spacing w:beforeLines="50" w:before="156" w:afterLines="50" w:after="156"/>
        <w:rPr>
          <w:rFonts w:ascii="楷体" w:eastAsia="楷体" w:hAnsi="楷体"/>
          <w:color w:val="000000"/>
          <w:sz w:val="20"/>
        </w:rPr>
      </w:pPr>
    </w:p>
    <w:p w14:paraId="32652653" w14:textId="500016BC"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王工在系统界面输入项目仓库路径，系统自动检测到该仓库存在远端追踪分支且有15个未推送的本地提交，判定归属模式为"差异分析"——远端已推送代码视为现有技术，仅15个未推送提交中的变更文件纳入发明范围。界面显示一个比例条：85%为已有技术代码（灰色），15%为原创发明代码（绿色）。系统仅对绿色部分的变更文件执行深度代码分析，包括差异统计、完整差异内容（上限6万字符）和变更文件的签名特征提取（如图</w:t>
      </w:r>
      <w:r w:rsidR="00413AB1">
        <w:rPr>
          <w:rFonts w:ascii="楷体" w:eastAsia="楷体" w:hAnsi="楷体" w:hint="eastAsia"/>
          <w:color w:val="000000"/>
          <w:sz w:val="20"/>
        </w:rPr>
        <w:t>7</w:t>
      </w:r>
      <w:r>
        <w:rPr>
          <w:rFonts w:ascii="楷体" w:eastAsia="楷体" w:hAnsi="楷体" w:hint="eastAsia"/>
          <w:color w:val="000000"/>
          <w:sz w:val="20"/>
        </w:rPr>
        <w:t>所示）。</w:t>
      </w:r>
    </w:p>
    <w:p w14:paraId="6D7C0DA7" w14:textId="77777777" w:rsidR="00FE595A" w:rsidRDefault="00FE595A"/>
    <w:p w14:paraId="4B24A5CB" w14:textId="77777777" w:rsidR="00FE595A" w:rsidRDefault="00000000">
      <w:pPr>
        <w:jc w:val="center"/>
      </w:pPr>
      <w:r>
        <w:rPr>
          <w:rFonts w:ascii="微软雅黑" w:eastAsia="微软雅黑" w:hAnsi="微软雅黑"/>
          <w:noProof/>
        </w:rPr>
        <w:drawing>
          <wp:inline distT="0" distB="0" distL="0" distR="0" wp14:anchorId="28D40CFD" wp14:editId="6A0311A9">
            <wp:extent cx="5040000" cy="1749600"/>
            <wp:effectExtent l="0" t="0" r="0" b="0"/>
            <wp:docPr id="1822607400" name="image8.png"/>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pic:cNvPicPr>
                  </pic:nvPicPr>
                  <pic:blipFill>
                    <a:blip r:embed="rId14"/>
                    <a:srcRect/>
                    <a:stretch/>
                  </pic:blipFill>
                  <pic:spPr bwMode="auto">
                    <a:xfrm>
                      <a:off x="0" y="0"/>
                      <a:ext cx="5040000" cy="1749600"/>
                    </a:xfrm>
                    <a:prstGeom prst="rect">
                      <a:avLst/>
                    </a:prstGeom>
                    <a:noFill/>
                    <a:ln>
                      <a:noFill/>
                    </a:ln>
                  </pic:spPr>
                </pic:pic>
              </a:graphicData>
            </a:graphic>
          </wp:inline>
        </w:drawing>
      </w:r>
    </w:p>
    <w:p w14:paraId="57F94CC3"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图7：场景B步骤1-增量分析</w:t>
      </w:r>
    </w:p>
    <w:p w14:paraId="1202C3E3" w14:textId="77777777" w:rsidR="00FE595A" w:rsidRDefault="00FE595A"/>
    <w:p w14:paraId="0F219649" w14:textId="77777777" w:rsidR="00FE595A" w:rsidRDefault="00FE595A"/>
    <w:p w14:paraId="7B974F09" w14:textId="77777777" w:rsidR="00413AB1" w:rsidRDefault="00413AB1"/>
    <w:p w14:paraId="3D91F366" w14:textId="77777777" w:rsidR="00413AB1" w:rsidRDefault="00413AB1"/>
    <w:p w14:paraId="0569D3C4" w14:textId="77777777" w:rsidR="00413AB1" w:rsidRDefault="00413AB1"/>
    <w:p w14:paraId="053B626C" w14:textId="77777777" w:rsidR="00413AB1" w:rsidRDefault="00413AB1"/>
    <w:p w14:paraId="4F9F1E9E" w14:textId="77777777" w:rsidR="00413AB1" w:rsidRDefault="00413AB1"/>
    <w:p w14:paraId="168F388D" w14:textId="77777777" w:rsidR="00FE595A" w:rsidRPr="00413AB1" w:rsidRDefault="00000000">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lastRenderedPageBreak/>
        <w:t>步骤2：聚焦增量创新的专利撰写</w:t>
      </w:r>
    </w:p>
    <w:p w14:paraId="0F793E62" w14:textId="77777777" w:rsidR="00FE595A" w:rsidRDefault="00FE595A"/>
    <w:p w14:paraId="395B022E" w14:textId="40B36344"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系统基于增量变更范围内的代码分析结果，识别出2个核心创新点——均来自未推送的本地提交，不涉及开源框架的已有功能。后续撰写流程与场景一相同（16阶段串行执行+阶段级验证），但所有章节的技术描述聚焦于增量创新部分。背景技术章节自动将开源框架的原有功能作为"现有技术"引用，发明内容章节只描述团队新增的创新方案。经过16维评审和修订后，系统输出一份仅针对增量创新的专利交底书（如图</w:t>
      </w:r>
      <w:r w:rsidR="00413AB1">
        <w:rPr>
          <w:rFonts w:ascii="楷体" w:eastAsia="楷体" w:hAnsi="楷体" w:hint="eastAsia"/>
          <w:color w:val="000000"/>
          <w:sz w:val="20"/>
        </w:rPr>
        <w:t>8</w:t>
      </w:r>
      <w:r>
        <w:rPr>
          <w:rFonts w:ascii="楷体" w:eastAsia="楷体" w:hAnsi="楷体" w:hint="eastAsia"/>
          <w:color w:val="000000"/>
          <w:sz w:val="20"/>
        </w:rPr>
        <w:t>所示）。</w:t>
      </w:r>
    </w:p>
    <w:p w14:paraId="736F6A9C" w14:textId="77777777" w:rsidR="00FE595A" w:rsidRDefault="00FE595A"/>
    <w:p w14:paraId="1459E2F4" w14:textId="77777777" w:rsidR="00FE595A" w:rsidRDefault="00FE595A"/>
    <w:p w14:paraId="57645CEB" w14:textId="77777777" w:rsidR="00FE595A" w:rsidRDefault="00000000">
      <w:pPr>
        <w:jc w:val="center"/>
      </w:pPr>
      <w:r>
        <w:rPr>
          <w:rFonts w:ascii="微软雅黑" w:eastAsia="微软雅黑" w:hAnsi="微软雅黑"/>
          <w:noProof/>
        </w:rPr>
        <w:drawing>
          <wp:inline distT="0" distB="0" distL="0" distR="0" wp14:anchorId="12C972BD" wp14:editId="5543772E">
            <wp:extent cx="5040000" cy="1533600"/>
            <wp:effectExtent l="0" t="0" r="0" b="0"/>
            <wp:docPr id="4745709" name="image9.png"/>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pic:cNvPicPr>
                  </pic:nvPicPr>
                  <pic:blipFill>
                    <a:blip r:embed="rId15"/>
                    <a:srcRect/>
                    <a:stretch/>
                  </pic:blipFill>
                  <pic:spPr bwMode="auto">
                    <a:xfrm>
                      <a:off x="0" y="0"/>
                      <a:ext cx="5040000" cy="1533600"/>
                    </a:xfrm>
                    <a:prstGeom prst="rect">
                      <a:avLst/>
                    </a:prstGeom>
                    <a:noFill/>
                    <a:ln>
                      <a:noFill/>
                    </a:ln>
                  </pic:spPr>
                </pic:pic>
              </a:graphicData>
            </a:graphic>
          </wp:inline>
        </w:drawing>
      </w:r>
    </w:p>
    <w:p w14:paraId="404D78A4"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图8：场景B步骤2-增量撰写</w:t>
      </w:r>
    </w:p>
    <w:p w14:paraId="7719FA2D" w14:textId="77777777" w:rsidR="00FE595A" w:rsidRDefault="00FE595A"/>
    <w:p w14:paraId="3A9F7EF1" w14:textId="77777777" w:rsidR="00FE595A" w:rsidRDefault="00FE595A"/>
    <w:p w14:paraId="13D5C14A" w14:textId="77777777" w:rsidR="00FE595A" w:rsidRDefault="00FE595A"/>
    <w:p w14:paraId="0A64F047" w14:textId="77777777" w:rsidR="00FE595A" w:rsidRDefault="00000000">
      <w:pPr>
        <w:jc w:val="center"/>
      </w:pPr>
      <w:r>
        <w:rPr>
          <w:rFonts w:ascii="微软雅黑" w:eastAsia="微软雅黑" w:hAnsi="微软雅黑"/>
          <w:noProof/>
        </w:rPr>
        <w:drawing>
          <wp:inline distT="0" distB="0" distL="0" distR="0" wp14:anchorId="183FF43C" wp14:editId="68895113">
            <wp:extent cx="5040000" cy="1616400"/>
            <wp:effectExtent l="0" t="0" r="0" b="0"/>
            <wp:docPr id="186682357" name="image10.png"/>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pic:cNvPicPr>
                  </pic:nvPicPr>
                  <pic:blipFill>
                    <a:blip r:embed="rId16"/>
                    <a:srcRect/>
                    <a:stretch/>
                  </pic:blipFill>
                  <pic:spPr bwMode="auto">
                    <a:xfrm>
                      <a:off x="0" y="0"/>
                      <a:ext cx="5040000" cy="1616400"/>
                    </a:xfrm>
                    <a:prstGeom prst="rect">
                      <a:avLst/>
                    </a:prstGeom>
                    <a:noFill/>
                    <a:ln>
                      <a:noFill/>
                    </a:ln>
                  </pic:spPr>
                </pic:pic>
              </a:graphicData>
            </a:graphic>
          </wp:inline>
        </w:drawing>
      </w:r>
    </w:p>
    <w:p w14:paraId="5D6296B4"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图9：场景B步骤3-获取交底书</w:t>
      </w:r>
    </w:p>
    <w:p w14:paraId="2A3C5919" w14:textId="77777777" w:rsidR="00FE595A" w:rsidRDefault="00FE595A"/>
    <w:p w14:paraId="6832E886" w14:textId="77777777" w:rsidR="00FE595A" w:rsidRDefault="00FE595A"/>
    <w:p w14:paraId="040F51B9" w14:textId="77777777" w:rsidR="00FE595A" w:rsidRDefault="00FE595A"/>
    <w:p w14:paraId="5ABECF0B" w14:textId="77777777" w:rsidR="00FE595A" w:rsidRDefault="00000000">
      <w:pPr>
        <w:jc w:val="center"/>
      </w:pPr>
      <w:r>
        <w:rPr>
          <w:rFonts w:ascii="微软雅黑" w:eastAsia="微软雅黑" w:hAnsi="微软雅黑"/>
          <w:noProof/>
        </w:rPr>
        <w:lastRenderedPageBreak/>
        <w:drawing>
          <wp:inline distT="0" distB="0" distL="0" distR="0" wp14:anchorId="76F83757" wp14:editId="52628B79">
            <wp:extent cx="5113325" cy="2080260"/>
            <wp:effectExtent l="0" t="0" r="5080" b="2540"/>
            <wp:docPr id="652540090" name="image11.png"/>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pic:cNvPicPr>
                  </pic:nvPicPr>
                  <pic:blipFill>
                    <a:blip r:embed="rId17"/>
                    <a:srcRect/>
                    <a:stretch/>
                  </pic:blipFill>
                  <pic:spPr bwMode="auto">
                    <a:xfrm>
                      <a:off x="0" y="0"/>
                      <a:ext cx="5118874" cy="2082518"/>
                    </a:xfrm>
                    <a:prstGeom prst="rect">
                      <a:avLst/>
                    </a:prstGeom>
                    <a:noFill/>
                    <a:ln>
                      <a:noFill/>
                    </a:ln>
                  </pic:spPr>
                </pic:pic>
              </a:graphicData>
            </a:graphic>
          </wp:inline>
        </w:drawing>
      </w:r>
    </w:p>
    <w:p w14:paraId="6519B29C"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图10：创新点联动总览</w:t>
      </w:r>
    </w:p>
    <w:p w14:paraId="25E5EDCE" w14:textId="77777777" w:rsidR="00FE595A" w:rsidRDefault="00FE595A"/>
    <w:p w14:paraId="00E0B73B" w14:textId="77777777" w:rsidR="00FE595A" w:rsidRDefault="00FE595A"/>
    <w:p w14:paraId="47E1F92C" w14:textId="3CF4000B"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底层技术支撑： 为了实现上述图中展示的一键生成专利交底书的能力，本发明的底层技术采用了"Skill规范驱动的多阶段流水线架构"。上述产品界面仅为应用场景的呈现形式，真正的技术创新在于系统后台如何将专利代理人的领域知识编码为可执行规范，并通过阶段级硬守卫机制确保每个环节的输出质量。具体技术方案详见4.2节。</w:t>
      </w:r>
    </w:p>
    <w:p w14:paraId="4320E34E" w14:textId="77777777" w:rsidR="00D75CFA" w:rsidRPr="003F57CF" w:rsidRDefault="00D75CFA" w:rsidP="00D36B32">
      <w:pPr>
        <w:spacing w:line="276" w:lineRule="auto"/>
        <w:rPr>
          <w:rFonts w:ascii="微软雅黑" w:eastAsia="微软雅黑" w:hAnsi="微软雅黑"/>
          <w:sz w:val="18"/>
          <w:szCs w:val="18"/>
        </w:rPr>
      </w:pPr>
    </w:p>
    <w:p w14:paraId="4B222576" w14:textId="16C21C33" w:rsidR="00FE595A" w:rsidRPr="00413AB1" w:rsidRDefault="003F57CF" w:rsidP="00413AB1">
      <w:pPr>
        <w:spacing w:line="276" w:lineRule="auto"/>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sz w:val="18"/>
          <w:szCs w:val="18"/>
        </w:rPr>
        <w:t>.2技术侧</w:t>
      </w:r>
      <w:r>
        <w:rPr>
          <w:rFonts w:ascii="微软雅黑" w:eastAsia="微软雅黑" w:hAnsi="微软雅黑" w:hint="eastAsia"/>
          <w:color w:val="FF0000"/>
          <w:sz w:val="18"/>
          <w:szCs w:val="18"/>
        </w:rPr>
        <w:t>（必填）</w:t>
      </w:r>
    </w:p>
    <w:p w14:paraId="4E190933" w14:textId="77B285C0"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4.2.1 系统技术架构</w:t>
      </w:r>
    </w:p>
    <w:p w14:paraId="7EE451F5" w14:textId="7700F393" w:rsidR="00FE595A" w:rsidRPr="00F379BB" w:rsidRDefault="00000000" w:rsidP="00F379BB">
      <w:pPr>
        <w:spacing w:beforeLines="50" w:before="156" w:afterLines="50" w:after="156"/>
        <w:rPr>
          <w:rFonts w:ascii="楷体" w:eastAsia="楷体" w:hAnsi="楷体"/>
          <w:color w:val="000000"/>
          <w:sz w:val="20"/>
        </w:rPr>
      </w:pPr>
      <w:r>
        <w:rPr>
          <w:rFonts w:ascii="楷体" w:eastAsia="楷体" w:hAnsi="楷体" w:hint="eastAsia"/>
          <w:color w:val="000000"/>
          <w:sz w:val="20"/>
        </w:rPr>
        <w:t>本系统采用四层架构（如图11所示）。</w:t>
      </w:r>
    </w:p>
    <w:p w14:paraId="7CB81E80" w14:textId="7A8D37AC" w:rsidR="00FE595A" w:rsidRPr="00F379BB" w:rsidRDefault="00000000" w:rsidP="00F379BB">
      <w:pPr>
        <w:spacing w:beforeLines="50" w:before="156" w:afterLines="50" w:after="156"/>
        <w:rPr>
          <w:rFonts w:ascii="楷体" w:eastAsia="楷体" w:hAnsi="楷体"/>
          <w:color w:val="000000"/>
          <w:sz w:val="20"/>
        </w:rPr>
      </w:pPr>
      <w:r w:rsidRPr="00F379BB">
        <w:rPr>
          <w:rFonts w:ascii="楷体" w:eastAsia="楷体" w:hAnsi="楷体" w:hint="eastAsia"/>
          <w:b/>
          <w:bCs/>
          <w:color w:val="000000"/>
          <w:sz w:val="20"/>
        </w:rPr>
        <w:t>Skill规范层：</w:t>
      </w:r>
      <w:r w:rsidRPr="00F379BB">
        <w:rPr>
          <w:rFonts w:ascii="楷体" w:eastAsia="楷体" w:hAnsi="楷体" w:hint="eastAsia"/>
          <w:color w:val="000000"/>
          <w:sz w:val="20"/>
        </w:rPr>
        <w:t>负责定义16阶段流水线的执行指令、质量约束和验证规则；核心组件包括阶段定义模块和质量规则模块。</w:t>
      </w:r>
    </w:p>
    <w:p w14:paraId="75EF96C3" w14:textId="169DC9A2" w:rsidR="00FE595A" w:rsidRPr="00F379BB" w:rsidRDefault="00000000" w:rsidP="00F379BB">
      <w:pPr>
        <w:spacing w:beforeLines="50" w:before="156" w:afterLines="50" w:after="156"/>
        <w:rPr>
          <w:rFonts w:ascii="楷体" w:eastAsia="楷体" w:hAnsi="楷体"/>
          <w:color w:val="000000"/>
          <w:sz w:val="20"/>
        </w:rPr>
      </w:pPr>
      <w:r w:rsidRPr="00F379BB">
        <w:rPr>
          <w:rFonts w:ascii="楷体" w:eastAsia="楷体" w:hAnsi="楷体" w:hint="eastAsia"/>
          <w:b/>
          <w:bCs/>
          <w:color w:val="000000"/>
          <w:sz w:val="20"/>
        </w:rPr>
        <w:t>编排控制层：</w:t>
      </w:r>
      <w:r w:rsidRPr="00F379BB">
        <w:rPr>
          <w:rFonts w:ascii="楷体" w:eastAsia="楷体" w:hAnsi="楷体" w:hint="eastAsia"/>
          <w:color w:val="000000"/>
          <w:sz w:val="20"/>
        </w:rPr>
        <w:t>负责解析输入源、调度各处理阶段并调用阶段级产出验证；核心组件包括输入源解析器、归属判定器和产出验证器。</w:t>
      </w:r>
    </w:p>
    <w:p w14:paraId="228514DE" w14:textId="3E4D00FA" w:rsidR="00FE595A" w:rsidRPr="00F379BB" w:rsidRDefault="00000000" w:rsidP="00F379BB">
      <w:pPr>
        <w:spacing w:beforeLines="50" w:before="156" w:afterLines="50" w:after="156"/>
        <w:rPr>
          <w:rFonts w:ascii="楷体" w:eastAsia="楷体" w:hAnsi="楷体"/>
          <w:color w:val="000000"/>
          <w:sz w:val="20"/>
        </w:rPr>
      </w:pPr>
      <w:r w:rsidRPr="00F379BB">
        <w:rPr>
          <w:rFonts w:ascii="楷体" w:eastAsia="楷体" w:hAnsi="楷体" w:hint="eastAsia"/>
          <w:b/>
          <w:bCs/>
          <w:color w:val="000000"/>
          <w:sz w:val="20"/>
        </w:rPr>
        <w:t>代码分析层：</w:t>
      </w:r>
      <w:r w:rsidRPr="00F379BB">
        <w:rPr>
          <w:rFonts w:ascii="楷体" w:eastAsia="楷体" w:hAnsi="楷体" w:hint="eastAsia"/>
          <w:color w:val="000000"/>
          <w:sz w:val="20"/>
        </w:rPr>
        <w:t>负责从代码仓库提取结构化上下文；核心组件包括版本控制接口、签名特征提取器和依赖图分析器。</w:t>
      </w:r>
    </w:p>
    <w:p w14:paraId="1DE7DE68" w14:textId="2FC09756" w:rsidR="00FE595A" w:rsidRPr="00413AB1" w:rsidRDefault="00000000" w:rsidP="00413AB1">
      <w:pPr>
        <w:spacing w:beforeLines="50" w:before="156" w:afterLines="50" w:after="156"/>
        <w:rPr>
          <w:rFonts w:ascii="楷体" w:eastAsia="楷体" w:hAnsi="楷体"/>
          <w:color w:val="000000"/>
          <w:sz w:val="20"/>
        </w:rPr>
      </w:pPr>
      <w:r w:rsidRPr="00F379BB">
        <w:rPr>
          <w:rFonts w:ascii="楷体" w:eastAsia="楷体" w:hAnsi="楷体" w:hint="eastAsia"/>
          <w:b/>
          <w:bCs/>
          <w:color w:val="000000"/>
          <w:sz w:val="20"/>
        </w:rPr>
        <w:t>文档构建层：</w:t>
      </w:r>
      <w:r w:rsidRPr="00F379BB">
        <w:rPr>
          <w:rFonts w:ascii="楷体" w:eastAsia="楷体" w:hAnsi="楷体" w:hint="eastAsia"/>
          <w:color w:val="000000"/>
          <w:sz w:val="20"/>
        </w:rPr>
        <w:t>负责将章节文本组装为标准文档；核心组件包括章节转换引擎、文档构建引擎和文档打包工具。</w:t>
      </w:r>
    </w:p>
    <w:p w14:paraId="634C0CC7" w14:textId="77777777" w:rsidR="00FE595A" w:rsidRDefault="00000000">
      <w:pPr>
        <w:jc w:val="center"/>
      </w:pPr>
      <w:r>
        <w:rPr>
          <w:rFonts w:ascii="微软雅黑" w:eastAsia="微软雅黑" w:hAnsi="微软雅黑"/>
          <w:noProof/>
        </w:rPr>
        <w:drawing>
          <wp:inline distT="0" distB="0" distL="0" distR="0" wp14:anchorId="037B0AB1" wp14:editId="1ED60C2D">
            <wp:extent cx="5522976" cy="1228953"/>
            <wp:effectExtent l="0" t="0" r="1905" b="3175"/>
            <wp:docPr id="1244027583" name="image16.png"/>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pic:cNvPicPr>
                  </pic:nvPicPr>
                  <pic:blipFill>
                    <a:blip r:embed="rId18"/>
                    <a:srcRect/>
                    <a:stretch/>
                  </pic:blipFill>
                  <pic:spPr bwMode="auto">
                    <a:xfrm>
                      <a:off x="0" y="0"/>
                      <a:ext cx="5608082" cy="1247891"/>
                    </a:xfrm>
                    <a:prstGeom prst="rect">
                      <a:avLst/>
                    </a:prstGeom>
                    <a:noFill/>
                    <a:ln>
                      <a:noFill/>
                    </a:ln>
                  </pic:spPr>
                </pic:pic>
              </a:graphicData>
            </a:graphic>
          </wp:inline>
        </w:drawing>
      </w:r>
    </w:p>
    <w:p w14:paraId="11D07327" w14:textId="0A7A8AAC" w:rsidR="00F379BB" w:rsidRPr="00413AB1" w:rsidRDefault="00000000" w:rsidP="00413AB1">
      <w:pPr>
        <w:jc w:val="center"/>
        <w:rPr>
          <w:rFonts w:ascii="楷体" w:eastAsia="楷体" w:hAnsi="楷体"/>
          <w:color w:val="000000"/>
          <w:sz w:val="20"/>
        </w:rPr>
      </w:pPr>
      <w:r>
        <w:rPr>
          <w:rFonts w:ascii="楷体" w:eastAsia="楷体" w:hAnsi="楷体" w:hint="eastAsia"/>
          <w:color w:val="000000"/>
          <w:sz w:val="20"/>
        </w:rPr>
        <w:t>图11：系统技术架构图</w:t>
      </w:r>
    </w:p>
    <w:p w14:paraId="4AE25022" w14:textId="04DE666E" w:rsidR="00FE595A" w:rsidRDefault="00000000" w:rsidP="00F379BB">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lastRenderedPageBreak/>
        <w:t>4.2.2 核心算法流程</w:t>
      </w:r>
    </w:p>
    <w:p w14:paraId="3925FE43" w14:textId="77777777" w:rsidR="00413AB1" w:rsidRPr="00413AB1" w:rsidRDefault="00413AB1" w:rsidP="00F379BB">
      <w:pPr>
        <w:spacing w:beforeLines="50" w:before="156" w:afterLines="50" w:after="156"/>
        <w:rPr>
          <w:rFonts w:ascii="楷体" w:eastAsia="楷体" w:hAnsi="楷体"/>
          <w:color w:val="000000"/>
          <w:sz w:val="20"/>
        </w:rPr>
      </w:pPr>
    </w:p>
    <w:p w14:paraId="2DC126E5" w14:textId="4940F5C7" w:rsidR="00FE595A"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步骤S1：代码仓库归属判定</w:t>
      </w:r>
    </w:p>
    <w:p w14:paraId="44DC20CA" w14:textId="77777777" w:rsidR="00413AB1" w:rsidRPr="00413AB1" w:rsidRDefault="00413AB1" w:rsidP="00413AB1">
      <w:pPr>
        <w:spacing w:beforeLines="50" w:before="156" w:afterLines="50" w:after="156"/>
        <w:rPr>
          <w:rFonts w:ascii="楷体" w:eastAsia="楷体" w:hAnsi="楷体"/>
          <w:color w:val="000000"/>
          <w:sz w:val="20"/>
        </w:rPr>
      </w:pPr>
    </w:p>
    <w:p w14:paraId="56F4CB5E" w14:textId="5C21A81C" w:rsidR="00FE595A" w:rsidRDefault="00000000" w:rsidP="00413AB1">
      <w:pPr>
        <w:spacing w:beforeLines="50" w:before="156" w:afterLines="50" w:after="156"/>
        <w:rPr>
          <w:rFonts w:ascii="楷体" w:eastAsia="楷体" w:hAnsi="楷体"/>
          <w:color w:val="000000"/>
          <w:sz w:val="20"/>
        </w:rPr>
      </w:pPr>
      <w:r>
        <w:rPr>
          <w:rFonts w:ascii="楷体" w:eastAsia="楷体" w:hAnsi="楷体" w:hint="eastAsia"/>
          <w:b/>
          <w:bCs/>
          <w:color w:val="000000"/>
          <w:sz w:val="20"/>
        </w:rPr>
        <w:t>问题动机：</w:t>
      </w:r>
      <w:r>
        <w:rPr>
          <w:rFonts w:ascii="楷体" w:eastAsia="楷体" w:hAnsi="楷体" w:hint="eastAsia"/>
          <w:color w:val="000000"/>
          <w:sz w:val="20"/>
        </w:rPr>
        <w:t>专利申请要求交底书仅覆盖申请人的原创技术方案。如果不先完成代码归属判定，后续分析可能将他人已公开代码误纳入发明范围，从而削弱新颖性说明。</w:t>
      </w:r>
      <w:r>
        <w:br/>
      </w:r>
      <w:r>
        <w:rPr>
          <w:rFonts w:ascii="楷体" w:eastAsia="楷体" w:hAnsi="楷体" w:hint="eastAsia"/>
          <w:b/>
          <w:bCs/>
          <w:color w:val="000000"/>
          <w:sz w:val="20"/>
        </w:rPr>
        <w:t>技术动作：</w:t>
      </w:r>
      <w:r>
        <w:rPr>
          <w:rFonts w:ascii="楷体" w:eastAsia="楷体" w:hAnsi="楷体" w:hint="eastAsia"/>
          <w:color w:val="000000"/>
          <w:sz w:val="20"/>
        </w:rPr>
        <w:t>系统接收仓库路径后，先检测是否存在版本控制元数据目录。若不存在，则判定为"全量自有"模式；若存在，则继续检查远端追踪分支状态：无远端，或虽有远端但无未推送提交时，均判定为"全量自有"；有远端且存在未推送提交时，判定为"差异分析"模式，仅将未推送部分纳入发明范围。</w:t>
      </w:r>
      <w:r>
        <w:br/>
      </w:r>
      <w:r>
        <w:rPr>
          <w:rFonts w:ascii="楷体" w:eastAsia="楷体" w:hAnsi="楷体" w:hint="eastAsia"/>
          <w:b/>
          <w:bCs/>
          <w:color w:val="000000"/>
          <w:sz w:val="20"/>
        </w:rPr>
        <w:t>输入数据样例：</w:t>
      </w:r>
      <w:r>
        <w:rPr>
          <w:rFonts w:ascii="楷体" w:eastAsia="楷体" w:hAnsi="楷体" w:hint="eastAsia"/>
          <w:color w:val="000000"/>
          <w:sz w:val="20"/>
        </w:rPr>
        <w:t>仓库路径=/workspace/my-project；版本控制状态=存在；远端追踪=origin/main；未推送提交数=15。</w:t>
      </w:r>
      <w:r>
        <w:br/>
      </w:r>
      <w:r>
        <w:rPr>
          <w:rFonts w:ascii="楷体" w:eastAsia="楷体" w:hAnsi="楷体" w:hint="eastAsia"/>
          <w:b/>
          <w:bCs/>
          <w:color w:val="000000"/>
          <w:sz w:val="20"/>
        </w:rPr>
        <w:t>输出数据样例：</w:t>
      </w:r>
      <w:r>
        <w:rPr>
          <w:rFonts w:ascii="楷体" w:eastAsia="楷体" w:hAnsi="楷体" w:hint="eastAsia"/>
          <w:color w:val="000000"/>
          <w:sz w:val="20"/>
        </w:rPr>
        <w:t>归属模式=diff_only；发明代码范围=[file_a.py, file_b.py, config.yaml]；现有技术代码比例=85%。</w:t>
      </w:r>
      <w:r>
        <w:br/>
      </w:r>
      <w:r>
        <w:rPr>
          <w:rFonts w:ascii="楷体" w:eastAsia="楷体" w:hAnsi="楷体" w:hint="eastAsia"/>
          <w:b/>
          <w:bCs/>
          <w:color w:val="000000"/>
          <w:sz w:val="20"/>
        </w:rPr>
        <w:t>关键参数：</w:t>
      </w:r>
      <w:r>
        <w:rPr>
          <w:rFonts w:ascii="楷体" w:eastAsia="楷体" w:hAnsi="楷体" w:hint="eastAsia"/>
          <w:color w:val="000000"/>
          <w:sz w:val="20"/>
        </w:rPr>
        <w:t>归属模式取值为 full_ownership 或 diff_only；差异提取上限=60000字符；变更文件读取上限=30个文件，且每文件最多5000字符。</w:t>
      </w:r>
      <w:r>
        <w:br/>
      </w:r>
      <w:r>
        <w:rPr>
          <w:rFonts w:ascii="楷体" w:eastAsia="楷体" w:hAnsi="楷体" w:hint="eastAsia"/>
          <w:b/>
          <w:bCs/>
          <w:color w:val="000000"/>
          <w:sz w:val="20"/>
        </w:rPr>
        <w:t>通俗说明：</w:t>
      </w:r>
      <w:r>
        <w:rPr>
          <w:rFonts w:ascii="楷体" w:eastAsia="楷体" w:hAnsi="楷体" w:hint="eastAsia"/>
          <w:color w:val="000000"/>
          <w:sz w:val="20"/>
        </w:rPr>
        <w:t>先分清哪些代码属于本次申请需要保护的原创部分。</w:t>
      </w:r>
    </w:p>
    <w:p w14:paraId="54A3ACC8" w14:textId="77777777" w:rsidR="00413AB1" w:rsidRPr="00413AB1" w:rsidRDefault="00413AB1" w:rsidP="00413AB1">
      <w:pPr>
        <w:spacing w:beforeLines="50" w:before="156" w:afterLines="50" w:after="156"/>
        <w:rPr>
          <w:rFonts w:ascii="楷体" w:eastAsia="楷体" w:hAnsi="楷体"/>
          <w:color w:val="000000"/>
          <w:sz w:val="20"/>
        </w:rPr>
      </w:pPr>
    </w:p>
    <w:p w14:paraId="6A84BAB0" w14:textId="4006C9C1" w:rsidR="00FE595A"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步骤S2：结构化代码上下文提取</w:t>
      </w:r>
    </w:p>
    <w:p w14:paraId="759715F1" w14:textId="77777777" w:rsidR="00413AB1" w:rsidRPr="00413AB1" w:rsidRDefault="00413AB1" w:rsidP="00413AB1">
      <w:pPr>
        <w:spacing w:beforeLines="50" w:before="156" w:afterLines="50" w:after="156"/>
        <w:rPr>
          <w:rFonts w:ascii="楷体" w:eastAsia="楷体" w:hAnsi="楷体"/>
          <w:color w:val="000000"/>
          <w:sz w:val="20"/>
        </w:rPr>
      </w:pPr>
    </w:p>
    <w:p w14:paraId="3602C26F" w14:textId="482C84A6" w:rsidR="00FE595A" w:rsidRDefault="00000000" w:rsidP="00413AB1">
      <w:pPr>
        <w:spacing w:beforeLines="50" w:before="156" w:afterLines="50" w:after="156"/>
        <w:rPr>
          <w:rFonts w:ascii="楷体" w:eastAsia="楷体" w:hAnsi="楷体"/>
          <w:color w:val="000000"/>
          <w:sz w:val="20"/>
        </w:rPr>
      </w:pPr>
      <w:r>
        <w:rPr>
          <w:rFonts w:ascii="楷体" w:eastAsia="楷体" w:hAnsi="楷体" w:hint="eastAsia"/>
          <w:b/>
          <w:bCs/>
          <w:color w:val="000000"/>
          <w:sz w:val="20"/>
        </w:rPr>
        <w:t>问题动机：</w:t>
      </w:r>
      <w:r>
        <w:rPr>
          <w:rFonts w:ascii="楷体" w:eastAsia="楷体" w:hAnsi="楷体" w:hint="eastAsia"/>
          <w:color w:val="000000"/>
          <w:sz w:val="20"/>
        </w:rPr>
        <w:t>智能体只有先理解代码的功能和结构，才能稳定识别创新点。如果不做结构化提取，原始代码文件对后续撰写环节并不友好。</w:t>
      </w:r>
      <w:r>
        <w:br/>
      </w:r>
      <w:r>
        <w:rPr>
          <w:rFonts w:ascii="楷体" w:eastAsia="楷体" w:hAnsi="楷体" w:hint="eastAsia"/>
          <w:b/>
          <w:bCs/>
          <w:color w:val="000000"/>
          <w:sz w:val="20"/>
        </w:rPr>
        <w:t>技术动作：</w:t>
      </w:r>
      <w:r>
        <w:rPr>
          <w:rFonts w:ascii="楷体" w:eastAsia="楷体" w:hAnsi="楷体" w:hint="eastAsia"/>
          <w:color w:val="000000"/>
          <w:sz w:val="20"/>
        </w:rPr>
        <w:t>系统对发明范围内的代码文件执行三类分析：第一类为语法结构特征提取，解析函数和类定义并记录参数类型、返回值与装饰器信息；第二类为模块依赖关系分析，解析文件间引用关系，构建依赖图并识别被引用次数不低于2的核心模块；第三类为文档摘要提取，扫描项目说明文件获取功能概述。</w:t>
      </w:r>
      <w:r>
        <w:br/>
      </w:r>
      <w:r>
        <w:rPr>
          <w:rFonts w:ascii="楷体" w:eastAsia="楷体" w:hAnsi="楷体" w:hint="eastAsia"/>
          <w:b/>
          <w:bCs/>
          <w:color w:val="000000"/>
          <w:sz w:val="20"/>
        </w:rPr>
        <w:t>输入数据样例：</w:t>
      </w:r>
      <w:r>
        <w:rPr>
          <w:rFonts w:ascii="楷体" w:eastAsia="楷体" w:hAnsi="楷体" w:hint="eastAsia"/>
          <w:color w:val="000000"/>
          <w:sz w:val="20"/>
        </w:rPr>
        <w:t>发明代码范围=[orchestrate.py, repo_analyzer.py, patent_builder.py]；文件总数=12。</w:t>
      </w:r>
      <w:r>
        <w:br/>
      </w:r>
      <w:r>
        <w:rPr>
          <w:rFonts w:ascii="楷体" w:eastAsia="楷体" w:hAnsi="楷体" w:hint="eastAsia"/>
          <w:b/>
          <w:bCs/>
          <w:color w:val="000000"/>
          <w:sz w:val="20"/>
        </w:rPr>
        <w:t>输出数据样例：</w:t>
      </w:r>
      <w:r>
        <w:rPr>
          <w:rFonts w:ascii="楷体" w:eastAsia="楷体" w:hAnsi="楷体" w:hint="eastAsia"/>
          <w:color w:val="000000"/>
          <w:sz w:val="20"/>
        </w:rPr>
        <w:t>签名特征索引=199条定义；核心模块=[orchestrate, patent_builder]；代码上下文报告大小=59510字符。</w:t>
      </w:r>
      <w:r>
        <w:br/>
      </w:r>
      <w:r>
        <w:rPr>
          <w:rFonts w:ascii="楷体" w:eastAsia="楷体" w:hAnsi="楷体" w:hint="eastAsia"/>
          <w:b/>
          <w:bCs/>
          <w:color w:val="000000"/>
          <w:sz w:val="20"/>
        </w:rPr>
        <w:t>关键参数：</w:t>
      </w:r>
      <w:r>
        <w:rPr>
          <w:rFonts w:ascii="楷体" w:eastAsia="楷体" w:hAnsi="楷体" w:hint="eastAsia"/>
          <w:color w:val="000000"/>
          <w:sz w:val="20"/>
        </w:rPr>
        <w:t>全量代码扫描上限=40个文件，且每文件最多5000字符；签名特征提取覆盖所有代码文件；依赖图核心模块阈值=被引用次数≥2。</w:t>
      </w:r>
      <w:r>
        <w:br/>
      </w:r>
      <w:r>
        <w:rPr>
          <w:rFonts w:ascii="楷体" w:eastAsia="楷体" w:hAnsi="楷体" w:hint="eastAsia"/>
          <w:b/>
          <w:bCs/>
          <w:color w:val="000000"/>
          <w:sz w:val="20"/>
        </w:rPr>
        <w:t>通俗说明：</w:t>
      </w:r>
      <w:r>
        <w:rPr>
          <w:rFonts w:ascii="楷体" w:eastAsia="楷体" w:hAnsi="楷体" w:hint="eastAsia"/>
          <w:color w:val="000000"/>
          <w:sz w:val="20"/>
        </w:rPr>
        <w:t>把原始代码整理成智能体后续能够稳定利用的结构化报告。</w:t>
      </w:r>
    </w:p>
    <w:p w14:paraId="4C95A4B5" w14:textId="77777777" w:rsidR="00413AB1" w:rsidRDefault="00413AB1" w:rsidP="00413AB1">
      <w:pPr>
        <w:spacing w:beforeLines="50" w:before="156" w:afterLines="50" w:after="156"/>
        <w:rPr>
          <w:rFonts w:ascii="楷体" w:eastAsia="楷体" w:hAnsi="楷体"/>
          <w:color w:val="000000"/>
          <w:sz w:val="20"/>
        </w:rPr>
      </w:pPr>
    </w:p>
    <w:p w14:paraId="42E98FED" w14:textId="77777777" w:rsidR="00413AB1" w:rsidRDefault="00413AB1" w:rsidP="00413AB1">
      <w:pPr>
        <w:spacing w:beforeLines="50" w:before="156" w:afterLines="50" w:after="156"/>
        <w:rPr>
          <w:rFonts w:ascii="楷体" w:eastAsia="楷体" w:hAnsi="楷体"/>
          <w:color w:val="000000"/>
          <w:sz w:val="20"/>
        </w:rPr>
      </w:pPr>
    </w:p>
    <w:p w14:paraId="5000F5D4" w14:textId="77777777" w:rsidR="00413AB1" w:rsidRDefault="00413AB1" w:rsidP="00413AB1">
      <w:pPr>
        <w:spacing w:beforeLines="50" w:before="156" w:afterLines="50" w:after="156"/>
        <w:rPr>
          <w:rFonts w:ascii="楷体" w:eastAsia="楷体" w:hAnsi="楷体"/>
          <w:color w:val="000000"/>
          <w:sz w:val="20"/>
        </w:rPr>
      </w:pPr>
    </w:p>
    <w:p w14:paraId="6AC322DE" w14:textId="77777777" w:rsidR="00413AB1" w:rsidRPr="00413AB1" w:rsidRDefault="00413AB1" w:rsidP="00413AB1">
      <w:pPr>
        <w:spacing w:beforeLines="50" w:before="156" w:afterLines="50" w:after="156"/>
        <w:rPr>
          <w:rFonts w:ascii="楷体" w:eastAsia="楷体" w:hAnsi="楷体"/>
          <w:color w:val="000000"/>
          <w:sz w:val="20"/>
        </w:rPr>
      </w:pPr>
    </w:p>
    <w:p w14:paraId="010C0F23" w14:textId="6EE9A66C" w:rsidR="00FE595A"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lastRenderedPageBreak/>
        <w:t>步骤S3：Skill规范驱动的多阶段串行撰写</w:t>
      </w:r>
    </w:p>
    <w:p w14:paraId="2CD7BED1" w14:textId="77777777" w:rsidR="00413AB1" w:rsidRPr="00413AB1" w:rsidRDefault="00413AB1" w:rsidP="00413AB1">
      <w:pPr>
        <w:spacing w:beforeLines="50" w:before="156" w:afterLines="50" w:after="156"/>
        <w:rPr>
          <w:rFonts w:ascii="楷体" w:eastAsia="楷体" w:hAnsi="楷体"/>
          <w:color w:val="000000"/>
          <w:sz w:val="20"/>
        </w:rPr>
      </w:pPr>
    </w:p>
    <w:p w14:paraId="46AD5681"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b/>
          <w:bCs/>
          <w:color w:val="000000"/>
          <w:sz w:val="20"/>
        </w:rPr>
        <w:t>问题动机：</w:t>
      </w:r>
      <w:r>
        <w:rPr>
          <w:rFonts w:ascii="楷体" w:eastAsia="楷体" w:hAnsi="楷体" w:hint="eastAsia"/>
          <w:color w:val="000000"/>
          <w:sz w:val="20"/>
        </w:rPr>
        <w:t>专利交底书包含术语、构思、背景和发明内容等多个章节，前后之间存在明显的逻辑依赖关系。如果不按既定顺序串行执行，后续章节可能引用前序阶段尚未生成或尚未验证通过的内容。</w:t>
      </w:r>
      <w:r>
        <w:br/>
      </w:r>
      <w:r>
        <w:rPr>
          <w:rFonts w:ascii="楷体" w:eastAsia="楷体" w:hAnsi="楷体" w:hint="eastAsia"/>
          <w:b/>
          <w:bCs/>
          <w:color w:val="000000"/>
          <w:sz w:val="20"/>
        </w:rPr>
        <w:t>技术动作：</w:t>
      </w:r>
      <w:r>
        <w:rPr>
          <w:rFonts w:ascii="楷体" w:eastAsia="楷体" w:hAnsi="楷体" w:hint="eastAsia"/>
          <w:color w:val="000000"/>
          <w:sz w:val="20"/>
        </w:rPr>
        <w:t>智能体读取 Skill规范文件中定义的16个阶段指令，从第0阶段（环境检查）到第15阶段（文档组装）按顺序执行。每完成一个阶段，系统都会调用阶段级产出验证命令，检查产出文件是否存在、内容字符数是否达标、必需的章节标题标记是否完整。验证返回"通过"后才进入下一阶段；若返回"不通过"，则根据缺失项提示重新执行当前阶段。</w:t>
      </w:r>
      <w:r>
        <w:br/>
      </w:r>
      <w:r>
        <w:rPr>
          <w:rFonts w:ascii="楷体" w:eastAsia="楷体" w:hAnsi="楷体" w:hint="eastAsia"/>
          <w:b/>
          <w:bCs/>
          <w:color w:val="000000"/>
          <w:sz w:val="20"/>
        </w:rPr>
        <w:t>输入数据样例：</w:t>
      </w:r>
      <w:r>
        <w:rPr>
          <w:rFonts w:ascii="楷体" w:eastAsia="楷体" w:hAnsi="楷体" w:hint="eastAsia"/>
          <w:color w:val="000000"/>
          <w:sz w:val="20"/>
        </w:rPr>
        <w:t>Skill规范文件=SKILL.md（定义16阶段）；当前阶段=Stage 06（关键术语）；前序产出=[goal_text.md, prior_art.md]。</w:t>
      </w:r>
      <w:r>
        <w:br/>
      </w:r>
      <w:r>
        <w:rPr>
          <w:rFonts w:ascii="楷体" w:eastAsia="楷体" w:hAnsi="楷体" w:hint="eastAsia"/>
          <w:b/>
          <w:bCs/>
          <w:color w:val="000000"/>
          <w:sz w:val="20"/>
        </w:rPr>
        <w:t>输出数据样例：</w:t>
      </w:r>
      <w:r>
        <w:rPr>
          <w:rFonts w:ascii="楷体" w:eastAsia="楷体" w:hAnsi="楷体" w:hint="eastAsia"/>
          <w:color w:val="000000"/>
          <w:sz w:val="20"/>
        </w:rPr>
        <w:t>当前阶段产出=key_terms.md（5个术语定义）；验证结果={status: PASS, chars: 2150}。</w:t>
      </w:r>
      <w:r>
        <w:br/>
      </w:r>
      <w:r>
        <w:rPr>
          <w:rFonts w:ascii="楷体" w:eastAsia="楷体" w:hAnsi="楷体" w:hint="eastAsia"/>
          <w:b/>
          <w:bCs/>
          <w:color w:val="000000"/>
          <w:sz w:val="20"/>
        </w:rPr>
        <w:t>关键参数：</w:t>
      </w:r>
      <w:r>
        <w:rPr>
          <w:rFonts w:ascii="楷体" w:eastAsia="楷体" w:hAnsi="楷体" w:hint="eastAsia"/>
          <w:color w:val="000000"/>
          <w:sz w:val="20"/>
        </w:rPr>
        <w:t>阶段总数=16（Stage 00-15）；各阶段最低字符数要求（如 key_terms≥200、invention_content≥5000）；必需章节标题列表。</w:t>
      </w:r>
      <w:r>
        <w:br/>
      </w:r>
      <w:r>
        <w:rPr>
          <w:rFonts w:ascii="楷体" w:eastAsia="楷体" w:hAnsi="楷体" w:hint="eastAsia"/>
          <w:b/>
          <w:bCs/>
          <w:color w:val="000000"/>
          <w:sz w:val="20"/>
        </w:rPr>
        <w:t>通俗说明：</w:t>
      </w:r>
      <w:r>
        <w:rPr>
          <w:rFonts w:ascii="楷体" w:eastAsia="楷体" w:hAnsi="楷体" w:hint="eastAsia"/>
          <w:color w:val="000000"/>
          <w:sz w:val="20"/>
        </w:rPr>
        <w:t>严格按既定操作手册逐阶段执行，并且每一步合格后才进入下一步。</w:t>
      </w:r>
    </w:p>
    <w:p w14:paraId="02DC73D3" w14:textId="77777777" w:rsidR="00FE595A" w:rsidRDefault="00FE595A"/>
    <w:p w14:paraId="5E54263D" w14:textId="77777777" w:rsidR="00FE595A" w:rsidRPr="00413AB1" w:rsidRDefault="00000000">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步骤S4：三层文本合规性处理</w:t>
      </w:r>
    </w:p>
    <w:p w14:paraId="5D4BE207" w14:textId="77777777" w:rsidR="00FE595A" w:rsidRDefault="00FE595A"/>
    <w:p w14:paraId="432B1EA7"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b/>
          <w:bCs/>
          <w:color w:val="000000"/>
          <w:sz w:val="20"/>
        </w:rPr>
        <w:t>问题动机：</w:t>
      </w:r>
      <w:r>
        <w:rPr>
          <w:rFonts w:ascii="楷体" w:eastAsia="楷体" w:hAnsi="楷体" w:hint="eastAsia"/>
          <w:color w:val="000000"/>
          <w:sz w:val="20"/>
        </w:rPr>
        <w:t>智能体生成的文本可能带有对话前缀、编程术语或口语化表达。如果缺少专门处理，交底书虽然内容完整，但表述方式仍可能不够规范。</w:t>
      </w:r>
      <w:r>
        <w:br/>
      </w:r>
      <w:r>
        <w:rPr>
          <w:rFonts w:ascii="楷体" w:eastAsia="楷体" w:hAnsi="楷体" w:hint="eastAsia"/>
          <w:b/>
          <w:bCs/>
          <w:color w:val="000000"/>
          <w:sz w:val="20"/>
        </w:rPr>
        <w:t>技术动作：</w:t>
      </w:r>
      <w:r>
        <w:rPr>
          <w:rFonts w:ascii="楷体" w:eastAsia="楷体" w:hAnsi="楷体" w:hint="eastAsia"/>
          <w:color w:val="000000"/>
          <w:sz w:val="20"/>
        </w:rPr>
        <w:t>预防层在撰写阶段应用19词禁用清单和防膨胀约束（术语不超过6个、产品侧步骤不超过3步、有益效果不超过400字），主动排除不规范表达；检测层按16个维度逐项评审（结构完整性、多场景覆盖、附图引用、技术深度等），对每项标记"通过/需修改/缺失"，并按13个维度加权评分（满分10分，7分为合格线）；修复层通过7层清洗管道处理对话前缀、技能名泄漏、代码块、表格表达和工程噪声等问题。</w:t>
      </w:r>
      <w:r>
        <w:br/>
      </w:r>
      <w:r>
        <w:rPr>
          <w:rFonts w:ascii="楷体" w:eastAsia="楷体" w:hAnsi="楷体" w:hint="eastAsia"/>
          <w:b/>
          <w:bCs/>
          <w:color w:val="000000"/>
          <w:sz w:val="20"/>
        </w:rPr>
        <w:t>输入数据样例：</w:t>
      </w:r>
      <w:r>
        <w:rPr>
          <w:rFonts w:ascii="楷体" w:eastAsia="楷体" w:hAnsi="楷体" w:hint="eastAsia"/>
          <w:color w:val="000000"/>
          <w:sz w:val="20"/>
        </w:rPr>
        <w:t>原始文本="好的，让我来分析这个dict结构的pipeline..."；禁用词命中=["pipeline", "dict"]。</w:t>
      </w:r>
      <w:r>
        <w:br/>
      </w:r>
      <w:r>
        <w:rPr>
          <w:rFonts w:ascii="楷体" w:eastAsia="楷体" w:hAnsi="楷体" w:hint="eastAsia"/>
          <w:b/>
          <w:bCs/>
          <w:color w:val="000000"/>
          <w:sz w:val="20"/>
        </w:rPr>
        <w:t>输出数据样例：</w:t>
      </w:r>
      <w:r>
        <w:rPr>
          <w:rFonts w:ascii="楷体" w:eastAsia="楷体" w:hAnsi="楷体" w:hint="eastAsia"/>
          <w:color w:val="000000"/>
          <w:sz w:val="20"/>
        </w:rPr>
        <w:t>清洗后文本="系统分析该键值映射关系的多阶段处理链路..."；清洗命中数=3；评审得分=8.5/10。</w:t>
      </w:r>
      <w:r>
        <w:br/>
      </w:r>
      <w:r>
        <w:rPr>
          <w:rFonts w:ascii="楷体" w:eastAsia="楷体" w:hAnsi="楷体" w:hint="eastAsia"/>
          <w:b/>
          <w:bCs/>
          <w:color w:val="000000"/>
          <w:sz w:val="20"/>
        </w:rPr>
        <w:t>关键参数：</w:t>
      </w:r>
      <w:r>
        <w:rPr>
          <w:rFonts w:ascii="楷体" w:eastAsia="楷体" w:hAnsi="楷体" w:hint="eastAsia"/>
          <w:color w:val="000000"/>
          <w:sz w:val="20"/>
        </w:rPr>
        <w:t>禁用词数量=19个；防膨胀约束=6项硬上限；评审维度=16项；评分维度=13项（满分10分）；清洗模式=89种前缀模式；合格分数线=7分；最大修订轮数=2轮。</w:t>
      </w:r>
      <w:r>
        <w:br/>
      </w:r>
      <w:r>
        <w:rPr>
          <w:rFonts w:ascii="楷体" w:eastAsia="楷体" w:hAnsi="楷体" w:hint="eastAsia"/>
          <w:b/>
          <w:bCs/>
          <w:color w:val="000000"/>
          <w:sz w:val="20"/>
        </w:rPr>
        <w:t>通俗说明：</w:t>
      </w:r>
      <w:r>
        <w:rPr>
          <w:rFonts w:ascii="楷体" w:eastAsia="楷体" w:hAnsi="楷体" w:hint="eastAsia"/>
          <w:color w:val="000000"/>
          <w:sz w:val="20"/>
        </w:rPr>
        <w:t>用三道质检把文本里不规范、难懂或带有AI痕迹的表达逐层清理掉。</w:t>
      </w:r>
    </w:p>
    <w:p w14:paraId="6843CD06" w14:textId="77777777" w:rsidR="00FE595A" w:rsidRDefault="00FE595A"/>
    <w:p w14:paraId="0C1D4FA7"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（如图12所示）</w:t>
      </w:r>
    </w:p>
    <w:p w14:paraId="5B855F6E" w14:textId="77777777" w:rsidR="00FE595A" w:rsidRDefault="00FE595A"/>
    <w:p w14:paraId="26AAEDC8" w14:textId="77777777" w:rsidR="00FE595A" w:rsidRDefault="00FE595A"/>
    <w:p w14:paraId="0670DDF0" w14:textId="77777777" w:rsidR="00FE595A" w:rsidRDefault="00000000">
      <w:pPr>
        <w:jc w:val="center"/>
      </w:pPr>
      <w:r>
        <w:rPr>
          <w:rFonts w:ascii="微软雅黑" w:eastAsia="微软雅黑" w:hAnsi="微软雅黑"/>
          <w:noProof/>
        </w:rPr>
        <w:lastRenderedPageBreak/>
        <w:drawing>
          <wp:inline distT="0" distB="0" distL="0" distR="0" wp14:anchorId="529B15F0" wp14:editId="26C1BD9B">
            <wp:extent cx="5478408" cy="2633472"/>
            <wp:effectExtent l="0" t="0" r="0" b="0"/>
            <wp:docPr id="1700542620" name="image17.png"/>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pic:cNvPicPr>
                  </pic:nvPicPr>
                  <pic:blipFill>
                    <a:blip r:embed="rId19"/>
                    <a:srcRect/>
                    <a:stretch/>
                  </pic:blipFill>
                  <pic:spPr bwMode="auto">
                    <a:xfrm>
                      <a:off x="0" y="0"/>
                      <a:ext cx="5522473" cy="2654654"/>
                    </a:xfrm>
                    <a:prstGeom prst="rect">
                      <a:avLst/>
                    </a:prstGeom>
                    <a:noFill/>
                    <a:ln>
                      <a:noFill/>
                    </a:ln>
                  </pic:spPr>
                </pic:pic>
              </a:graphicData>
            </a:graphic>
          </wp:inline>
        </w:drawing>
      </w:r>
    </w:p>
    <w:p w14:paraId="32FEF038"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图12：核心算法流程图</w:t>
      </w:r>
    </w:p>
    <w:p w14:paraId="67155861" w14:textId="77777777" w:rsidR="00FE595A" w:rsidRDefault="00FE595A"/>
    <w:p w14:paraId="0D074142" w14:textId="6A5F2D38" w:rsidR="00413AB1"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4.2.3 模块间交互时序</w:t>
      </w:r>
    </w:p>
    <w:p w14:paraId="4196BCF2" w14:textId="78E60333" w:rsidR="00FE595A" w:rsidRPr="00603B96" w:rsidRDefault="00000000" w:rsidP="00603B96">
      <w:pPr>
        <w:spacing w:beforeLines="50" w:before="156" w:afterLines="50" w:after="156"/>
        <w:rPr>
          <w:rFonts w:ascii="楷体" w:eastAsia="楷体" w:hAnsi="楷体"/>
          <w:color w:val="000000"/>
          <w:sz w:val="20"/>
        </w:rPr>
      </w:pPr>
      <w:r>
        <w:rPr>
          <w:rFonts w:ascii="楷体" w:eastAsia="楷体" w:hAnsi="楷体" w:hint="eastAsia"/>
          <w:color w:val="000000"/>
          <w:sz w:val="20"/>
        </w:rPr>
        <w:t>用户请求进入编排控制层后，编排器按同步方式依次调用各模块：先向代码分析层发起归属判定请求并等待返回结果，再发起上下文提取请求。上下文提取完成后，编排器将结果传递给智能体执行层，智能体按Skill规范定义的16阶段指令逐一完成撰写任务。每个阶段完成后，智能体回调编排器的产出验证接口，编排器返回“通过”或“不通过”的判定。全部阶段通过后，编排器先调用章节转换引擎，将各章节文本转换为带有段落类型、图位和样式指令的配置数据，再调用文档构建引擎将该配置写入文档模板，最终通过打包工具输出标准格式文件。如果产出验证不通过，编排器要求智能体重新执行当前阶段，最多重试2次（如图13所示）。</w:t>
      </w:r>
    </w:p>
    <w:p w14:paraId="4EDB6542" w14:textId="77777777" w:rsidR="00FE595A" w:rsidRDefault="00FE595A"/>
    <w:p w14:paraId="51C8818C" w14:textId="25244252" w:rsidR="00FE595A" w:rsidRDefault="00603B96">
      <w:pPr>
        <w:jc w:val="center"/>
      </w:pPr>
      <w:r w:rsidRPr="00603B96">
        <w:rPr>
          <w:noProof/>
        </w:rPr>
        <w:drawing>
          <wp:inline distT="0" distB="0" distL="0" distR="0" wp14:anchorId="7B11019A" wp14:editId="396C6084">
            <wp:extent cx="5375058" cy="2333549"/>
            <wp:effectExtent l="0" t="0" r="0" b="3810"/>
            <wp:docPr id="487889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89232" name=""/>
                    <pic:cNvPicPr/>
                  </pic:nvPicPr>
                  <pic:blipFill>
                    <a:blip r:embed="rId20"/>
                    <a:stretch>
                      <a:fillRect/>
                    </a:stretch>
                  </pic:blipFill>
                  <pic:spPr>
                    <a:xfrm>
                      <a:off x="0" y="0"/>
                      <a:ext cx="5379226" cy="2335358"/>
                    </a:xfrm>
                    <a:prstGeom prst="rect">
                      <a:avLst/>
                    </a:prstGeom>
                  </pic:spPr>
                </pic:pic>
              </a:graphicData>
            </a:graphic>
          </wp:inline>
        </w:drawing>
      </w:r>
    </w:p>
    <w:p w14:paraId="141EB945"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图13：模块间交互时序图</w:t>
      </w:r>
    </w:p>
    <w:p w14:paraId="79B644A2" w14:textId="77777777" w:rsidR="00FE595A" w:rsidRDefault="00FE595A"/>
    <w:p w14:paraId="6074005F" w14:textId="77777777" w:rsidR="00FE595A" w:rsidRDefault="00FE595A"/>
    <w:p w14:paraId="794F758A" w14:textId="77777777" w:rsidR="00413AB1" w:rsidRDefault="00413AB1"/>
    <w:p w14:paraId="5C375F1A" w14:textId="785D163B"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lastRenderedPageBreak/>
        <w:t>4.2.4 数据流描述</w:t>
      </w:r>
    </w:p>
    <w:p w14:paraId="1862A254" w14:textId="262AD33D"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输入数据首先以代码仓库路径字符串的形式进入系统。代码分析层将其转化为结构化代码上下文报告（约6万字符的结构化文本文件，含签名特征索引、依赖关系图和文档摘要）。智能体撰写层逐阶段消费该报告，产出各章节的结构化文本文件（共6个章节文件，约2万字符）。章节转换引擎再将这些文本文件解析为带有段落类型标注、图位占位符和样式指令的配置数据，文档构建引擎读取该配置并操作文档模板完成内容填充。最终，打包工具将编辑后的模板重新封装为标准文档格式文件（含嵌入图片，文件大小约为200KB量级）（如图14所示）。</w:t>
      </w:r>
    </w:p>
    <w:p w14:paraId="1AFA3753" w14:textId="77777777" w:rsidR="00FE595A" w:rsidRDefault="00FE595A"/>
    <w:p w14:paraId="0C293795" w14:textId="0F3F1976" w:rsidR="00FE595A" w:rsidRDefault="00603B96">
      <w:pPr>
        <w:jc w:val="center"/>
      </w:pPr>
      <w:r w:rsidRPr="00603B96">
        <w:rPr>
          <w:noProof/>
        </w:rPr>
        <w:drawing>
          <wp:inline distT="0" distB="0" distL="0" distR="0" wp14:anchorId="02C07028" wp14:editId="41F9542C">
            <wp:extent cx="5274310" cy="3730625"/>
            <wp:effectExtent l="0" t="0" r="0" b="3175"/>
            <wp:docPr id="1018216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6722" name=""/>
                    <pic:cNvPicPr/>
                  </pic:nvPicPr>
                  <pic:blipFill>
                    <a:blip r:embed="rId21"/>
                    <a:stretch>
                      <a:fillRect/>
                    </a:stretch>
                  </pic:blipFill>
                  <pic:spPr>
                    <a:xfrm>
                      <a:off x="0" y="0"/>
                      <a:ext cx="5274310" cy="3730625"/>
                    </a:xfrm>
                    <a:prstGeom prst="rect">
                      <a:avLst/>
                    </a:prstGeom>
                  </pic:spPr>
                </pic:pic>
              </a:graphicData>
            </a:graphic>
          </wp:inline>
        </w:drawing>
      </w:r>
    </w:p>
    <w:p w14:paraId="24460D19" w14:textId="77777777" w:rsidR="00FE595A" w:rsidRDefault="00000000">
      <w:pPr>
        <w:jc w:val="center"/>
        <w:rPr>
          <w:rFonts w:ascii="楷体" w:eastAsia="楷体" w:hAnsi="楷体"/>
          <w:color w:val="000000"/>
          <w:sz w:val="20"/>
        </w:rPr>
      </w:pPr>
      <w:r>
        <w:rPr>
          <w:rFonts w:ascii="楷体" w:eastAsia="楷体" w:hAnsi="楷体" w:hint="eastAsia"/>
          <w:color w:val="000000"/>
          <w:sz w:val="20"/>
        </w:rPr>
        <w:t>图14：数据流向图</w:t>
      </w:r>
    </w:p>
    <w:p w14:paraId="47DFF044" w14:textId="77777777" w:rsidR="00FE595A" w:rsidRDefault="00FE595A"/>
    <w:p w14:paraId="315E93E7" w14:textId="53F6A419"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扩展方案一：无版本控制场景</w:t>
      </w:r>
    </w:p>
    <w:p w14:paraId="46AA2EE0" w14:textId="7B139320"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当输入路径为无版本控制元数据的普通目录时，系统自动切换为"全量自有"模式，跳过差异分析步骤，直接扫描全部代码文件提取上下文。此场景下，系统通过目录树结构（3层深度）和入口文件检测（支持12种常见入口文件名）来理解项目结构。</w:t>
      </w:r>
    </w:p>
    <w:p w14:paraId="53422BCD" w14:textId="39003A65"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扩展方案二：远程代码仓库场景</w:t>
      </w:r>
    </w:p>
    <w:p w14:paraId="2C974C4A"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当输入为远程代码仓库地址（以https://或git@开头）时，系统先执行浅层克隆（深度为1）到本地临时目录，然后按本地仓库流程处理。克隆超时设定为120秒，超时则报错终止。</w:t>
      </w:r>
    </w:p>
    <w:p w14:paraId="4D780EA0" w14:textId="77777777" w:rsidR="00413AB1" w:rsidRDefault="00413AB1">
      <w:pPr>
        <w:spacing w:beforeLines="50" w:before="156" w:afterLines="50" w:after="156"/>
        <w:rPr>
          <w:rFonts w:ascii="楷体" w:eastAsia="楷体" w:hAnsi="楷体"/>
          <w:color w:val="000000"/>
          <w:sz w:val="20"/>
        </w:rPr>
      </w:pPr>
    </w:p>
    <w:p w14:paraId="54AEAF39" w14:textId="77777777" w:rsidR="00413AB1" w:rsidRDefault="00413AB1">
      <w:pPr>
        <w:spacing w:beforeLines="50" w:before="156" w:afterLines="50" w:after="156"/>
        <w:rPr>
          <w:rFonts w:ascii="楷体" w:eastAsia="楷体" w:hAnsi="楷体"/>
          <w:color w:val="000000"/>
          <w:sz w:val="20"/>
        </w:rPr>
      </w:pPr>
    </w:p>
    <w:p w14:paraId="460B2483" w14:textId="77777777" w:rsidR="0029025A" w:rsidRDefault="0029025A">
      <w:pPr>
        <w:spacing w:beforeLines="50" w:before="156" w:afterLines="50" w:after="156"/>
        <w:rPr>
          <w:rFonts w:ascii="楷体" w:eastAsia="楷体" w:hAnsi="楷体" w:hint="eastAsia"/>
          <w:color w:val="000000"/>
          <w:sz w:val="20"/>
        </w:rPr>
      </w:pPr>
    </w:p>
    <w:p w14:paraId="34476F11" w14:textId="77777777" w:rsidR="006D5932" w:rsidRPr="003164E3" w:rsidRDefault="006D5932" w:rsidP="00D36B32">
      <w:pPr>
        <w:spacing w:line="276" w:lineRule="auto"/>
        <w:rPr>
          <w:rFonts w:ascii="微软雅黑" w:eastAsia="微软雅黑" w:hAnsi="微软雅黑"/>
          <w:sz w:val="18"/>
          <w:szCs w:val="18"/>
        </w:rPr>
      </w:pPr>
      <w:r>
        <w:rPr>
          <w:rFonts w:ascii="微软雅黑" w:eastAsia="微软雅黑" w:hAnsi="微软雅黑" w:hint="eastAsia"/>
          <w:sz w:val="18"/>
          <w:szCs w:val="18"/>
        </w:rPr>
        <w:lastRenderedPageBreak/>
        <w:t>4</w:t>
      </w:r>
      <w:r>
        <w:rPr>
          <w:rFonts w:ascii="微软雅黑" w:eastAsia="微软雅黑" w:hAnsi="微软雅黑"/>
          <w:sz w:val="18"/>
          <w:szCs w:val="18"/>
        </w:rPr>
        <w:t>.3</w:t>
      </w:r>
      <w:r>
        <w:rPr>
          <w:rFonts w:ascii="微软雅黑" w:eastAsia="微软雅黑" w:hAnsi="微软雅黑" w:hint="eastAsia"/>
          <w:sz w:val="18"/>
          <w:szCs w:val="18"/>
        </w:rPr>
        <w:t>专利方案所产生的有益效果</w:t>
      </w:r>
      <w:r>
        <w:rPr>
          <w:rFonts w:ascii="微软雅黑" w:eastAsia="微软雅黑" w:hAnsi="微软雅黑" w:hint="eastAsia"/>
          <w:color w:val="FF0000"/>
          <w:sz w:val="18"/>
          <w:szCs w:val="18"/>
        </w:rPr>
        <w:t>（必填）</w:t>
      </w:r>
    </w:p>
    <w:p w14:paraId="50B35891" w14:textId="4C850269"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效果一：Skill规范实现领域知识的低成本注入与复用</w:t>
      </w:r>
    </w:p>
    <w:p w14:paraId="071CC25C" w14:textId="2956B6EC"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本发明将专利领域知识编码为Skill规范文件（约3万字的结构化文本），通用智能体读取该文件即可获得专利撰写能力，无需模型微调（节省GPU训练资源）、无需部署多个专用智能体（降低系统复杂度）。规范文件中包含16个阶段的定义和验证条件、19词禁用清单和6项防膨胀约束、16维评审标准和13维评分体系，这些知识以纯文本形式存储，更新规则只需编辑文本文件，无需重新训练模型。与依赖知识微调的大模型方案相比，Skill规范方案的知识更易解释、更易编辑，也更便于版本化管理。</w:t>
      </w:r>
    </w:p>
    <w:p w14:paraId="70EAC863" w14:textId="7EB43533"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效果二：归属判定降低专利新颖性风险</w:t>
      </w:r>
    </w:p>
    <w:p w14:paraId="4BB3CC36" w14:textId="6269F1F1" w:rsidR="00FE595A" w:rsidRPr="00413AB1" w:rsidRDefault="00000000" w:rsidP="00413AB1">
      <w:pPr>
        <w:spacing w:beforeLines="50" w:before="156" w:afterLines="50" w:after="156"/>
        <w:rPr>
          <w:rFonts w:ascii="楷体" w:eastAsia="楷体" w:hAnsi="楷体"/>
          <w:color w:val="000000"/>
          <w:sz w:val="20"/>
        </w:rPr>
      </w:pPr>
      <w:r>
        <w:rPr>
          <w:rFonts w:ascii="楷体" w:eastAsia="楷体" w:hAnsi="楷体" w:hint="eastAsia"/>
          <w:color w:val="000000"/>
          <w:sz w:val="20"/>
        </w:rPr>
        <w:t>归属判定将代码分析范围从全量文件缩小到真正的创新代码。在一个包含200个文件的项目中，若检测到15个未推送提交涉及19个文件，系统仅对这19个文件（占全量的9.5%）做深度分析，排除了其余181个已公开的文件。该机制避免了将开源框架代码误纳入专利发明范围的法律风险（9.5% = 19/200），确保交底书中描述的技术方案全部来自申请人的原创工作。</w:t>
      </w:r>
    </w:p>
    <w:p w14:paraId="725AAFBD" w14:textId="15739387" w:rsidR="00FE595A" w:rsidRPr="00413AB1" w:rsidRDefault="00000000" w:rsidP="00413AB1">
      <w:pPr>
        <w:spacing w:beforeLines="50" w:before="156" w:afterLines="50" w:after="156"/>
        <w:rPr>
          <w:rFonts w:ascii="楷体" w:eastAsia="楷体" w:hAnsi="楷体"/>
          <w:color w:val="000000"/>
          <w:sz w:val="20"/>
        </w:rPr>
      </w:pPr>
      <w:r w:rsidRPr="00413AB1">
        <w:rPr>
          <w:rFonts w:ascii="楷体" w:eastAsia="楷体" w:hAnsi="楷体" w:hint="eastAsia"/>
          <w:color w:val="000000"/>
          <w:sz w:val="20"/>
        </w:rPr>
        <w:t>效果三：三层合规处理提升文本规范性</w:t>
      </w:r>
    </w:p>
    <w:p w14:paraId="1C14D4C8"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预防层的19词禁用清单在撰写阶段主动屏蔽不规范用词；检测层的16维评审覆盖结构完整性、术语降维合规性、创新点可授权性等专利特有维度；修复层的89种前缀模式覆盖98%的不规范对话开场白（89种模式 / 约91种已知不规范前缀 ≈ 98%），22组术语降维规则将编程术语替换为更易理解的逻辑功能描述。三层体系形成闭环，使最终输出文本在较少人工介入的情况下更接近专利交底书的规范表达。</w:t>
      </w:r>
    </w:p>
    <w:p w14:paraId="6633BE84" w14:textId="77777777" w:rsidR="00B5409A" w:rsidRDefault="00B5409A" w:rsidP="00D36B32">
      <w:pPr>
        <w:spacing w:line="276" w:lineRule="auto"/>
        <w:rPr>
          <w:rFonts w:ascii="微软雅黑" w:eastAsia="微软雅黑" w:hAnsi="微软雅黑"/>
          <w:b/>
          <w:sz w:val="18"/>
          <w:szCs w:val="18"/>
        </w:rPr>
      </w:pPr>
    </w:p>
    <w:p w14:paraId="35FFD536" w14:textId="77777777" w:rsidR="00413AB1" w:rsidRDefault="00413AB1" w:rsidP="00D36B32">
      <w:pPr>
        <w:spacing w:line="276" w:lineRule="auto"/>
        <w:rPr>
          <w:rFonts w:ascii="微软雅黑" w:eastAsia="微软雅黑" w:hAnsi="微软雅黑"/>
          <w:b/>
          <w:sz w:val="18"/>
          <w:szCs w:val="18"/>
        </w:rPr>
      </w:pPr>
    </w:p>
    <w:p w14:paraId="3F76BA7A" w14:textId="77777777" w:rsidR="00413AB1" w:rsidRDefault="00413AB1" w:rsidP="00D36B32">
      <w:pPr>
        <w:spacing w:line="276" w:lineRule="auto"/>
        <w:rPr>
          <w:rFonts w:ascii="微软雅黑" w:eastAsia="微软雅黑" w:hAnsi="微软雅黑"/>
          <w:b/>
          <w:sz w:val="18"/>
          <w:szCs w:val="18"/>
        </w:rPr>
      </w:pPr>
    </w:p>
    <w:p w14:paraId="5593BF17" w14:textId="77777777" w:rsidR="00413AB1" w:rsidRDefault="00413AB1" w:rsidP="00D36B32">
      <w:pPr>
        <w:spacing w:line="276" w:lineRule="auto"/>
        <w:rPr>
          <w:rFonts w:ascii="微软雅黑" w:eastAsia="微软雅黑" w:hAnsi="微软雅黑"/>
          <w:b/>
          <w:sz w:val="18"/>
          <w:szCs w:val="18"/>
        </w:rPr>
      </w:pPr>
    </w:p>
    <w:p w14:paraId="2598D14E" w14:textId="77777777" w:rsidR="00413AB1" w:rsidRDefault="00413AB1" w:rsidP="00D36B32">
      <w:pPr>
        <w:spacing w:line="276" w:lineRule="auto"/>
        <w:rPr>
          <w:rFonts w:ascii="微软雅黑" w:eastAsia="微软雅黑" w:hAnsi="微软雅黑"/>
          <w:b/>
          <w:sz w:val="18"/>
          <w:szCs w:val="18"/>
        </w:rPr>
      </w:pPr>
    </w:p>
    <w:p w14:paraId="5CDFB53C" w14:textId="77777777" w:rsidR="00413AB1" w:rsidRDefault="00413AB1" w:rsidP="00D36B32">
      <w:pPr>
        <w:spacing w:line="276" w:lineRule="auto"/>
        <w:rPr>
          <w:rFonts w:ascii="微软雅黑" w:eastAsia="微软雅黑" w:hAnsi="微软雅黑"/>
          <w:b/>
          <w:sz w:val="18"/>
          <w:szCs w:val="18"/>
        </w:rPr>
      </w:pPr>
    </w:p>
    <w:p w14:paraId="5201D755" w14:textId="77777777" w:rsidR="00413AB1" w:rsidRDefault="00413AB1" w:rsidP="00D36B32">
      <w:pPr>
        <w:spacing w:line="276" w:lineRule="auto"/>
        <w:rPr>
          <w:rFonts w:ascii="微软雅黑" w:eastAsia="微软雅黑" w:hAnsi="微软雅黑"/>
          <w:b/>
          <w:sz w:val="18"/>
          <w:szCs w:val="18"/>
        </w:rPr>
      </w:pPr>
    </w:p>
    <w:p w14:paraId="669D0042" w14:textId="77777777" w:rsidR="00413AB1" w:rsidRDefault="00413AB1" w:rsidP="00D36B32">
      <w:pPr>
        <w:spacing w:line="276" w:lineRule="auto"/>
        <w:rPr>
          <w:rFonts w:ascii="微软雅黑" w:eastAsia="微软雅黑" w:hAnsi="微软雅黑"/>
          <w:b/>
          <w:sz w:val="18"/>
          <w:szCs w:val="18"/>
        </w:rPr>
      </w:pPr>
    </w:p>
    <w:p w14:paraId="4E1ABD14" w14:textId="77777777" w:rsidR="00413AB1" w:rsidRDefault="00413AB1" w:rsidP="00D36B32">
      <w:pPr>
        <w:spacing w:line="276" w:lineRule="auto"/>
        <w:rPr>
          <w:rFonts w:ascii="微软雅黑" w:eastAsia="微软雅黑" w:hAnsi="微软雅黑"/>
          <w:b/>
          <w:sz w:val="18"/>
          <w:szCs w:val="18"/>
        </w:rPr>
      </w:pPr>
    </w:p>
    <w:p w14:paraId="5E1FD103" w14:textId="77777777" w:rsidR="00413AB1" w:rsidRDefault="00413AB1" w:rsidP="00D36B32">
      <w:pPr>
        <w:spacing w:line="276" w:lineRule="auto"/>
        <w:rPr>
          <w:rFonts w:ascii="微软雅黑" w:eastAsia="微软雅黑" w:hAnsi="微软雅黑"/>
          <w:b/>
          <w:sz w:val="18"/>
          <w:szCs w:val="18"/>
        </w:rPr>
      </w:pPr>
    </w:p>
    <w:p w14:paraId="3F218844" w14:textId="77777777" w:rsidR="00413AB1" w:rsidRDefault="00413AB1" w:rsidP="00D36B32">
      <w:pPr>
        <w:spacing w:line="276" w:lineRule="auto"/>
        <w:rPr>
          <w:rFonts w:ascii="微软雅黑" w:eastAsia="微软雅黑" w:hAnsi="微软雅黑"/>
          <w:b/>
          <w:sz w:val="18"/>
          <w:szCs w:val="18"/>
        </w:rPr>
      </w:pPr>
    </w:p>
    <w:p w14:paraId="28F74D53" w14:textId="77777777" w:rsidR="00413AB1" w:rsidRDefault="00413AB1" w:rsidP="00D36B32">
      <w:pPr>
        <w:spacing w:line="276" w:lineRule="auto"/>
        <w:rPr>
          <w:rFonts w:ascii="微软雅黑" w:eastAsia="微软雅黑" w:hAnsi="微软雅黑"/>
          <w:b/>
          <w:sz w:val="18"/>
          <w:szCs w:val="18"/>
        </w:rPr>
      </w:pPr>
    </w:p>
    <w:p w14:paraId="6314F4C6" w14:textId="77777777" w:rsidR="00413AB1" w:rsidRDefault="00413AB1" w:rsidP="00D36B32">
      <w:pPr>
        <w:spacing w:line="276" w:lineRule="auto"/>
        <w:rPr>
          <w:rFonts w:ascii="微软雅黑" w:eastAsia="微软雅黑" w:hAnsi="微软雅黑"/>
          <w:b/>
          <w:sz w:val="18"/>
          <w:szCs w:val="18"/>
        </w:rPr>
      </w:pPr>
    </w:p>
    <w:p w14:paraId="1C78D3A2" w14:textId="77777777" w:rsidR="00413AB1" w:rsidRDefault="00413AB1" w:rsidP="00D36B32">
      <w:pPr>
        <w:spacing w:line="276" w:lineRule="auto"/>
        <w:rPr>
          <w:rFonts w:ascii="微软雅黑" w:eastAsia="微软雅黑" w:hAnsi="微软雅黑"/>
          <w:b/>
          <w:sz w:val="18"/>
          <w:szCs w:val="18"/>
        </w:rPr>
      </w:pPr>
    </w:p>
    <w:p w14:paraId="71C4541D" w14:textId="77777777" w:rsidR="00413AB1" w:rsidRDefault="00413AB1" w:rsidP="00D36B32">
      <w:pPr>
        <w:spacing w:line="276" w:lineRule="auto"/>
        <w:rPr>
          <w:rFonts w:ascii="微软雅黑" w:eastAsia="微软雅黑" w:hAnsi="微软雅黑"/>
          <w:b/>
          <w:sz w:val="18"/>
          <w:szCs w:val="18"/>
        </w:rPr>
      </w:pPr>
    </w:p>
    <w:p w14:paraId="6A20C131" w14:textId="77777777" w:rsidR="00B5409A" w:rsidRDefault="00B5409A" w:rsidP="00D36B32">
      <w:pPr>
        <w:spacing w:line="276" w:lineRule="auto"/>
        <w:rPr>
          <w:rFonts w:ascii="微软雅黑" w:eastAsia="微软雅黑" w:hAnsi="微软雅黑"/>
          <w:b/>
          <w:sz w:val="18"/>
          <w:szCs w:val="18"/>
        </w:rPr>
      </w:pPr>
    </w:p>
    <w:p w14:paraId="05A05C95" w14:textId="77777777" w:rsidR="00B5409A" w:rsidRDefault="00B5409A" w:rsidP="00D36B32">
      <w:pPr>
        <w:spacing w:line="276" w:lineRule="auto"/>
        <w:rPr>
          <w:rFonts w:ascii="微软雅黑" w:eastAsia="微软雅黑" w:hAnsi="微软雅黑"/>
          <w:b/>
          <w:sz w:val="18"/>
          <w:szCs w:val="18"/>
        </w:rPr>
      </w:pPr>
    </w:p>
    <w:p w14:paraId="42F552AA" w14:textId="77777777" w:rsidR="0029025A" w:rsidRPr="003164E3" w:rsidRDefault="0029025A" w:rsidP="00D36B32">
      <w:pPr>
        <w:spacing w:line="276" w:lineRule="auto"/>
        <w:rPr>
          <w:rFonts w:ascii="微软雅黑" w:eastAsia="微软雅黑" w:hAnsi="微软雅黑" w:hint="eastAsia"/>
          <w:b/>
          <w:sz w:val="18"/>
          <w:szCs w:val="18"/>
        </w:rPr>
      </w:pPr>
    </w:p>
    <w:p w14:paraId="1A464F4E"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lastRenderedPageBreak/>
        <w:t>5</w:t>
      </w:r>
      <w:r>
        <w:rPr>
          <w:rFonts w:ascii="微软雅黑" w:eastAsia="微软雅黑" w:hAnsi="微软雅黑" w:hint="eastAsia"/>
          <w:sz w:val="18"/>
          <w:szCs w:val="18"/>
        </w:rPr>
        <w:t>、</w:t>
      </w:r>
      <w:r>
        <w:rPr>
          <w:rFonts w:ascii="微软雅黑" w:eastAsia="微软雅黑" w:hAnsi="微软雅黑" w:hint="eastAsia"/>
          <w:bCs/>
          <w:sz w:val="18"/>
          <w:szCs w:val="18"/>
        </w:rPr>
        <w:t>参考文献（如：专利/论文/网页/期刊）</w:t>
      </w:r>
    </w:p>
    <w:p w14:paraId="165D2A98"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1. arXiv:2412.09796 — AutoPatent: A Multi-Agent Framework for Automatic Patent Generation (Tsinghua University, 2024)  - 链接：https://arxiv.org/abs/2412.09796  - 相关性：提出多智能体专利自动生成框架（PGTree+RRAG），与本发明的Skill规范驱动方法形成对比  - 精选理由：最直接的对标方案，其多智能体架构与本发明的单智能体+Skill规范方案属于不同技术路线</w:t>
      </w:r>
    </w:p>
    <w:p w14:paraId="0F37D918" w14:textId="77777777" w:rsidR="00FE595A" w:rsidRDefault="00FE595A"/>
    <w:p w14:paraId="6C903952"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2. arXiv:2409.00092 — PatentGPT: A Large Language Model for Patent Drafting Using Knowledge-based Fine-tuning Method (2024)  - 链接：https://arxiv.org/abs/2409.00092  - 相关性：基于知识微调的专利撰写大模型，与本发明不依赖模型微调的方法形成对比  - 精选理由：代表了"模型微调"技术路线，本发明则走"规范注入"路线，两者互补</w:t>
      </w:r>
    </w:p>
    <w:p w14:paraId="73F3E331" w14:textId="77777777" w:rsidR="00FE595A" w:rsidRDefault="00FE595A"/>
    <w:p w14:paraId="6E5FB7EC"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3. Springer — Leveraging Large Language Models and TRIZ: A Multi-agent Framework (2025)  - 链接：https://link.springer.com/chapter/10.1007/978-3-032-08847-5_10  - 相关性：结合TRIZ方法论的多智能体专利撰写框架  - 精选理由：引入系统性创新方法论指导专利撰写，与本发明的Skill规范方法有方法论层面的呼应</w:t>
      </w:r>
    </w:p>
    <w:p w14:paraId="691FD2F1" w14:textId="77777777" w:rsidR="00FE595A" w:rsidRDefault="00FE595A"/>
    <w:p w14:paraId="04EC4B49"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4. ScienceDirect — AI-assisted patent drafting tools: A patent landscape &amp; future (2025)  - 链接：https://www.sciencedirect.com/science/article/pii/S0172219025000699  - 相关性：全面综述AI辅助专利撰写工具的专利布局和未来趋势  - 精选理由：提供了该领域的全景视图和技术发展脉络</w:t>
      </w:r>
    </w:p>
    <w:p w14:paraId="7810D9ED" w14:textId="77777777" w:rsidR="00FE595A" w:rsidRDefault="00FE595A"/>
    <w:p w14:paraId="398551F5"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5. NeurIPS 2024 — Towards Automated Patent Workflows: AI-Orchestrated Multi-Agent Patent Processing  - 链接：https://neurips.cc/virtual/2024/100977  - 相关性：AI编排多智能体完成专利分类、摘要等任务  - 精选理由：与本发明的编排器（orchestrate.py）在架构思路上有相似之处</w:t>
      </w:r>
    </w:p>
    <w:p w14:paraId="4AA5FD65" w14:textId="77777777" w:rsidR="00FE595A" w:rsidRDefault="00FE595A"/>
    <w:p w14:paraId="5CF6D9EA"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6. ScienceDirect — Large language model for patent concept generation (Ren et al., 2025)  - 链接：https://www.sciencedirect.com/science/article/pii/S1474034625001946  - 相关性：利用LLM进行专利概念生成和发明创新  - 精选理由：与本发明的创新点自动识别（Stage 02）在技术目标上相关</w:t>
      </w:r>
    </w:p>
    <w:p w14:paraId="0512D821" w14:textId="77777777" w:rsidR="00FE595A" w:rsidRDefault="00FE595A"/>
    <w:p w14:paraId="3EFA0F9A"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7. GitHub — Awesome-LLM4Patents (Wang et al., 2024)  - 链接：https://github.com/QiYao-Wang/Awesome-LLM4Patents  - 相关性：LLM用于专利处理的综合资源汇总  - 精选理由：提供了该领域研究现状的系统性参考</w:t>
      </w:r>
    </w:p>
    <w:p w14:paraId="1A3567D5" w14:textId="77777777" w:rsidR="00FE595A" w:rsidRDefault="00FE595A"/>
    <w:p w14:paraId="0DDD048A"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lastRenderedPageBreak/>
        <w:t>8. 专加瓦 ipjava.cn — AI专利交底书撰写工具 (2026)  - 链接：https://ipjava.cn/  - 相关性：国内AI专利交底书生成工具，提供一键生成和链式生成功能  - 精选理由：代表国内工业界的实践水平，与本发明的端到端方案直接对比</w:t>
      </w:r>
    </w:p>
    <w:p w14:paraId="7303D169" w14:textId="77777777" w:rsidR="00FE595A" w:rsidRDefault="00FE595A"/>
    <w:p w14:paraId="74859A95"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9. 绿洲慧写 oasisintwrite.com — 一站式AI专利辅助撰写系统 (2026)  - 链接：https://www.oasisintwrite.com/  - 相关性：由一线专利代理师打造的AI辅助系统，覆盖交底书到OA答复  - 精选理由：体现了"专利代理人知识+AI"的融合趋势，与本发明的Skill规范方法在目标上一致</w:t>
      </w:r>
    </w:p>
    <w:p w14:paraId="4488467B" w14:textId="77777777" w:rsidR="00FE595A" w:rsidRDefault="00FE595A"/>
    <w:p w14:paraId="3B04BC5E" w14:textId="77777777" w:rsidR="00FE595A" w:rsidRDefault="00000000">
      <w:pPr>
        <w:spacing w:beforeLines="50" w:before="156" w:afterLines="50" w:after="156"/>
        <w:rPr>
          <w:rFonts w:ascii="楷体" w:eastAsia="楷体" w:hAnsi="楷体"/>
          <w:color w:val="000000"/>
          <w:sz w:val="20"/>
        </w:rPr>
      </w:pPr>
      <w:r>
        <w:rPr>
          <w:rFonts w:ascii="楷体" w:eastAsia="楷体" w:hAnsi="楷体" w:hint="eastAsia"/>
          <w:color w:val="000000"/>
          <w:sz w:val="20"/>
        </w:rPr>
        <w:t>10. Gatsbi AI Patent Writer — AI专利交底书生成能力 (2026)  - 链接：https://www.gatsbi.com/zh/ai-patent-writer  - 相关性：支持创新点挖掘、技术方案梳理、交底书草稿生成  - 精选理由：与本发明的功能范围高度重叠，但不具备代码仓库直接分析能力</w:t>
      </w:r>
    </w:p>
    <w:sectPr w:rsidR="00FE595A">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C17D" w14:textId="77777777" w:rsidR="004463D2" w:rsidRDefault="004463D2">
      <w:r>
        <w:separator/>
      </w:r>
    </w:p>
  </w:endnote>
  <w:endnote w:type="continuationSeparator" w:id="0">
    <w:p w14:paraId="43141B41" w14:textId="77777777" w:rsidR="004463D2" w:rsidRDefault="00446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楷体">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8313"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F1C9"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34B5"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4505" w14:textId="77777777" w:rsidR="004463D2" w:rsidRDefault="004463D2">
      <w:r>
        <w:separator/>
      </w:r>
    </w:p>
  </w:footnote>
  <w:footnote w:type="continuationSeparator" w:id="0">
    <w:p w14:paraId="53CC6050" w14:textId="77777777" w:rsidR="004463D2" w:rsidRDefault="00446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49AD"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A9AE" w14:textId="77777777" w:rsidR="00D75CFA" w:rsidRDefault="00615561">
    <w:pPr>
      <w:pStyle w:val="a8"/>
      <w:jc w:val="left"/>
      <w:rPr>
        <w:b/>
        <w:sz w:val="24"/>
      </w:rPr>
    </w:pPr>
    <w:r>
      <w:rPr>
        <w:rFonts w:eastAsia="Times New Roman"/>
        <w:noProof/>
        <w:sz w:val="24"/>
      </w:rPr>
      <w:drawing>
        <wp:inline distT="0" distB="0" distL="0" distR="0" wp14:anchorId="76BD3E83" wp14:editId="6DC56CA9">
          <wp:extent cx="337185" cy="337185"/>
          <wp:effectExtent l="0" t="0" r="0" b="0"/>
          <wp:docPr id="20164339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04B3"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801"/>
    <w:rsid w:val="0002715E"/>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1F2304"/>
    <w:rsid w:val="00207BD1"/>
    <w:rsid w:val="00213153"/>
    <w:rsid w:val="00223886"/>
    <w:rsid w:val="00243706"/>
    <w:rsid w:val="002643F8"/>
    <w:rsid w:val="00265109"/>
    <w:rsid w:val="00287A89"/>
    <w:rsid w:val="0029025A"/>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3AB1"/>
    <w:rsid w:val="00417191"/>
    <w:rsid w:val="00422435"/>
    <w:rsid w:val="00426F2A"/>
    <w:rsid w:val="00434FF8"/>
    <w:rsid w:val="004463D2"/>
    <w:rsid w:val="0045069C"/>
    <w:rsid w:val="004670B1"/>
    <w:rsid w:val="004A0617"/>
    <w:rsid w:val="004A0AD4"/>
    <w:rsid w:val="004A36AE"/>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3B96"/>
    <w:rsid w:val="00606218"/>
    <w:rsid w:val="00610FC8"/>
    <w:rsid w:val="0061279B"/>
    <w:rsid w:val="00615561"/>
    <w:rsid w:val="006179E0"/>
    <w:rsid w:val="00617E8C"/>
    <w:rsid w:val="00634665"/>
    <w:rsid w:val="0063699E"/>
    <w:rsid w:val="00654676"/>
    <w:rsid w:val="006708BE"/>
    <w:rsid w:val="006B5C00"/>
    <w:rsid w:val="006C3AE4"/>
    <w:rsid w:val="006D5932"/>
    <w:rsid w:val="006F2FF9"/>
    <w:rsid w:val="006F515E"/>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612"/>
    <w:rsid w:val="007A6927"/>
    <w:rsid w:val="007B7B6E"/>
    <w:rsid w:val="007E7E95"/>
    <w:rsid w:val="007F7E86"/>
    <w:rsid w:val="008147A4"/>
    <w:rsid w:val="008324CE"/>
    <w:rsid w:val="00837339"/>
    <w:rsid w:val="008523DF"/>
    <w:rsid w:val="00855E8E"/>
    <w:rsid w:val="00870C6B"/>
    <w:rsid w:val="00890366"/>
    <w:rsid w:val="008972CA"/>
    <w:rsid w:val="008A2E23"/>
    <w:rsid w:val="008A6E8D"/>
    <w:rsid w:val="008A7C50"/>
    <w:rsid w:val="008B3FAD"/>
    <w:rsid w:val="008F10F7"/>
    <w:rsid w:val="008F1BB1"/>
    <w:rsid w:val="008F2126"/>
    <w:rsid w:val="008F5E96"/>
    <w:rsid w:val="00901E2F"/>
    <w:rsid w:val="00924B73"/>
    <w:rsid w:val="0097130F"/>
    <w:rsid w:val="00977298"/>
    <w:rsid w:val="00987743"/>
    <w:rsid w:val="00993B7A"/>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0721B"/>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2C4D"/>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9158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379BB"/>
    <w:rsid w:val="00F432E7"/>
    <w:rsid w:val="00F62BA7"/>
    <w:rsid w:val="00F7542C"/>
    <w:rsid w:val="00F8223C"/>
    <w:rsid w:val="00F93147"/>
    <w:rsid w:val="00F96396"/>
    <w:rsid w:val="00F97DD3"/>
    <w:rsid w:val="00FA097A"/>
    <w:rsid w:val="00FC0C2D"/>
    <w:rsid w:val="00FD3019"/>
    <w:rsid w:val="00FE595A"/>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5CAFD62B"/>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c.weixin.qq.com/doc/w3_AO4AXgbdAFwgt7a2VHISmmw3NXwIl?scode=AJEAIQdfAAoImYTNQjAO4AXgbdAFw"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1742</Words>
  <Characters>9930</Characters>
  <Application>Microsoft Office Word</Application>
  <DocSecurity>0</DocSecurity>
  <PresentationFormat/>
  <Lines>82</Lines>
  <Paragraphs>23</Paragraphs>
  <Slides>0</Slides>
  <Notes>0</Notes>
  <HiddenSlides>0</HiddenSlides>
  <MMClips>0</MMClips>
  <ScaleCrop>false</ScaleCrop>
  <Manager/>
  <Company/>
  <LinksUpToDate>false</LinksUpToDate>
  <CharactersWithSpaces>11649</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T169520</cp:lastModifiedBy>
  <cp:revision>10</cp:revision>
  <dcterms:created xsi:type="dcterms:W3CDTF">2025-08-19T01:15:00Z</dcterms:created>
  <dcterms:modified xsi:type="dcterms:W3CDTF">2026-04-09T12:35:00Z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