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cbf66d44cddd739ff66a8f4ebd6e07e67a6b8c0"/>
      <w:r>
        <w:t xml:space="preserve">Stage 1 Document: Requirements Specification and Project Scope</w:t>
      </w:r>
      <w:bookmarkEnd w:id="9"/>
    </w:p>
    <w:p>
      <w:pPr>
        <w:pStyle w:val="FirstParagraph"/>
      </w:pPr>
      <w:r>
        <w:rPr>
          <w:b/>
          <w:bCs/>
        </w:rPr>
        <w:t xml:space="preserve">Engineering Project Documentation</w:t>
      </w:r>
      <w:r>
        <w:br/>
      </w:r>
      <w:r>
        <w:rPr>
          <w:b/>
          <w:bCs/>
        </w:rPr>
        <w:t xml:space="preserve">Faculty of Mathematics and Information Science</w:t>
      </w:r>
      <w:r>
        <w:br/>
      </w:r>
      <w:r>
        <w:rPr>
          <w:b/>
          <w:bCs/>
        </w:rPr>
        <w:t xml:space="preserve">Warsaw University of Technology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359c456ad8a5e19f4e9450cf8fc98d79a9b3b06"/>
      <w:r>
        <w:t xml:space="preserve">1. Document Metadata and Change History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4"/>
        <w:gridCol w:w="880"/>
        <w:gridCol w:w="1232"/>
        <w:gridCol w:w="466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15.10.2024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Alice Kowalska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version for supervisor sign-off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18.10.2024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Bob Nowak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quantifiable non-functional requirements (NFRs)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Title:</w:t>
      </w:r>
      <w:r>
        <w:t xml:space="preserve"> </w:t>
      </w:r>
      <w:r>
        <w:rPr>
          <w:i/>
          <w:iCs/>
        </w:rPr>
        <w:t xml:space="preserve">A System for Reconstructing Fragmented Documents Based on the Shape and Content of Their Parts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Authors:</w:t>
      </w:r>
      <w:r>
        <w:t xml:space="preserve"> </w:t>
      </w:r>
      <w:r>
        <w:t xml:space="preserve">Martyna Sadowska, Hanna Szczerbińska, Zuzanna Zalewska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Supervisor:</w:t>
      </w:r>
      <w:r>
        <w:t xml:space="preserve"> </w:t>
      </w:r>
      <w:r>
        <w:t xml:space="preserve">Janusz Rafałko, Ph.D.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208661bb300c19ea44f94b3286f175eadce5de7"/>
      <w:r>
        <w:t xml:space="preserve">2. One-Sentence Engineering / Research Problem Formulation</w:t>
      </w:r>
      <w:bookmarkEnd w:id="11"/>
    </w:p>
    <w:p>
      <w:pPr>
        <w:pStyle w:val="BlockText"/>
      </w:pPr>
      <w:r>
        <w:rPr>
          <w:i/>
          <w:iCs/>
        </w:rPr>
        <w:t xml:space="preserve">“The objective of this project is to design, implement, and evaluate a software system capable of reconstructing fragmented (shredded or torn) documents based on an image of their pieces, supported by a dedicated document-splitting module for synthetic dataset generation and testing.”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849c5ef3e6a95175330fde1820214ed9a3f2f63"/>
      <w:r>
        <w:t xml:space="preserve">3. Project Scope: MVP vs. Future Work (Scope Management)</w:t>
      </w:r>
      <w:bookmarkEnd w:id="12"/>
    </w:p>
    <w:p>
      <w:pPr>
        <w:pStyle w:val="Heading3"/>
      </w:pPr>
      <w:bookmarkStart w:id="13" w:name="_1e9c6e17298c255f6f09138aa09bd283f770454"/>
      <w:r>
        <w:t xml:space="preserve">3.1. Minimum Viable Product (MVP – Passing Scope)</w:t>
      </w:r>
      <w:bookmarkEnd w:id="13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Splitting Module (Module 1):</w:t>
      </w:r>
    </w:p>
    <w:p>
      <w:pPr>
        <w:pStyle w:val="Compact"/>
        <w:numPr>
          <w:ilvl w:val="1"/>
          <w:numId w:val="1003"/>
        </w:numPr>
      </w:pPr>
      <w:r>
        <w:t xml:space="preserve">Supports single and batch mode processing.</w:t>
      </w:r>
    </w:p>
    <w:p>
      <w:pPr>
        <w:pStyle w:val="Compact"/>
        <w:numPr>
          <w:ilvl w:val="1"/>
          <w:numId w:val="1003"/>
        </w:numPr>
      </w:pPr>
      <w:r>
        <w:t xml:space="preserve">Allows users to split document images using various algorithms, preview piece borders, re-generate if needed, and apply random rotations and non-overlapping background placement.</w:t>
      </w:r>
    </w:p>
    <w:p>
      <w:pPr>
        <w:pStyle w:val="Compact"/>
        <w:numPr>
          <w:ilvl w:val="1"/>
          <w:numId w:val="1003"/>
        </w:numPr>
      </w:pPr>
      <w:r>
        <w:t xml:space="preserve">Saves the generated fragments locally.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Reconstruction Module (Module 2):</w:t>
      </w:r>
    </w:p>
    <w:p>
      <w:pPr>
        <w:pStyle w:val="Compact"/>
        <w:numPr>
          <w:ilvl w:val="1"/>
          <w:numId w:val="1004"/>
        </w:numPr>
      </w:pPr>
      <w:r>
        <w:t xml:space="preserve">Extracts individual fragments from an input image (single and batch mode).</w:t>
      </w:r>
    </w:p>
    <w:p>
      <w:pPr>
        <w:pStyle w:val="Compact"/>
        <w:numPr>
          <w:ilvl w:val="1"/>
          <w:numId w:val="1004"/>
        </w:numPr>
      </w:pPr>
      <w:r>
        <w:t xml:space="preserve">Reconstructs original documents using selectable or automated algorithms.</w:t>
      </w:r>
    </w:p>
    <w:p>
      <w:pPr>
        <w:pStyle w:val="Compact"/>
        <w:numPr>
          <w:ilvl w:val="1"/>
          <w:numId w:val="1004"/>
        </w:numPr>
      </w:pPr>
      <w:r>
        <w:t xml:space="preserve">Displays the reconstructed output, allows iterative refinement (adjusting time/algorithm), and saves the final result locally.</w:t>
      </w:r>
    </w:p>
    <w:p>
      <w:pPr>
        <w:pStyle w:val="Heading3"/>
      </w:pPr>
      <w:bookmarkStart w:id="14" w:name="_da33a321df5d4b4c544dd8a8c7335a1a5f37196"/>
      <w:r>
        <w:t xml:space="preserve">3.2. Out of Scope (Future Work)</w:t>
      </w:r>
      <w:bookmarkEnd w:id="14"/>
    </w:p>
    <w:p>
      <w:pPr>
        <w:pStyle w:val="Compact"/>
        <w:numPr>
          <w:ilvl w:val="0"/>
          <w:numId w:val="1005"/>
        </w:numPr>
      </w:pPr>
      <w:r>
        <w:t xml:space="preserve">Integration with external cloud storage providers or dedicated mobile applications.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32c7745bee60674eb057a95928e5168c201f3b9"/>
      <w:r>
        <w:t xml:space="preserve">4. Functional Requirements (User Stories &amp; Acceptance Criteria)</w:t>
      </w:r>
      <w:bookmarkEnd w:id="15"/>
    </w:p>
    <w:p>
      <w:pPr>
        <w:pStyle w:val="Heading3"/>
      </w:pPr>
      <w:bookmarkStart w:id="16" w:name="_334378d35480c7210ddf6788623dee284adbf3d"/>
      <w:r>
        <w:rPr>
          <w:b/>
          <w:bCs/>
        </w:rPr>
        <w:t xml:space="preserve">US-01: Ingestion of a Single Telemetry Data Point</w:t>
      </w:r>
      <w:bookmarkEnd w:id="16"/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 an:</w:t>
      </w:r>
      <w:r>
        <w:t xml:space="preserve"> </w:t>
      </w:r>
      <w:r>
        <w:t xml:space="preserve">External system (e.g., IoT sensor / telemetry script),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Submit a measurement with a timestamp and numeric value via the</w:t>
      </w:r>
      <w:r>
        <w:t xml:space="preserve"> </w:t>
      </w:r>
      <w:r>
        <w:rPr>
          <w:rStyle w:val="VerbatimChar"/>
        </w:rPr>
        <w:t xml:space="preserve">POST /api/v1/metrics</w:t>
      </w:r>
      <w:r>
        <w:t xml:space="preserve"> </w:t>
      </w:r>
      <w:r>
        <w:t xml:space="preserve">endpoint,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data is validated, stored in the time-series database, and forwarded to the analytical engine.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running and authenticated ingestion service,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client sends a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request with a valid JSON payload</w:t>
      </w:r>
      <w:r>
        <w:t xml:space="preserve"> </w:t>
      </w:r>
      <w:r>
        <w:rPr>
          <w:rStyle w:val="VerbatimChar"/>
        </w:rPr>
        <w:t xml:space="preserve">{ "sensor_id": "temp-01", "timestamp": 1729000000, "value": 24.5 }</w:t>
      </w:r>
      <w:r>
        <w:t xml:space="preserve">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returns response status</w:t>
      </w:r>
      <w:r>
        <w:t xml:space="preserve"> </w:t>
      </w:r>
      <w:r>
        <w:rPr>
          <w:rStyle w:val="VerbatimChar"/>
        </w:rPr>
        <w:t xml:space="preserve">201 Created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ms, and the record is persisted in the TimescaleDB hypertable.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Scenario (Invalid data):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client sends a request with a negative timestamp or a missing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field,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rejects the request with HTTP</w:t>
      </w:r>
      <w:r>
        <w:t xml:space="preserve"> </w:t>
      </w:r>
      <w:r>
        <w:rPr>
          <w:rStyle w:val="VerbatimChar"/>
        </w:rPr>
        <w:t xml:space="preserve">422 Unprocessable Entity</w:t>
      </w:r>
      <w:r>
        <w:t xml:space="preserve"> </w:t>
      </w:r>
      <w:r>
        <w:t xml:space="preserve">containing a detailed validation error message.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7" w:name="_f650a3d1f1b796ea0b4aad8bf69be1bbf0db285"/>
      <w:r>
        <w:rPr>
          <w:b/>
          <w:bCs/>
        </w:rPr>
        <w:t xml:space="preserve">US-02: Viewing Time-Series Chart with Flagged Anomalies</w:t>
      </w:r>
      <w:bookmarkEnd w:id="17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 an:</w:t>
      </w:r>
      <w:r>
        <w:t xml:space="preserve"> </w:t>
      </w:r>
      <w:r>
        <w:t xml:space="preserve">Operations engineer / data analyst,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Open the chart view for a selected sensor covering the last 24 hours with highlighted anomalies,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quickly diagnose equipment faults across infrastructure.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user logged in to the web dashboard,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sensor</w:t>
      </w:r>
      <w:r>
        <w:t xml:space="preserve"> </w:t>
      </w:r>
      <w:r>
        <w:rPr>
          <w:rStyle w:val="VerbatimChar"/>
        </w:rPr>
        <w:t xml:space="preserve">sensor_id="temp-01"</w:t>
      </w:r>
      <w:r>
        <w:t xml:space="preserve"> </w:t>
      </w:r>
      <w:r>
        <w:t xml:space="preserve">and time window</w:t>
      </w:r>
      <w:r>
        <w:t xml:space="preserve"> </w:t>
      </w:r>
      <w:r>
        <w:rPr>
          <w:rStyle w:val="VerbatimChar"/>
        </w:rPr>
        <w:t xml:space="preserve">24h</w:t>
      </w:r>
      <w:r>
        <w:t xml:space="preserve"> </w:t>
      </w:r>
      <w:r>
        <w:t xml:space="preserve">from the menu,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line chart renders in</w:t>
      </w:r>
      <w:r>
        <w:t xml:space="preserve"> </w:t>
      </w:r>
      <m:oMath>
        <m:r>
          <m:rPr>
            <m:sty m:val="p"/>
          </m:rPr>
          <m:t>&lt;</m:t>
        </m:r>
        <m:r>
          <m:t>1.0</m:t>
        </m:r>
      </m:oMath>
      <w:r>
        <w:t xml:space="preserve"> </w:t>
      </w:r>
      <w:r>
        <w:t xml:space="preserve">s with anomalous points highlighted in red.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74a6988351e924c576c6f7673b837877495fc73"/>
      <w:r>
        <w:t xml:space="preserve">5. Quantifiable Non-Functional Requirements (NFRs)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8"/>
        <w:gridCol w:w="1234"/>
        <w:gridCol w:w="5074"/>
        <w:gridCol w:w="10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Quantifiable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 Time (Latency)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of write and read requests respond in</w:t>
            </w:r>
            <m:oMath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 </w:t>
            </w:r>
            <w:r>
              <w:t xml:space="preserve">ms under a load of 50 concurrent virtual users.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k6 / Locust load benchmark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Ingestion engine processes</w:t>
            </w:r>
            <m:oMath>
              <m:r>
                <m:rPr>
                  <m:sty m:val="p"/>
                </m:rPr>
                <m:t>≥</m:t>
              </m:r>
              <m:r>
                <m:t>5</m:t>
              </m:r>
              <m:r>
                <m:t> </m:t>
              </m:r>
              <m:r>
                <m:t>000</m:t>
              </m:r>
            </m:oMath>
            <w:r>
              <w:t xml:space="preserve"> </w:t>
            </w:r>
            <w:r>
              <w:t xml:space="preserve">events/second on a 4-core machine with 16 GB RAM.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Locust stress 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Resource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idle RAM consumption of the container stack</w:t>
            </w:r>
            <m:oMath>
              <m:r>
                <m:rPr>
                  <m:sty m:val="p"/>
                </m:rPr>
                <m:t>≤</m:t>
              </m:r>
              <m:r>
                <m:t>2.0</m:t>
              </m:r>
            </m:oMath>
            <w:r>
              <w:t xml:space="preserve"> </w:t>
            </w:r>
            <w:r>
              <w:t xml:space="preserve">GB; analytical model runs in CPU memory without GPU requirements.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stats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Deployment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deployment and startup of a clean environment using</w:t>
            </w:r>
            <w:r>
              <w:rPr>
                <w:rStyle w:val="VerbatimChar"/>
              </w:rPr>
              <w:t xml:space="preserve">docker compose up --build</w:t>
            </w:r>
            <w:r>
              <w:t xml:space="preserve"> </w:t>
            </w:r>
            <w:r>
              <w:t xml:space="preserve">completes in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t xml:space="preserve"> </w:t>
            </w:r>
            <w:r>
              <w:t xml:space="preserve">minutes on a MiNI lab Ubuntu machine.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Stopwatch / installation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unhandled HTTP 500 exceptions on malformed input data; automated database reconnection retries in containers.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 integration test suite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glossary"/>
      <w:r>
        <w:t xml:space="preserve">6. Glossary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1"/>
        <w:gridCol w:w="65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APD (Archiwum Prac Dyplomowych)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Thesis Archive; official web portal of Warsaw University of Technology used for thesis submission, anti-plagiarism verification, and archiving.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Hypertable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TimescaleDB abstraction that presents time-series data as a single continuous PostgreSQL table while transparently partitioning it into time-based chunks under the hood.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unsupervised machine learning algorithm for anomaly detection that isolates observations by randomly selecting a feature and split value, where anomalies require fewer splits to isolate.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MVP (Minimum Viable Product)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minimal functional scope of the project fulfilling all foundational requirements for academic project evaluation and defense.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95th percentile of response time distribution, indicating that 95% of all incoming requests are served in less than the specified duration.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Rolling 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localized statistical metric representing the number of standard deviations a given observation deviates from the moving mean over a sliding temporal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remote collection and transmission of operational measurement data from distributed sensors or agents to a central receiving station.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9355d538fe36870ae34e2533a500119c7a01bed"/>
      <w:r>
        <w:t xml:space="preserve">7. Preliminary Risk Register and Role Allocation</w:t>
      </w:r>
      <w:bookmarkEnd w:id="20"/>
    </w:p>
    <w:p>
      <w:pPr>
        <w:pStyle w:val="FirstParagraph"/>
      </w:pPr>
      <w:r>
        <w:rPr>
          <w:i/>
          <w:iCs/>
        </w:rPr>
        <w:t xml:space="preserve">(Detailed Risk Register and RACI Matrix are defined in dedicated documents:</w:t>
      </w:r>
      <w:r>
        <w:rPr>
          <w:i/>
          <w:iCs/>
        </w:rPr>
        <w:t xml:space="preserve"> </w:t>
      </w:r>
      <w:hyperlink r:id="rId21">
        <w:r>
          <w:rPr>
            <w:rStyle w:val="VerbatimChar"/>
            <w:i/>
            <w:iCs/>
          </w:rPr>
          <w:t xml:space="preserve">management/risk-register-and-contingency.md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2">
        <w:r>
          <w:rPr>
            <w:rStyle w:val="VerbatimChar"/>
            <w:i/>
            <w:iCs/>
          </w:rPr>
          <w:t xml:space="preserve">management/team-charter-and-raci.md</w:t>
        </w:r>
      </w:hyperlink>
      <w:r>
        <w:rPr>
          <w:i/>
          <w:iCs/>
        </w:rP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e7661c3f8e43572b2cbb74e30a10316b34a2af0"/>
      <w:r>
        <w:t xml:space="preserve">8. Formal Supervisor Acceptance</w:t>
      </w:r>
      <w:bookmarkEnd w:id="23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Scope and MVP Sign-off:</w:t>
      </w:r>
      <w:r>
        <w:t xml:space="preserve"> </w:t>
      </w:r>
      <w:r>
        <w:t xml:space="preserve">The supervisor has reviewed the requirements specification and approves the MVP scope as the foundation for the engineering / master’s degree project.</w:t>
      </w:r>
    </w:p>
    <w:p>
      <w:pPr>
        <w:pStyle w:val="FirstParagraph"/>
      </w:pPr>
      <w:r>
        <w:rPr>
          <w:b/>
          <w:bCs/>
        </w:rPr>
        <w:t xml:space="preserve">Supervisor Signature:</w:t>
      </w:r>
      <w:r>
        <w:t xml:space="preserve"> </w:t>
      </w:r>
      <w:r>
        <w:t xml:space="preserve">……………………………………………………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October 18, 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./management/risk-register-and-contingency.md" TargetMode="External" /><Relationship Type="http://schemas.openxmlformats.org/officeDocument/2006/relationships/hyperlink" Id="rId22" Target="../management/team-charter-and-rac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management/risk-register-and-contingency.md" TargetMode="External" /><Relationship Type="http://schemas.openxmlformats.org/officeDocument/2006/relationships/hyperlink" Id="rId22" Target="../management/team-charter-and-rac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2026-10-13T22:10:37Z</dcterms:created>
  <dcterms:modified xsi:type="dcterms:W3CDTF">2026-10-13T22:10:37Z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