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Module 3 — Marks Calculation &amp; Distribution</w:t>
      </w:r>
    </w:p>
    <w:p>
      <w:r>
        <w:t>Weighting context: Labs contribute 15% of the final grade; app scales to a /20 grade item in D2L.</w:t>
      </w:r>
    </w:p>
    <w:p>
      <w:r>
        <w:t>Student provisional (/15) = Auto (checklist &amp; selection) 5 + Self ≤5 + Peer ≤5.</w:t>
      </w:r>
    </w:p>
    <w:p>
      <w:r>
        <w:t>Instructor export (/20) = provisional × 4/3. The Instructor app performs this scaling and can export a D2L CSV.</w:t>
      </w:r>
    </w:p>
    <w:p>
      <w:r>
        <w:t>Transparency: Students see the criteria in the rubric and the self/peer weighting inside the Student app (Section 7).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Max Points</w:t>
            </w:r>
          </w:p>
        </w:tc>
      </w:tr>
      <w:tr>
        <w:tc>
          <w:tcPr>
            <w:tcW w:type="dxa" w:w="4320"/>
          </w:tcPr>
          <w:p>
            <w:r>
              <w:t>Auto (checklist + 2 Book + 2 Course)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Self‑assessment (4 criteria × 0–2 → ×(5/8))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Peer‑assessment (0–8 → ×(5/8))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Total provisional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Scaled to D2L grade item</w:t>
            </w:r>
          </w:p>
        </w:tc>
        <w:tc>
          <w:tcPr>
            <w:tcW w:type="dxa" w:w="4320"/>
          </w:tcPr>
          <w:p>
            <w:r>
              <w:t>/20 = ×4/3</w:t>
            </w:r>
          </w:p>
        </w:tc>
      </w:tr>
    </w:tbl>
    <w:p/>
    <w:p>
      <w:r>
        <w:t>Instructor notes:</w:t>
      </w:r>
    </w:p>
    <w:p>
      <w:r>
        <w:t>• Validate SECRET and ATT in JSON. If mismatched, mark as issue in app.</w:t>
      </w:r>
    </w:p>
    <w:p>
      <w:r>
        <w:t>• Confirm 2 Book + 2 Course labs in JSON (chosenBook/chosenCourse).</w:t>
      </w:r>
    </w:p>
    <w:p>
      <w:r>
        <w:t>• Use export CSV to upload to D2L (Username, OrgDefinedId, Points Grade).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