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4F46E5"/>
          <w:sz w:val="44"/>
        </w:rPr>
        <w:t>CODECELIX AI-POWERED FRAUD DETECTION SYSTEM</w:t>
      </w:r>
    </w:p>
    <w:p>
      <w:pPr>
        <w:spacing w:after="280"/>
      </w:pPr>
      <w:r>
        <w:rPr>
          <w:rFonts w:ascii="Arial" w:hAnsi="Arial"/>
          <w:color w:val="64748B"/>
          <w:sz w:val="26"/>
        </w:rPr>
        <w:t>Comprehensive Technical Architecture, System Integration &amp; Full-Stack Quality Audit Report</w:t>
      </w:r>
    </w:p>
    <w:tbl>
      <w:tblPr>
        <w:tblW w:type="auto" w:w="0"/>
        <w:jc w:val="center"/>
        <w:tblLook w:firstColumn="1" w:firstRow="1" w:lastColumn="0" w:lastRow="0" w:noHBand="0" w:noVBand="1" w:val="04A0"/>
      </w:tblPr>
      <w:tblGrid>
        <w:gridCol w:w="4968"/>
        <w:gridCol w:w="4968"/>
      </w:tblGrid>
      <w:tr>
        <w:tc>
          <w:tcPr>
            <w:tcW w:type="dxa" w:w="3168"/>
            <w:shd w:fill="F1F5F9"/>
            <w:tcMar>
              <w:top w:w="60" w:type="dxa"/>
              <w:bottom w:w="60" w:type="dxa"/>
              <w:left w:w="100" w:type="dxa"/>
              <w:right w:w="100" w:type="dxa"/>
            </w:tcMar>
          </w:tcPr>
          <w:p>
            <w:r>
              <w:rPr>
                <w:b/>
                <w:color w:val="0F172A"/>
                <w:sz w:val="19"/>
              </w:rPr>
              <w:t>Project Name:</w:t>
            </w:r>
          </w:p>
        </w:tc>
        <w:tc>
          <w:tcPr>
            <w:tcW w:type="dxa" w:w="6624"/>
            <w:shd w:fill="F8FAFC"/>
            <w:tcMar>
              <w:top w:w="60" w:type="dxa"/>
              <w:bottom w:w="60" w:type="dxa"/>
              <w:left w:w="100" w:type="dxa"/>
              <w:right w:w="100" w:type="dxa"/>
            </w:tcMar>
          </w:tcPr>
          <w:p>
            <w:r>
              <w:rPr>
                <w:color w:val="1E293B"/>
                <w:sz w:val="19"/>
              </w:rPr>
              <w:t>Codecelix Enterprise AI Fraud &amp; Threat Detection Platform</w:t>
            </w:r>
          </w:p>
        </w:tc>
      </w:tr>
      <w:tr>
        <w:tc>
          <w:tcPr>
            <w:tcW w:type="dxa" w:w="3168"/>
            <w:shd w:fill="F1F5F9"/>
            <w:tcMar>
              <w:top w:w="60" w:type="dxa"/>
              <w:bottom w:w="60" w:type="dxa"/>
              <w:left w:w="100" w:type="dxa"/>
              <w:right w:w="100" w:type="dxa"/>
            </w:tcMar>
          </w:tcPr>
          <w:p>
            <w:r>
              <w:rPr>
                <w:b/>
                <w:color w:val="0F172A"/>
                <w:sz w:val="19"/>
              </w:rPr>
              <w:t>Version &amp; Status:</w:t>
            </w:r>
          </w:p>
        </w:tc>
        <w:tc>
          <w:tcPr>
            <w:tcW w:type="dxa" w:w="6624"/>
            <w:shd w:fill="F8FAFC"/>
            <w:tcMar>
              <w:top w:w="60" w:type="dxa"/>
              <w:bottom w:w="60" w:type="dxa"/>
              <w:left w:w="100" w:type="dxa"/>
              <w:right w:w="100" w:type="dxa"/>
            </w:tcMar>
          </w:tcPr>
          <w:p>
            <w:r>
              <w:rPr>
                <w:color w:val="1E293B"/>
                <w:sz w:val="19"/>
              </w:rPr>
              <w:t>Version 2.0 (Full-Stack Integrated, Production Ready)</w:t>
            </w:r>
          </w:p>
        </w:tc>
      </w:tr>
      <w:tr>
        <w:tc>
          <w:tcPr>
            <w:tcW w:type="dxa" w:w="3168"/>
            <w:shd w:fill="F1F5F9"/>
            <w:tcMar>
              <w:top w:w="60" w:type="dxa"/>
              <w:bottom w:w="60" w:type="dxa"/>
              <w:left w:w="100" w:type="dxa"/>
              <w:right w:w="100" w:type="dxa"/>
            </w:tcMar>
          </w:tcPr>
          <w:p>
            <w:r>
              <w:rPr>
                <w:b/>
                <w:color w:val="0F172A"/>
                <w:sz w:val="19"/>
              </w:rPr>
              <w:t>Audit Date:</w:t>
            </w:r>
          </w:p>
        </w:tc>
        <w:tc>
          <w:tcPr>
            <w:tcW w:type="dxa" w:w="6624"/>
            <w:shd w:fill="F8FAFC"/>
            <w:tcMar>
              <w:top w:w="60" w:type="dxa"/>
              <w:bottom w:w="60" w:type="dxa"/>
              <w:left w:w="100" w:type="dxa"/>
              <w:right w:w="100" w:type="dxa"/>
            </w:tcMar>
          </w:tcPr>
          <w:p>
            <w:r>
              <w:rPr>
                <w:color w:val="1E293B"/>
                <w:sz w:val="19"/>
              </w:rPr>
              <w:t>September 20, 2026</w:t>
            </w:r>
          </w:p>
        </w:tc>
      </w:tr>
      <w:tr>
        <w:tc>
          <w:tcPr>
            <w:tcW w:type="dxa" w:w="3168"/>
            <w:shd w:fill="F1F5F9"/>
            <w:tcMar>
              <w:top w:w="60" w:type="dxa"/>
              <w:bottom w:w="60" w:type="dxa"/>
              <w:left w:w="100" w:type="dxa"/>
              <w:right w:w="100" w:type="dxa"/>
            </w:tcMar>
          </w:tcPr>
          <w:p>
            <w:r>
              <w:rPr>
                <w:b/>
                <w:color w:val="0F172A"/>
                <w:sz w:val="19"/>
              </w:rPr>
              <w:t>Engineering Scope:</w:t>
            </w:r>
          </w:p>
        </w:tc>
        <w:tc>
          <w:tcPr>
            <w:tcW w:type="dxa" w:w="6624"/>
            <w:shd w:fill="F8FAFC"/>
            <w:tcMar>
              <w:top w:w="60" w:type="dxa"/>
              <w:bottom w:w="60" w:type="dxa"/>
              <w:left w:w="100" w:type="dxa"/>
              <w:right w:w="100" w:type="dxa"/>
            </w:tcMar>
          </w:tcPr>
          <w:p>
            <w:r>
              <w:rPr>
                <w:color w:val="1E293B"/>
                <w:sz w:val="19"/>
              </w:rPr>
              <w:t>Backend API (FastAPI) + React 18 Frontend + Hybrid ML Pipelines + Automated QA</w:t>
            </w:r>
          </w:p>
        </w:tc>
      </w:tr>
    </w:tbl>
    <w:p>
      <w:pPr>
        <w:spacing w:after="200"/>
      </w:pPr>
    </w:p>
    <w:p>
      <w:pPr>
        <w:keepNext/>
        <w:spacing w:before="320" w:after="120"/>
      </w:pPr>
      <w:r>
        <w:rPr>
          <w:rFonts w:ascii="Arial" w:hAnsi="Arial"/>
          <w:b/>
          <w:color w:val="0F172A"/>
          <w:sz w:val="28"/>
        </w:rPr>
        <w:t>1. Executive Summary</w:t>
      </w:r>
    </w:p>
    <w:p>
      <w:pPr>
        <w:spacing w:after="80" w:line="276" w:lineRule="auto"/>
      </w:pPr>
      <w:r>
        <w:rPr>
          <w:color w:val="1E293B"/>
          <w:sz w:val="20"/>
        </w:rPr>
        <w:t>The Codecelix AI-Powered Fraud &amp; Risk Detection Platform is an enterprise-grade, full-stack intelligence solution designed to mitigate financial loss, prevent account takeovers, and stop fraudulent transactions in real time across digital marketplaces, fintech services, and e-commerce platforms. The system pairs high-throughput, low-latency machine learning pipelines with heuristic expert rules, dynamic behavioral profiling, multi-hop entity graph analytics, and state-of-the-art generative AI (Google Gemini 1.5/2.5 Pro) for contextual investigation assistance.</w:t>
      </w:r>
    </w:p>
    <w:p>
      <w:pPr>
        <w:spacing w:after="80" w:line="276" w:lineRule="auto"/>
      </w:pPr>
      <w:r>
        <w:rPr>
          <w:color w:val="1E293B"/>
          <w:sz w:val="20"/>
        </w:rPr>
        <w:t>Following completion of backend architecture and testing suites, the React 18 + TypeScript single-page application (SPA) was fully integrated with the live FastAPI services. All UI components, authentication guards, real-time audit registers, entity graphs, and AI assistant drawers are connected to live database records with zero synthetic data. Every layer has undergone rigorous quality assurance across unit, whitebox, blackbox REST, smoke, AI layer E2E, and live automated browser testing.</w:t>
      </w:r>
    </w:p>
    <w:p>
      <w:pPr>
        <w:keepNext/>
        <w:spacing w:before="320" w:after="120"/>
      </w:pPr>
      <w:r>
        <w:rPr>
          <w:rFonts w:ascii="Arial" w:hAnsi="Arial"/>
          <w:b/>
          <w:color w:val="0F172A"/>
          <w:sz w:val="28"/>
        </w:rPr>
        <w:t>2. System Architecture &amp; Technology Stack</w:t>
      </w:r>
    </w:p>
    <w:p>
      <w:pPr>
        <w:spacing w:after="80" w:line="276" w:lineRule="auto"/>
      </w:pPr>
      <w:r>
        <w:rPr>
          <w:color w:val="1E293B"/>
          <w:sz w:val="20"/>
        </w:rPr>
        <w:t>The platform is architected as a clean client-server decoupled system with asynchronous communication bridges:</w:t>
      </w:r>
    </w:p>
    <w:p>
      <w:pPr>
        <w:pStyle w:val="ListBullet"/>
        <w:spacing w:after="60" w:line="276" w:lineRule="auto"/>
      </w:pPr>
      <w:r>
        <w:rPr>
          <w:b/>
          <w:color w:val="0F172A"/>
          <w:sz w:val="19"/>
        </w:rPr>
        <w:t xml:space="preserve">Backend Framework: </w:t>
      </w:r>
      <w:r>
        <w:rPr>
          <w:color w:val="1E293B"/>
          <w:sz w:val="19"/>
        </w:rPr>
        <w:t>FastAPI (Python 3.13) with asynchronous request pipelines and automated Swagger/OpenAPI documentation.</w:t>
      </w:r>
    </w:p>
    <w:p>
      <w:pPr>
        <w:pStyle w:val="ListBullet"/>
        <w:spacing w:after="60" w:line="276" w:lineRule="auto"/>
      </w:pPr>
      <w:r>
        <w:rPr>
          <w:b/>
          <w:color w:val="0F172A"/>
          <w:sz w:val="19"/>
        </w:rPr>
        <w:t xml:space="preserve">Database &amp; ORM: </w:t>
      </w:r>
      <w:r>
        <w:rPr>
          <w:color w:val="1E293B"/>
          <w:sz w:val="19"/>
        </w:rPr>
        <w:t>SQLAlchemy 2.0 with PostgreSQL hosted on Supabase (Pooler architecture), featuring native binary JSONB columns for dynamic AST condition trees and risk assessment audit trails.</w:t>
      </w:r>
    </w:p>
    <w:p>
      <w:pPr>
        <w:pStyle w:val="ListBullet"/>
        <w:spacing w:after="60" w:line="276" w:lineRule="auto"/>
      </w:pPr>
      <w:r>
        <w:rPr>
          <w:b/>
          <w:color w:val="0F172A"/>
          <w:sz w:val="19"/>
        </w:rPr>
        <w:t xml:space="preserve">Frontend Framework: </w:t>
      </w:r>
      <w:r>
        <w:rPr>
          <w:color w:val="1E293B"/>
          <w:sz w:val="19"/>
        </w:rPr>
        <w:t>React 18 with TypeScript, Vite build tool, Tailwind CSS dark enterprise theme, and React Router v6.</w:t>
      </w:r>
    </w:p>
    <w:p>
      <w:pPr>
        <w:pStyle w:val="ListBullet"/>
        <w:spacing w:after="60" w:line="276" w:lineRule="auto"/>
      </w:pPr>
      <w:r>
        <w:rPr>
          <w:b/>
          <w:color w:val="0F172A"/>
          <w:sz w:val="19"/>
        </w:rPr>
        <w:t xml:space="preserve">Data Management &amp; State: </w:t>
      </w:r>
      <w:r>
        <w:rPr>
          <w:color w:val="1E293B"/>
          <w:sz w:val="19"/>
        </w:rPr>
        <w:t>TanStack React Query for reactive cache management, optimistic updates, and background synchronization; Context API for session and role management.</w:t>
      </w:r>
    </w:p>
    <w:p>
      <w:pPr>
        <w:pStyle w:val="ListBullet"/>
        <w:spacing w:after="60" w:line="276" w:lineRule="auto"/>
      </w:pPr>
      <w:r>
        <w:rPr>
          <w:b/>
          <w:color w:val="0F172A"/>
          <w:sz w:val="19"/>
        </w:rPr>
        <w:t xml:space="preserve">Visualizations &amp; Graphics: </w:t>
      </w:r>
      <w:r>
        <w:rPr>
          <w:color w:val="1E293B"/>
          <w:sz w:val="19"/>
        </w:rPr>
        <w:t>Recharts for telemetry donuts and 30-day velocity charts; React Flow (@xyflow/react) for multi-hop entity relationship graphs.</w:t>
      </w:r>
    </w:p>
    <w:p>
      <w:pPr>
        <w:pStyle w:val="ListBullet"/>
        <w:spacing w:after="60" w:line="276" w:lineRule="auto"/>
      </w:pPr>
      <w:r>
        <w:rPr>
          <w:b/>
          <w:color w:val="0F172A"/>
          <w:sz w:val="19"/>
        </w:rPr>
        <w:t xml:space="preserve">Machine Learning Engines: </w:t>
      </w:r>
      <w:r>
        <w:rPr>
          <w:color w:val="1E293B"/>
          <w:sz w:val="19"/>
        </w:rPr>
        <w:t>XGBoost 3.0 + Scikit-Learn 1.7 (Isolation Forest anomaly detectors, Extra Tree regressors, StandardScalers) evaluated over 43-dimensional feature vectors.</w:t>
      </w:r>
    </w:p>
    <w:p>
      <w:pPr>
        <w:pStyle w:val="ListBullet"/>
        <w:spacing w:after="60" w:line="276" w:lineRule="auto"/>
      </w:pPr>
      <w:r>
        <w:rPr>
          <w:b/>
          <w:color w:val="0F172A"/>
          <w:sz w:val="19"/>
        </w:rPr>
        <w:t xml:space="preserve">Artificial Intelligence: </w:t>
      </w:r>
      <w:r>
        <w:rPr>
          <w:color w:val="1E293B"/>
          <w:sz w:val="19"/>
        </w:rPr>
        <w:t>Google Gemini API with synchronous deterministic rule fallbacks, powering dual-mode transaction risk explanations and grounded investigative Q&amp;A.</w:t>
      </w:r>
    </w:p>
    <w:p>
      <w:pPr>
        <w:keepNext/>
        <w:spacing w:before="320" w:after="120"/>
      </w:pPr>
      <w:r>
        <w:rPr>
          <w:rFonts w:ascii="Arial" w:hAnsi="Arial"/>
          <w:b/>
          <w:color w:val="0F172A"/>
          <w:sz w:val="28"/>
        </w:rPr>
        <w:t>3. Mathematical Scoring Engine &amp; Machine Learning Pipelines</w:t>
      </w:r>
    </w:p>
    <w:p>
      <w:pPr>
        <w:keepNext/>
        <w:spacing w:before="200" w:after="80"/>
      </w:pPr>
      <w:r>
        <w:rPr>
          <w:rFonts w:ascii="Arial" w:hAnsi="Arial"/>
          <w:b/>
          <w:color w:val="4F46E5"/>
          <w:sz w:val="23"/>
        </w:rPr>
        <w:t>3.1 Composite Weighted Risk Score Formula</w:t>
      </w:r>
    </w:p>
    <w:p>
      <w:pPr>
        <w:spacing w:after="80" w:line="276" w:lineRule="auto"/>
      </w:pPr>
      <w:r>
        <w:rPr>
          <w:color w:val="1E293B"/>
          <w:sz w:val="20"/>
        </w:rPr>
        <w:t>Every incoming transaction is evaluated through a multi-factor mathematical scoring model synthesizing three independent intelligence layers into a normalized score between 0.0 and 100.0:</w:t>
      </w:r>
    </w:p>
    <w:p>
      <w:pPr>
        <w:spacing w:after="80" w:line="276" w:lineRule="auto"/>
      </w:pPr>
      <w:r>
        <w:rPr>
          <w:b/>
          <w:color w:val="0F172A"/>
          <w:sz w:val="20"/>
        </w:rPr>
        <w:t xml:space="preserve">Mathematical Formulation: </w:t>
      </w:r>
      <w:r>
        <w:rPr>
          <w:color w:val="1E293B"/>
          <w:sz w:val="20"/>
        </w:rPr>
        <w:t>Risk Score = (0.45 x ML_Anomaly_Score) + (0.35 x Rules_Score) + (0.20 x Customer_Behavior_Score)</w:t>
      </w:r>
    </w:p>
    <w:p>
      <w:pPr>
        <w:pStyle w:val="ListBullet"/>
        <w:spacing w:after="60" w:line="276" w:lineRule="auto"/>
      </w:pPr>
      <w:r>
        <w:rPr>
          <w:b/>
          <w:color w:val="0F172A"/>
          <w:sz w:val="19"/>
        </w:rPr>
        <w:t xml:space="preserve">ML Anomaly Score (45% Weight): </w:t>
      </w:r>
      <w:r>
        <w:rPr>
          <w:color w:val="1E293B"/>
          <w:sz w:val="19"/>
        </w:rPr>
        <w:t>Evaluated by the primary pipeline (synthetic_fraud_pipeline.joblib). The raw Isolation Forest anomaly score is appended as the 44th feature to a supervised XGBoost classifier trained on 43 dimensional transaction and behavioral features.</w:t>
      </w:r>
    </w:p>
    <w:p>
      <w:pPr>
        <w:pStyle w:val="ListBullet"/>
        <w:spacing w:after="60" w:line="276" w:lineRule="auto"/>
      </w:pPr>
      <w:r>
        <w:rPr>
          <w:b/>
          <w:color w:val="0F172A"/>
          <w:sz w:val="19"/>
        </w:rPr>
        <w:t xml:space="preserve">Rules Engine Score (35% Weight): </w:t>
      </w:r>
      <w:r>
        <w:rPr>
          <w:color w:val="1E293B"/>
          <w:sz w:val="19"/>
        </w:rPr>
        <w:t>Aggregated score impact from active heuristics in the rules database (e.g. +45 for new device with high value, +35 for new location anomaly).</w:t>
      </w:r>
    </w:p>
    <w:p>
      <w:pPr>
        <w:pStyle w:val="ListBullet"/>
        <w:spacing w:after="60" w:line="276" w:lineRule="auto"/>
      </w:pPr>
      <w:r>
        <w:rPr>
          <w:b/>
          <w:color w:val="0F172A"/>
          <w:sz w:val="19"/>
        </w:rPr>
        <w:t xml:space="preserve">Customer Behavior Score (20% Weight): </w:t>
      </w:r>
      <w:r>
        <w:rPr>
          <w:color w:val="1E293B"/>
          <w:sz w:val="19"/>
        </w:rPr>
        <w:t>Dynamic z-score measuring spending deviations (&gt;3σ from customer rolling average), velocity spikes (1-hour and 24-hour transaction frequency), and historical fraud reports.</w:t>
      </w:r>
    </w:p>
    <w:p>
      <w:pPr>
        <w:keepNext/>
        <w:spacing w:before="200" w:after="80"/>
      </w:pPr>
      <w:r>
        <w:rPr>
          <w:rFonts w:ascii="Arial" w:hAnsi="Arial"/>
          <w:b/>
          <w:color w:val="4F46E5"/>
          <w:sz w:val="23"/>
        </w:rPr>
        <w:t>3.2 Operational Decision Tiers &amp; Critical Overrides</w:t>
      </w:r>
    </w:p>
    <w:p>
      <w:pPr>
        <w:spacing w:after="80" w:line="276" w:lineRule="auto"/>
      </w:pPr>
      <w:r>
        <w:rPr>
          <w:color w:val="1E293B"/>
          <w:sz w:val="20"/>
        </w:rPr>
        <w:t>Decisions strictly adhere to the operational thresholds defined in the canonical report.txt specification:</w:t>
      </w:r>
    </w:p>
    <w:p>
      <w:pPr>
        <w:pStyle w:val="ListBullet"/>
        <w:spacing w:after="60" w:line="276" w:lineRule="auto"/>
      </w:pPr>
      <w:r>
        <w:rPr>
          <w:b/>
          <w:color w:val="0F172A"/>
          <w:sz w:val="19"/>
        </w:rPr>
        <w:t xml:space="preserve">0.0 – 30.0 (LOW Risk): </w:t>
      </w:r>
      <w:r>
        <w:rPr>
          <w:color w:val="1E293B"/>
          <w:sz w:val="19"/>
        </w:rPr>
        <w:t>Automatic APPROVE decision. Sub-5 millisecond response time.</w:t>
      </w:r>
    </w:p>
    <w:p>
      <w:pPr>
        <w:pStyle w:val="ListBullet"/>
        <w:spacing w:after="60" w:line="276" w:lineRule="auto"/>
      </w:pPr>
      <w:r>
        <w:rPr>
          <w:b/>
          <w:color w:val="0F172A"/>
          <w:sz w:val="19"/>
        </w:rPr>
        <w:t xml:space="preserve">30.1 – 70.0 (MEDIUM Risk): </w:t>
      </w:r>
      <w:r>
        <w:rPr>
          <w:color w:val="1E293B"/>
          <w:sz w:val="19"/>
        </w:rPr>
        <w:t>Automatic REVIEW decision. Generates risk assessment dossier and routes to analyst queues.</w:t>
      </w:r>
    </w:p>
    <w:p>
      <w:pPr>
        <w:pStyle w:val="ListBullet"/>
        <w:spacing w:after="60" w:line="276" w:lineRule="auto"/>
      </w:pPr>
      <w:r>
        <w:rPr>
          <w:b/>
          <w:color w:val="0F172A"/>
          <w:sz w:val="19"/>
        </w:rPr>
        <w:t xml:space="preserve">70.1 – 100.0 (HIGH / CRITICAL Risk): </w:t>
      </w:r>
      <w:r>
        <w:rPr>
          <w:color w:val="1E293B"/>
          <w:sz w:val="19"/>
        </w:rPr>
        <w:t>Automatic BLOCK or high-priority REVIEW decision. Critical overrides (e.g. Impossible Travel &gt;800 km/h or explicit block rules) force risk score &gt;= 88.0 and immediate BLOCK.</w:t>
      </w:r>
    </w:p>
    <w:p>
      <w:pPr>
        <w:keepNext/>
        <w:spacing w:before="320" w:after="120"/>
      </w:pPr>
      <w:r>
        <w:rPr>
          <w:rFonts w:ascii="Arial" w:hAnsi="Arial"/>
          <w:b/>
          <w:color w:val="0F172A"/>
          <w:sz w:val="28"/>
        </w:rPr>
        <w:t>4. Frontend Integration &amp; User Interface Workflows</w:t>
      </w:r>
    </w:p>
    <w:p>
      <w:pPr>
        <w:spacing w:after="80" w:line="276" w:lineRule="auto"/>
      </w:pPr>
      <w:r>
        <w:rPr>
          <w:color w:val="1E293B"/>
          <w:sz w:val="20"/>
        </w:rPr>
        <w:t>The React 18 single-page application was integrated with the FastAPI backend using typed adapter bridges in frontend/src/api/. All hardcoded stubs were replaced with live API endpoints:</w:t>
      </w:r>
    </w:p>
    <w:p>
      <w:pPr>
        <w:pStyle w:val="ListBullet"/>
        <w:spacing w:after="60" w:line="276" w:lineRule="auto"/>
      </w:pPr>
      <w:r>
        <w:rPr>
          <w:b/>
          <w:color w:val="0F172A"/>
          <w:sz w:val="19"/>
        </w:rPr>
        <w:t xml:space="preserve">Authentication &amp; RBAC (auth.ts): </w:t>
      </w:r>
      <w:r>
        <w:rPr>
          <w:color w:val="1E293B"/>
          <w:sz w:val="19"/>
        </w:rPr>
        <w:t>Supports admin, business_manager, and analyst roles with JWT Bearer tokens stored in browser local storage. Implements session termination and automatic 401 interception.</w:t>
      </w:r>
    </w:p>
    <w:p>
      <w:pPr>
        <w:pStyle w:val="ListBullet"/>
        <w:spacing w:after="60" w:line="276" w:lineRule="auto"/>
      </w:pPr>
      <w:r>
        <w:rPr>
          <w:b/>
          <w:color w:val="0F172A"/>
          <w:sz w:val="19"/>
        </w:rPr>
        <w:t xml:space="preserve">Executive Dashboard (dashboard.ts): </w:t>
      </w:r>
      <w:r>
        <w:rPr>
          <w:color w:val="1E293B"/>
          <w:sz w:val="19"/>
        </w:rPr>
        <w:t>Pulls live KPI counters (Total Processed, High-Risk Flagged, Average Score, Open Alerts), risk tier distribution donuts, and 30-day fraud velocity trends.</w:t>
      </w:r>
    </w:p>
    <w:p>
      <w:pPr>
        <w:pStyle w:val="ListBullet"/>
        <w:spacing w:after="60" w:line="276" w:lineRule="auto"/>
      </w:pPr>
      <w:r>
        <w:rPr>
          <w:b/>
          <w:color w:val="0F172A"/>
          <w:sz w:val="19"/>
        </w:rPr>
        <w:t xml:space="preserve">Audit Register &amp; Transaction Ledger (transactions.ts): </w:t>
      </w:r>
      <w:r>
        <w:rPr>
          <w:color w:val="1E293B"/>
          <w:sz w:val="19"/>
        </w:rPr>
        <w:t>Interactive real-time transaction ledger supporting pagination, status tags (APPROVED, REVIEW, BLOCKED), risk scores, manual transaction creation, and multipart CSV batch import.</w:t>
      </w:r>
    </w:p>
    <w:p>
      <w:pPr>
        <w:pStyle w:val="ListBullet"/>
        <w:spacing w:after="60" w:line="276" w:lineRule="auto"/>
      </w:pPr>
      <w:r>
        <w:rPr>
          <w:b/>
          <w:color w:val="0F172A"/>
          <w:sz w:val="19"/>
        </w:rPr>
        <w:t xml:space="preserve">Investigation Dossier (investigations.ts): </w:t>
      </w:r>
      <w:r>
        <w:rPr>
          <w:color w:val="1E293B"/>
          <w:sz w:val="19"/>
        </w:rPr>
        <w:t>Comprehensive single-case view (/investigations/:id) displaying multi-factor risk scores, Gemini plain-language explanations, customer transaction history, and related alert queues.</w:t>
      </w:r>
    </w:p>
    <w:p>
      <w:pPr>
        <w:pStyle w:val="ListBullet"/>
        <w:spacing w:after="60" w:line="276" w:lineRule="auto"/>
      </w:pPr>
      <w:r>
        <w:rPr>
          <w:b/>
          <w:color w:val="0F172A"/>
          <w:sz w:val="19"/>
        </w:rPr>
        <w:t xml:space="preserve">Fraud Network Graph (network.ts): </w:t>
      </w:r>
      <w:r>
        <w:rPr>
          <w:color w:val="1E293B"/>
          <w:sz w:val="19"/>
        </w:rPr>
        <w:t>Interactive 2D graph canvas powered by React Flow, mapping multi-hop relationships between customer accounts, shared device fingerprints, and suspicious IP addresses with auto-layout.</w:t>
      </w:r>
    </w:p>
    <w:p>
      <w:pPr>
        <w:pStyle w:val="ListBullet"/>
        <w:spacing w:after="60" w:line="276" w:lineRule="auto"/>
      </w:pPr>
      <w:r>
        <w:rPr>
          <w:b/>
          <w:color w:val="0F172A"/>
          <w:sz w:val="19"/>
        </w:rPr>
        <w:t xml:space="preserve">Visual Rules Engine (rules.ts): </w:t>
      </w:r>
      <w:r>
        <w:rPr>
          <w:color w:val="1E293B"/>
          <w:sz w:val="19"/>
        </w:rPr>
        <w:t>Admin interface for configuring heuristic rules with visual condition-tree builders, comparison operators, and score impact sliders.</w:t>
      </w:r>
    </w:p>
    <w:p>
      <w:pPr>
        <w:pStyle w:val="ListBullet"/>
        <w:spacing w:after="60" w:line="276" w:lineRule="auto"/>
      </w:pPr>
      <w:r>
        <w:rPr>
          <w:b/>
          <w:color w:val="0F172A"/>
          <w:sz w:val="19"/>
        </w:rPr>
        <w:t xml:space="preserve">Compliance &amp; AML Reports (reports.ts): </w:t>
      </w:r>
      <w:r>
        <w:rPr>
          <w:color w:val="1E293B"/>
          <w:sz w:val="19"/>
        </w:rPr>
        <w:t>Generates exportable AML compliance reports with date bounds and risk filters; supports one-click CSV and JSON exports.</w:t>
      </w:r>
    </w:p>
    <w:p>
      <w:pPr>
        <w:pStyle w:val="ListBullet"/>
        <w:spacing w:after="60" w:line="276" w:lineRule="auto"/>
      </w:pPr>
      <w:r>
        <w:rPr>
          <w:b/>
          <w:color w:val="0F172A"/>
          <w:sz w:val="19"/>
        </w:rPr>
        <w:t xml:space="preserve">AI Investigation Assistant (assistant.ts): </w:t>
      </w:r>
      <w:r>
        <w:rPr>
          <w:color w:val="1E293B"/>
          <w:sz w:val="19"/>
        </w:rPr>
        <w:t>Slide-out drawer powered by Gemini and grounded in live database context. Answers analyst questions regarding customers, devices, and open alerts.</w:t>
      </w:r>
    </w:p>
    <w:p>
      <w:pPr>
        <w:keepNext/>
        <w:spacing w:before="320" w:after="120"/>
      </w:pPr>
      <w:r>
        <w:rPr>
          <w:rFonts w:ascii="Arial" w:hAnsi="Arial"/>
          <w:b/>
          <w:color w:val="0F172A"/>
          <w:sz w:val="28"/>
        </w:rPr>
        <w:t>5. Quality Assurance &amp; Comprehensive Testing Audit</w:t>
      </w:r>
    </w:p>
    <w:p>
      <w:pPr>
        <w:spacing w:after="80" w:line="276" w:lineRule="auto"/>
      </w:pPr>
      <w:r>
        <w:rPr>
          <w:color w:val="1E293B"/>
          <w:sz w:val="20"/>
        </w:rPr>
        <w:t>The system was validated using a six-tier testing pyramid encompassing unit testing, internal whitebox logic, REST blackbox contracts, regression smoke tests, end-to-end AI pipelines, and live automated browser testing: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shd w:fill="1E293B"/>
            <w:tcMar>
              <w:top w:w="80" w:type="dxa"/>
              <w:bottom w:w="80" w:type="dxa"/>
              <w:left w:w="80" w:type="dxa"/>
              <w:right w:w="80" w:type="dxa"/>
            </w:tcMar>
          </w:tcPr>
          <w:p>
            <w:r>
              <w:rPr>
                <w:b/>
                <w:color w:val="FFFFFF"/>
                <w:sz w:val="18"/>
              </w:rPr>
              <w:t>Test Suite / Layer</w:t>
            </w:r>
          </w:p>
        </w:tc>
        <w:tc>
          <w:tcPr>
            <w:tcW w:type="dxa" w:w="1987"/>
            <w:shd w:fill="1E293B"/>
            <w:tcMar>
              <w:top w:w="80" w:type="dxa"/>
              <w:bottom w:w="80" w:type="dxa"/>
              <w:left w:w="80" w:type="dxa"/>
              <w:right w:w="80" w:type="dxa"/>
            </w:tcMar>
          </w:tcPr>
          <w:p>
            <w:r>
              <w:rPr>
                <w:b/>
                <w:color w:val="FFFFFF"/>
                <w:sz w:val="18"/>
              </w:rPr>
              <w:t>Type</w:t>
            </w:r>
          </w:p>
        </w:tc>
        <w:tc>
          <w:tcPr>
            <w:tcW w:type="dxa" w:w="1987"/>
            <w:shd w:fill="1E293B"/>
            <w:tcMar>
              <w:top w:w="80" w:type="dxa"/>
              <w:bottom w:w="80" w:type="dxa"/>
              <w:left w:w="80" w:type="dxa"/>
              <w:right w:w="80" w:type="dxa"/>
            </w:tcMar>
          </w:tcPr>
          <w:p>
            <w:r>
              <w:rPr>
                <w:b/>
                <w:color w:val="FFFFFF"/>
                <w:sz w:val="18"/>
              </w:rPr>
              <w:t>Scope / Component</w:t>
            </w:r>
          </w:p>
        </w:tc>
        <w:tc>
          <w:tcPr>
            <w:tcW w:type="dxa" w:w="1987"/>
            <w:shd w:fill="1E293B"/>
            <w:tcMar>
              <w:top w:w="80" w:type="dxa"/>
              <w:bottom w:w="80" w:type="dxa"/>
              <w:left w:w="80" w:type="dxa"/>
              <w:right w:w="80" w:type="dxa"/>
            </w:tcMar>
          </w:tcPr>
          <w:p>
            <w:r>
              <w:rPr>
                <w:b/>
                <w:color w:val="FFFFFF"/>
                <w:sz w:val="18"/>
              </w:rPr>
              <w:t>Execution</w:t>
            </w:r>
          </w:p>
        </w:tc>
        <w:tc>
          <w:tcPr>
            <w:tcW w:type="dxa" w:w="1987"/>
            <w:shd w:fill="1E293B"/>
            <w:tcMar>
              <w:top w:w="80" w:type="dxa"/>
              <w:bottom w:w="80" w:type="dxa"/>
              <w:left w:w="80" w:type="dxa"/>
              <w:right w:w="80" w:type="dxa"/>
            </w:tcMar>
          </w:tcPr>
          <w:p>
            <w:r>
              <w:rPr>
                <w:b/>
                <w:color w:val="FFFFFF"/>
                <w:sz w:val="18"/>
              </w:rPr>
              <w:t>Status</w:t>
            </w:r>
          </w:p>
        </w:tc>
      </w:tr>
      <w:tr>
        <w:tc>
          <w:tcPr>
            <w:tcW w:type="dxa" w:w="1987"/>
            <w:shd w:fill="F8FAFC"/>
            <w:tcMar>
              <w:top w:w="60" w:type="dxa"/>
              <w:bottom w:w="60" w:type="dxa"/>
              <w:left w:w="80" w:type="dxa"/>
              <w:right w:w="80" w:type="dxa"/>
            </w:tcMar>
          </w:tcPr>
          <w:p>
            <w:r>
              <w:rPr>
                <w:b/>
                <w:color w:val="0F172A"/>
                <w:sz w:val="17"/>
              </w:rPr>
              <w:t>1. Component-Level Suite</w:t>
            </w:r>
          </w:p>
        </w:tc>
        <w:tc>
          <w:tcPr>
            <w:tcW w:type="dxa" w:w="1987"/>
            <w:shd w:fill="F8FAFC"/>
            <w:tcMar>
              <w:top w:w="60" w:type="dxa"/>
              <w:bottom w:w="60" w:type="dxa"/>
              <w:left w:w="80" w:type="dxa"/>
              <w:right w:w="80" w:type="dxa"/>
            </w:tcMar>
          </w:tcPr>
          <w:p>
            <w:r>
              <w:rPr>
                <w:color w:val="1E293B"/>
                <w:sz w:val="17"/>
              </w:rPr>
              <w:t>Unit</w:t>
            </w:r>
          </w:p>
        </w:tc>
        <w:tc>
          <w:tcPr>
            <w:tcW w:type="dxa" w:w="1987"/>
            <w:shd w:fill="F8FAFC"/>
            <w:tcMar>
              <w:top w:w="60" w:type="dxa"/>
              <w:bottom w:w="60" w:type="dxa"/>
              <w:left w:w="80" w:type="dxa"/>
              <w:right w:w="80" w:type="dxa"/>
            </w:tcMar>
          </w:tcPr>
          <w:p>
            <w:r>
              <w:rPr>
                <w:color w:val="1E293B"/>
                <w:sz w:val="17"/>
              </w:rPr>
              <w:t>43D feature extractor, ML hybrid model, 6 pattern detectors, AST tree</w:t>
            </w:r>
          </w:p>
        </w:tc>
        <w:tc>
          <w:tcPr>
            <w:tcW w:type="dxa" w:w="1987"/>
            <w:shd w:fill="F8FAFC"/>
            <w:tcMar>
              <w:top w:w="60" w:type="dxa"/>
              <w:bottom w:w="60" w:type="dxa"/>
              <w:left w:w="80" w:type="dxa"/>
              <w:right w:w="80" w:type="dxa"/>
            </w:tcMar>
          </w:tcPr>
          <w:p>
            <w:r>
              <w:rPr>
                <w:color w:val="1E293B"/>
                <w:sz w:val="17"/>
              </w:rPr>
              <w:t>14.70s</w:t>
            </w:r>
          </w:p>
        </w:tc>
        <w:tc>
          <w:tcPr>
            <w:tcW w:type="dxa" w:w="1987"/>
            <w:shd w:fill="F8FAFC"/>
            <w:tcMar>
              <w:top w:w="60" w:type="dxa"/>
              <w:bottom w:w="60" w:type="dxa"/>
              <w:left w:w="80" w:type="dxa"/>
              <w:right w:w="80" w:type="dxa"/>
            </w:tcMar>
          </w:tcPr>
          <w:p>
            <w:r>
              <w:rPr>
                <w:b/>
                <w:color w:val="10B981"/>
                <w:sz w:val="17"/>
              </w:rPr>
              <w:t>PASSED (100%)</w:t>
            </w:r>
          </w:p>
        </w:tc>
      </w:tr>
      <w:tr>
        <w:tc>
          <w:tcPr>
            <w:tcW w:type="dxa" w:w="1987"/>
            <w:shd w:fill="FFFFFF"/>
            <w:tcMar>
              <w:top w:w="60" w:type="dxa"/>
              <w:bottom w:w="60" w:type="dxa"/>
              <w:left w:w="80" w:type="dxa"/>
              <w:right w:w="80" w:type="dxa"/>
            </w:tcMar>
          </w:tcPr>
          <w:p>
            <w:r>
              <w:rPr>
                <w:b/>
                <w:color w:val="0F172A"/>
                <w:sz w:val="17"/>
              </w:rPr>
              <w:t>2. Whitebox Paths Suite</w:t>
            </w:r>
          </w:p>
        </w:tc>
        <w:tc>
          <w:tcPr>
            <w:tcW w:type="dxa" w:w="1987"/>
            <w:shd w:fill="FFFFFF"/>
            <w:tcMar>
              <w:top w:w="60" w:type="dxa"/>
              <w:bottom w:w="60" w:type="dxa"/>
              <w:left w:w="80" w:type="dxa"/>
              <w:right w:w="80" w:type="dxa"/>
            </w:tcMar>
          </w:tcPr>
          <w:p>
            <w:r>
              <w:rPr>
                <w:color w:val="1E293B"/>
                <w:sz w:val="17"/>
              </w:rPr>
              <w:t>Internal Logic</w:t>
            </w:r>
          </w:p>
        </w:tc>
        <w:tc>
          <w:tcPr>
            <w:tcW w:type="dxa" w:w="1987"/>
            <w:shd w:fill="FFFFFF"/>
            <w:tcMar>
              <w:top w:w="60" w:type="dxa"/>
              <w:bottom w:w="60" w:type="dxa"/>
              <w:left w:w="80" w:type="dxa"/>
              <w:right w:w="80" w:type="dxa"/>
            </w:tcMar>
          </w:tcPr>
          <w:p>
            <w:r>
              <w:rPr>
                <w:color w:val="1E293B"/>
                <w:sz w:val="17"/>
              </w:rPr>
              <w:t>Scoring weights, critical travel override, DB side effects, aggregate velocity</w:t>
            </w:r>
          </w:p>
        </w:tc>
        <w:tc>
          <w:tcPr>
            <w:tcW w:type="dxa" w:w="1987"/>
            <w:shd w:fill="FFFFFF"/>
            <w:tcMar>
              <w:top w:w="60" w:type="dxa"/>
              <w:bottom w:w="60" w:type="dxa"/>
              <w:left w:w="80" w:type="dxa"/>
              <w:right w:w="80" w:type="dxa"/>
            </w:tcMar>
          </w:tcPr>
          <w:p>
            <w:r>
              <w:rPr>
                <w:color w:val="1E293B"/>
                <w:sz w:val="17"/>
              </w:rPr>
              <w:t>13.97s</w:t>
            </w:r>
          </w:p>
        </w:tc>
        <w:tc>
          <w:tcPr>
            <w:tcW w:type="dxa" w:w="1987"/>
            <w:shd w:fill="FFFFFF"/>
            <w:tcMar>
              <w:top w:w="60" w:type="dxa"/>
              <w:bottom w:w="60" w:type="dxa"/>
              <w:left w:w="80" w:type="dxa"/>
              <w:right w:w="80" w:type="dxa"/>
            </w:tcMar>
          </w:tcPr>
          <w:p>
            <w:r>
              <w:rPr>
                <w:b/>
                <w:color w:val="10B981"/>
                <w:sz w:val="17"/>
              </w:rPr>
              <w:t>PASSED (100%)</w:t>
            </w:r>
          </w:p>
        </w:tc>
      </w:tr>
      <w:tr>
        <w:tc>
          <w:tcPr>
            <w:tcW w:type="dxa" w:w="1987"/>
            <w:shd w:fill="F8FAFC"/>
            <w:tcMar>
              <w:top w:w="60" w:type="dxa"/>
              <w:bottom w:w="60" w:type="dxa"/>
              <w:left w:w="80" w:type="dxa"/>
              <w:right w:w="80" w:type="dxa"/>
            </w:tcMar>
          </w:tcPr>
          <w:p>
            <w:r>
              <w:rPr>
                <w:b/>
                <w:color w:val="0F172A"/>
                <w:sz w:val="17"/>
              </w:rPr>
              <w:t>3. Blackbox REST API Suite</w:t>
            </w:r>
          </w:p>
        </w:tc>
        <w:tc>
          <w:tcPr>
            <w:tcW w:type="dxa" w:w="1987"/>
            <w:shd w:fill="F8FAFC"/>
            <w:tcMar>
              <w:top w:w="60" w:type="dxa"/>
              <w:bottom w:w="60" w:type="dxa"/>
              <w:left w:w="80" w:type="dxa"/>
              <w:right w:w="80" w:type="dxa"/>
            </w:tcMar>
          </w:tcPr>
          <w:p>
            <w:r>
              <w:rPr>
                <w:color w:val="1E293B"/>
                <w:sz w:val="17"/>
              </w:rPr>
              <w:t>Contract &amp; RBAC</w:t>
            </w:r>
          </w:p>
        </w:tc>
        <w:tc>
          <w:tcPr>
            <w:tcW w:type="dxa" w:w="1987"/>
            <w:shd w:fill="F8FAFC"/>
            <w:tcMar>
              <w:top w:w="60" w:type="dxa"/>
              <w:bottom w:w="60" w:type="dxa"/>
              <w:left w:w="80" w:type="dxa"/>
              <w:right w:w="80" w:type="dxa"/>
            </w:tcMar>
          </w:tcPr>
          <w:p>
            <w:r>
              <w:rPr>
                <w:color w:val="1E293B"/>
                <w:sz w:val="17"/>
              </w:rPr>
              <w:t>HTTP status codes, role permissions, CSV import, graph analytics</w:t>
            </w:r>
          </w:p>
        </w:tc>
        <w:tc>
          <w:tcPr>
            <w:tcW w:type="dxa" w:w="1987"/>
            <w:shd w:fill="F8FAFC"/>
            <w:tcMar>
              <w:top w:w="60" w:type="dxa"/>
              <w:bottom w:w="60" w:type="dxa"/>
              <w:left w:w="80" w:type="dxa"/>
              <w:right w:w="80" w:type="dxa"/>
            </w:tcMar>
          </w:tcPr>
          <w:p>
            <w:r>
              <w:rPr>
                <w:color w:val="1E293B"/>
                <w:sz w:val="17"/>
              </w:rPr>
              <w:t>23.96s</w:t>
            </w:r>
          </w:p>
        </w:tc>
        <w:tc>
          <w:tcPr>
            <w:tcW w:type="dxa" w:w="1987"/>
            <w:shd w:fill="F8FAFC"/>
            <w:tcMar>
              <w:top w:w="60" w:type="dxa"/>
              <w:bottom w:w="60" w:type="dxa"/>
              <w:left w:w="80" w:type="dxa"/>
              <w:right w:w="80" w:type="dxa"/>
            </w:tcMar>
          </w:tcPr>
          <w:p>
            <w:r>
              <w:rPr>
                <w:b/>
                <w:color w:val="10B981"/>
                <w:sz w:val="17"/>
              </w:rPr>
              <w:t>PASSED (100%)</w:t>
            </w:r>
          </w:p>
        </w:tc>
      </w:tr>
      <w:tr>
        <w:tc>
          <w:tcPr>
            <w:tcW w:type="dxa" w:w="1987"/>
            <w:shd w:fill="FFFFFF"/>
            <w:tcMar>
              <w:top w:w="60" w:type="dxa"/>
              <w:bottom w:w="60" w:type="dxa"/>
              <w:left w:w="80" w:type="dxa"/>
              <w:right w:w="80" w:type="dxa"/>
            </w:tcMar>
          </w:tcPr>
          <w:p>
            <w:r>
              <w:rPr>
                <w:b/>
                <w:color w:val="0F172A"/>
                <w:sz w:val="17"/>
              </w:rPr>
              <w:t>4. CRUD &amp; Auth Smoke Test</w:t>
            </w:r>
          </w:p>
        </w:tc>
        <w:tc>
          <w:tcPr>
            <w:tcW w:type="dxa" w:w="1987"/>
            <w:shd w:fill="FFFFFF"/>
            <w:tcMar>
              <w:top w:w="60" w:type="dxa"/>
              <w:bottom w:w="60" w:type="dxa"/>
              <w:left w:w="80" w:type="dxa"/>
              <w:right w:w="80" w:type="dxa"/>
            </w:tcMar>
          </w:tcPr>
          <w:p>
            <w:r>
              <w:rPr>
                <w:color w:val="1E293B"/>
                <w:sz w:val="17"/>
              </w:rPr>
              <w:t>Regression</w:t>
            </w:r>
          </w:p>
        </w:tc>
        <w:tc>
          <w:tcPr>
            <w:tcW w:type="dxa" w:w="1987"/>
            <w:shd w:fill="FFFFFF"/>
            <w:tcMar>
              <w:top w:w="60" w:type="dxa"/>
              <w:bottom w:w="60" w:type="dxa"/>
              <w:left w:w="80" w:type="dxa"/>
              <w:right w:w="80" w:type="dxa"/>
            </w:tcMar>
          </w:tcPr>
          <w:p>
            <w:r>
              <w:rPr>
                <w:color w:val="1E293B"/>
                <w:sz w:val="17"/>
              </w:rPr>
              <w:t>18 sequential CRUD, auth, token, alert review, and feedback steps</w:t>
            </w:r>
          </w:p>
        </w:tc>
        <w:tc>
          <w:tcPr>
            <w:tcW w:type="dxa" w:w="1987"/>
            <w:shd w:fill="FFFFFF"/>
            <w:tcMar>
              <w:top w:w="60" w:type="dxa"/>
              <w:bottom w:w="60" w:type="dxa"/>
              <w:left w:w="80" w:type="dxa"/>
              <w:right w:w="80" w:type="dxa"/>
            </w:tcMar>
          </w:tcPr>
          <w:p>
            <w:r>
              <w:rPr>
                <w:color w:val="1E293B"/>
                <w:sz w:val="17"/>
              </w:rPr>
              <w:t>18.52s</w:t>
            </w:r>
          </w:p>
        </w:tc>
        <w:tc>
          <w:tcPr>
            <w:tcW w:type="dxa" w:w="1987"/>
            <w:shd w:fill="FFFFFF"/>
            <w:tcMar>
              <w:top w:w="60" w:type="dxa"/>
              <w:bottom w:w="60" w:type="dxa"/>
              <w:left w:w="80" w:type="dxa"/>
              <w:right w:w="80" w:type="dxa"/>
            </w:tcMar>
          </w:tcPr>
          <w:p>
            <w:r>
              <w:rPr>
                <w:b/>
                <w:color w:val="10B981"/>
                <w:sz w:val="17"/>
              </w:rPr>
              <w:t>PASSED (100%)</w:t>
            </w:r>
          </w:p>
        </w:tc>
      </w:tr>
      <w:tr>
        <w:tc>
          <w:tcPr>
            <w:tcW w:type="dxa" w:w="1987"/>
            <w:shd w:fill="F8FAFC"/>
            <w:tcMar>
              <w:top w:w="60" w:type="dxa"/>
              <w:bottom w:w="60" w:type="dxa"/>
              <w:left w:w="80" w:type="dxa"/>
              <w:right w:w="80" w:type="dxa"/>
            </w:tcMar>
          </w:tcPr>
          <w:p>
            <w:r>
              <w:rPr>
                <w:b/>
                <w:color w:val="0F172A"/>
                <w:sz w:val="17"/>
              </w:rPr>
              <w:t>5. AI Layer E2E Test</w:t>
            </w:r>
          </w:p>
        </w:tc>
        <w:tc>
          <w:tcPr>
            <w:tcW w:type="dxa" w:w="1987"/>
            <w:shd w:fill="F8FAFC"/>
            <w:tcMar>
              <w:top w:w="60" w:type="dxa"/>
              <w:bottom w:w="60" w:type="dxa"/>
              <w:left w:w="80" w:type="dxa"/>
              <w:right w:w="80" w:type="dxa"/>
            </w:tcMar>
          </w:tcPr>
          <w:p>
            <w:r>
              <w:rPr>
                <w:color w:val="1E293B"/>
                <w:sz w:val="17"/>
              </w:rPr>
              <w:t>AI Pipeline</w:t>
            </w:r>
          </w:p>
        </w:tc>
        <w:tc>
          <w:tcPr>
            <w:tcW w:type="dxa" w:w="1987"/>
            <w:shd w:fill="F8FAFC"/>
            <w:tcMar>
              <w:top w:w="60" w:type="dxa"/>
              <w:bottom w:w="60" w:type="dxa"/>
              <w:left w:w="80" w:type="dxa"/>
              <w:right w:w="80" w:type="dxa"/>
            </w:tcMar>
          </w:tcPr>
          <w:p>
            <w:r>
              <w:rPr>
                <w:color w:val="1E293B"/>
                <w:sz w:val="17"/>
              </w:rPr>
              <w:t>Rule seeding, scoring, Gemini LLM fallback, assistant queries, ML retraining</w:t>
            </w:r>
          </w:p>
        </w:tc>
        <w:tc>
          <w:tcPr>
            <w:tcW w:type="dxa" w:w="1987"/>
            <w:shd w:fill="F8FAFC"/>
            <w:tcMar>
              <w:top w:w="60" w:type="dxa"/>
              <w:bottom w:w="60" w:type="dxa"/>
              <w:left w:w="80" w:type="dxa"/>
              <w:right w:w="80" w:type="dxa"/>
            </w:tcMar>
          </w:tcPr>
          <w:p>
            <w:r>
              <w:rPr>
                <w:color w:val="1E293B"/>
                <w:sz w:val="17"/>
              </w:rPr>
              <w:t>28.51s</w:t>
            </w:r>
          </w:p>
        </w:tc>
        <w:tc>
          <w:tcPr>
            <w:tcW w:type="dxa" w:w="1987"/>
            <w:shd w:fill="F8FAFC"/>
            <w:tcMar>
              <w:top w:w="60" w:type="dxa"/>
              <w:bottom w:w="60" w:type="dxa"/>
              <w:left w:w="80" w:type="dxa"/>
              <w:right w:w="80" w:type="dxa"/>
            </w:tcMar>
          </w:tcPr>
          <w:p>
            <w:r>
              <w:rPr>
                <w:b/>
                <w:color w:val="10B981"/>
                <w:sz w:val="17"/>
              </w:rPr>
              <w:t>PASSED (100%)</w:t>
            </w:r>
          </w:p>
        </w:tc>
      </w:tr>
      <w:tr>
        <w:tc>
          <w:tcPr>
            <w:tcW w:type="dxa" w:w="1987"/>
            <w:shd w:fill="FFFFFF"/>
            <w:tcMar>
              <w:top w:w="60" w:type="dxa"/>
              <w:bottom w:w="60" w:type="dxa"/>
              <w:left w:w="80" w:type="dxa"/>
              <w:right w:w="80" w:type="dxa"/>
            </w:tcMar>
          </w:tcPr>
          <w:p>
            <w:r>
              <w:rPr>
                <w:b/>
                <w:color w:val="0F172A"/>
                <w:sz w:val="17"/>
              </w:rPr>
              <w:t>6. Automated Browser E2E</w:t>
            </w:r>
          </w:p>
        </w:tc>
        <w:tc>
          <w:tcPr>
            <w:tcW w:type="dxa" w:w="1987"/>
            <w:shd w:fill="FFFFFF"/>
            <w:tcMar>
              <w:top w:w="60" w:type="dxa"/>
              <w:bottom w:w="60" w:type="dxa"/>
              <w:left w:w="80" w:type="dxa"/>
              <w:right w:w="80" w:type="dxa"/>
            </w:tcMar>
          </w:tcPr>
          <w:p>
            <w:r>
              <w:rPr>
                <w:color w:val="1E293B"/>
                <w:sz w:val="17"/>
              </w:rPr>
              <w:t>Live System</w:t>
            </w:r>
          </w:p>
        </w:tc>
        <w:tc>
          <w:tcPr>
            <w:tcW w:type="dxa" w:w="1987"/>
            <w:shd w:fill="FFFFFF"/>
            <w:tcMar>
              <w:top w:w="60" w:type="dxa"/>
              <w:bottom w:w="60" w:type="dxa"/>
              <w:left w:w="80" w:type="dxa"/>
              <w:right w:w="80" w:type="dxa"/>
            </w:tcMar>
          </w:tcPr>
          <w:p>
            <w:r>
              <w:rPr>
                <w:color w:val="1E293B"/>
                <w:sz w:val="17"/>
              </w:rPr>
              <w:t>Topbar &amp; Sidebar signout, route guards, dashboard, dossier, network, AI drawer</w:t>
            </w:r>
          </w:p>
        </w:tc>
        <w:tc>
          <w:tcPr>
            <w:tcW w:type="dxa" w:w="1987"/>
            <w:shd w:fill="FFFFFF"/>
            <w:tcMar>
              <w:top w:w="60" w:type="dxa"/>
              <w:bottom w:w="60" w:type="dxa"/>
              <w:left w:w="80" w:type="dxa"/>
              <w:right w:w="80" w:type="dxa"/>
            </w:tcMar>
          </w:tcPr>
          <w:p>
            <w:r>
              <w:rPr>
                <w:color w:val="1E293B"/>
                <w:sz w:val="17"/>
              </w:rPr>
              <w:t>Interactive</w:t>
            </w:r>
          </w:p>
        </w:tc>
        <w:tc>
          <w:tcPr>
            <w:tcW w:type="dxa" w:w="1987"/>
            <w:shd w:fill="FFFFFF"/>
            <w:tcMar>
              <w:top w:w="60" w:type="dxa"/>
              <w:bottom w:w="60" w:type="dxa"/>
              <w:left w:w="80" w:type="dxa"/>
              <w:right w:w="80" w:type="dxa"/>
            </w:tcMar>
          </w:tcPr>
          <w:p>
            <w:r>
              <w:rPr>
                <w:b/>
                <w:color w:val="10B981"/>
                <w:sz w:val="17"/>
              </w:rPr>
              <w:t>PASSED (100%)</w:t>
            </w:r>
          </w:p>
        </w:tc>
      </w:tr>
    </w:tbl>
    <w:p>
      <w:pPr>
        <w:spacing w:after="200"/>
      </w:pPr>
    </w:p>
    <w:p>
      <w:pPr>
        <w:keepNext/>
        <w:spacing w:before="320" w:after="120"/>
      </w:pPr>
      <w:r>
        <w:rPr>
          <w:rFonts w:ascii="Arial" w:hAnsi="Arial"/>
          <w:b/>
          <w:color w:val="0F172A"/>
          <w:sz w:val="28"/>
        </w:rPr>
        <w:t>6. Key Defect Resolutions &amp; Enhancements</w:t>
      </w:r>
    </w:p>
    <w:p>
      <w:pPr>
        <w:keepNext/>
        <w:spacing w:before="200" w:after="80"/>
      </w:pPr>
      <w:r>
        <w:rPr>
          <w:rFonts w:ascii="Arial" w:hAnsi="Arial"/>
          <w:b/>
          <w:color w:val="4F46E5"/>
          <w:sz w:val="23"/>
        </w:rPr>
        <w:t>6.1 Sign-Out Mechanism &amp; Route Guard Hardening</w:t>
      </w:r>
    </w:p>
    <w:p>
      <w:pPr>
        <w:spacing w:after="80" w:line="276" w:lineRule="auto"/>
      </w:pPr>
      <w:r>
        <w:rPr>
          <w:color w:val="1E293B"/>
          <w:sz w:val="20"/>
        </w:rPr>
        <w:t>Initial inspection revealed that clicking Sign-Out in the topbar dropdown cleared local tokens but failed to trigger router redirection because AppShell and RoleGuard only validated role permissions rather than authentication state. The following fixes were implemented:</w:t>
      </w:r>
    </w:p>
    <w:p>
      <w:pPr>
        <w:pStyle w:val="ListBullet"/>
        <w:spacing w:after="60" w:line="276" w:lineRule="auto"/>
      </w:pPr>
      <w:r>
        <w:rPr>
          <w:b/>
          <w:color w:val="0F172A"/>
          <w:sz w:val="19"/>
        </w:rPr>
        <w:t xml:space="preserve">Router Navigation: </w:t>
      </w:r>
      <w:r>
        <w:rPr>
          <w:color w:val="1E293B"/>
          <w:sz w:val="19"/>
        </w:rPr>
        <w:t>Updated Topbar.tsx to call useNavigate and redirect immediately to /login upon logout.</w:t>
      </w:r>
    </w:p>
    <w:p>
      <w:pPr>
        <w:pStyle w:val="ListBullet"/>
        <w:spacing w:after="60" w:line="276" w:lineRule="auto"/>
      </w:pPr>
      <w:r>
        <w:rPr>
          <w:b/>
          <w:color w:val="0F172A"/>
          <w:sz w:val="19"/>
        </w:rPr>
        <w:t xml:space="preserve">Authentication Guards: </w:t>
      </w:r>
      <w:r>
        <w:rPr>
          <w:color w:val="1E293B"/>
          <w:sz w:val="19"/>
        </w:rPr>
        <w:t>Hardened AppShell.tsx and RoleGuard.tsx to verify isAuthenticated; unauthenticated requests are immediately bounced to /login.</w:t>
      </w:r>
    </w:p>
    <w:p>
      <w:pPr>
        <w:pStyle w:val="ListBullet"/>
        <w:spacing w:after="60" w:line="276" w:lineRule="auto"/>
      </w:pPr>
      <w:r>
        <w:rPr>
          <w:b/>
          <w:color w:val="0F172A"/>
          <w:sz w:val="19"/>
        </w:rPr>
        <w:t xml:space="preserve">Dedicated Sidebar Sign-Out: </w:t>
      </w:r>
      <w:r>
        <w:rPr>
          <w:color w:val="1E293B"/>
          <w:sz w:val="19"/>
        </w:rPr>
        <w:t>Added a prominent one-click Sign-Out button (#sidebar-sign-out-btn) in the sidebar footer.</w:t>
      </w:r>
    </w:p>
    <w:p>
      <w:pPr>
        <w:pStyle w:val="ListBullet"/>
        <w:spacing w:after="60" w:line="276" w:lineRule="auto"/>
      </w:pPr>
      <w:r>
        <w:rPr>
          <w:b/>
          <w:color w:val="0F172A"/>
          <w:sz w:val="19"/>
        </w:rPr>
        <w:t xml:space="preserve">Global 401 Interception: </w:t>
      </w:r>
      <w:r>
        <w:rPr>
          <w:color w:val="1E293B"/>
          <w:sz w:val="19"/>
        </w:rPr>
        <w:t>Configured client.ts to catch 401 responses and dispatch an auth:unauthorized event to purge state automatically.</w:t>
      </w:r>
    </w:p>
    <w:p>
      <w:pPr>
        <w:keepNext/>
        <w:spacing w:before="200" w:after="80"/>
      </w:pPr>
      <w:r>
        <w:rPr>
          <w:rFonts w:ascii="Arial" w:hAnsi="Arial"/>
          <w:b/>
          <w:color w:val="4F46E5"/>
          <w:sz w:val="23"/>
        </w:rPr>
        <w:t>6.2 AI Investigation Assistant Real-Time Grounding</w:t>
      </w:r>
    </w:p>
    <w:p>
      <w:pPr>
        <w:spacing w:after="80" w:line="276" w:lineRule="auto"/>
      </w:pPr>
      <w:r>
        <w:rPr>
          <w:color w:val="1E293B"/>
          <w:sz w:val="20"/>
        </w:rPr>
        <w:t>When querying the AI Assistant without explicit payload IDs, the service previously returned a generic 'No specific records matched the query' error. This was resolved through comprehensive enhancements:</w:t>
      </w:r>
    </w:p>
    <w:p>
      <w:pPr>
        <w:pStyle w:val="ListBullet"/>
        <w:spacing w:after="60" w:line="276" w:lineRule="auto"/>
      </w:pPr>
      <w:r>
        <w:rPr>
          <w:b/>
          <w:color w:val="0F172A"/>
          <w:sz w:val="19"/>
        </w:rPr>
        <w:t xml:space="preserve">Natural Language Entity Extraction: </w:t>
      </w:r>
      <w:r>
        <w:rPr>
          <w:color w:val="1E293B"/>
          <w:sz w:val="19"/>
        </w:rPr>
        <w:t>Implemented regex parsers in assistant.py to extract customer IDs (e.g. CUST-DEMO-001), transaction IDs, and device IDs directly from user query strings.</w:t>
      </w:r>
    </w:p>
    <w:p>
      <w:pPr>
        <w:pStyle w:val="ListBullet"/>
        <w:spacing w:after="60" w:line="276" w:lineRule="auto"/>
      </w:pPr>
      <w:r>
        <w:rPr>
          <w:b/>
          <w:color w:val="0F172A"/>
          <w:sz w:val="19"/>
        </w:rPr>
        <w:t xml:space="preserve">Intelligent Case Fallback: </w:t>
      </w:r>
      <w:r>
        <w:rPr>
          <w:color w:val="1E293B"/>
          <w:sz w:val="19"/>
        </w:rPr>
        <w:t>When an analyst asks general questions ('Why is this customer suspicious?' or 'Show recent alerts'), the engine automatically retrieves the latest flagged customer, active fraud alerts, and platform metrics from the database.</w:t>
      </w:r>
    </w:p>
    <w:p>
      <w:pPr>
        <w:pStyle w:val="ListBullet"/>
        <w:spacing w:after="60" w:line="276" w:lineRule="auto"/>
      </w:pPr>
      <w:r>
        <w:rPr>
          <w:b/>
          <w:color w:val="0F172A"/>
          <w:sz w:val="19"/>
        </w:rPr>
        <w:t xml:space="preserve">Context-Aware Frontend Drawer: </w:t>
      </w:r>
      <w:r>
        <w:rPr>
          <w:color w:val="1E293B"/>
          <w:sz w:val="19"/>
        </w:rPr>
        <w:t>Updated GlobalAiAssistant.tsx to automatically detect route context (e.g. attaching investigationId when viewing a dossier) and preserve bulleted line breaks.</w:t>
      </w:r>
    </w:p>
    <w:p>
      <w:pPr>
        <w:keepNext/>
        <w:spacing w:before="320" w:after="120"/>
      </w:pPr>
      <w:r>
        <w:rPr>
          <w:rFonts w:ascii="Arial" w:hAnsi="Arial"/>
          <w:b/>
          <w:color w:val="0F172A"/>
          <w:sz w:val="28"/>
        </w:rPr>
        <w:t>7. Operational Guide &amp; Quick Start Instructions</w:t>
      </w:r>
    </w:p>
    <w:p>
      <w:pPr>
        <w:spacing w:after="80" w:line="276" w:lineRule="auto"/>
      </w:pPr>
      <w:r>
        <w:rPr>
          <w:color w:val="1E293B"/>
          <w:sz w:val="20"/>
        </w:rPr>
        <w:t>To launch and operate the complete platform locally:</w:t>
      </w:r>
    </w:p>
    <w:p>
      <w:pPr>
        <w:spacing w:after="80" w:line="276" w:lineRule="auto"/>
      </w:pPr>
      <w:r>
        <w:rPr>
          <w:b/>
          <w:color w:val="0F172A"/>
          <w:sz w:val="20"/>
        </w:rPr>
        <w:t xml:space="preserve">1. Start Backend (backend/ directory): </w:t>
      </w:r>
      <w:r>
        <w:rPr>
          <w:color w:val="1E293B"/>
          <w:sz w:val="20"/>
        </w:rPr>
        <w:t>uvicorn app.main:app --reload --port 8000</w:t>
      </w:r>
    </w:p>
    <w:p>
      <w:pPr>
        <w:spacing w:after="80" w:line="276" w:lineRule="auto"/>
      </w:pPr>
      <w:r>
        <w:rPr>
          <w:b/>
          <w:color w:val="0F172A"/>
          <w:sz w:val="20"/>
        </w:rPr>
        <w:t xml:space="preserve">2. Start Frontend (frontend/ directory): </w:t>
      </w:r>
      <w:r>
        <w:rPr>
          <w:color w:val="1E293B"/>
          <w:sz w:val="20"/>
        </w:rPr>
        <w:t>frontend\dev.bat   (or: npm run dev inside frontend/)</w:t>
      </w:r>
    </w:p>
    <w:p>
      <w:pPr>
        <w:spacing w:after="80" w:line="276" w:lineRule="auto"/>
      </w:pPr>
      <w:r>
        <w:rPr>
          <w:b/>
          <w:color w:val="0F172A"/>
          <w:sz w:val="20"/>
        </w:rPr>
        <w:t xml:space="preserve">3. Access User Interface: </w:t>
      </w:r>
      <w:r>
        <w:rPr>
          <w:color w:val="1E293B"/>
          <w:sz w:val="20"/>
        </w:rPr>
        <w:t>http://localhost:5173</w:t>
      </w:r>
    </w:p>
    <w:p>
      <w:pPr>
        <w:spacing w:after="80" w:line="276" w:lineRule="auto"/>
      </w:pPr>
      <w:r>
        <w:rPr>
          <w:b/>
          <w:color w:val="0F172A"/>
          <w:sz w:val="20"/>
        </w:rPr>
        <w:t xml:space="preserve">4. Access API Documentation: </w:t>
      </w:r>
      <w:r>
        <w:rPr>
          <w:color w:val="1E293B"/>
          <w:sz w:val="20"/>
        </w:rPr>
        <w:t>http://localhost:8000/docs</w:t>
      </w:r>
    </w:p>
    <w:p>
      <w:pPr>
        <w:spacing w:after="80" w:line="276" w:lineRule="auto"/>
      </w:pPr>
      <w:r>
        <w:rPr>
          <w:b/>
          <w:color w:val="0F172A"/>
          <w:sz w:val="20"/>
        </w:rPr>
        <w:t xml:space="preserve">Authentication Access: </w:t>
      </w:r>
      <w:r>
        <w:rPr>
          <w:color w:val="1E293B"/>
          <w:sz w:val="20"/>
        </w:rPr>
        <w:t>Default Testing Credentials:</w:t>
      </w:r>
    </w:p>
    <w:p>
      <w:pPr>
        <w:pStyle w:val="ListBullet"/>
        <w:spacing w:after="60" w:line="276" w:lineRule="auto"/>
      </w:pPr>
      <w:r>
        <w:rPr>
          <w:b/>
          <w:color w:val="0F172A"/>
          <w:sz w:val="19"/>
        </w:rPr>
        <w:t xml:space="preserve">Admin Account: </w:t>
      </w:r>
      <w:r>
        <w:rPr>
          <w:color w:val="1E293B"/>
          <w:sz w:val="19"/>
        </w:rPr>
        <w:t>Email: admin@codecelix.io | Password: Passw0rd!123</w:t>
      </w:r>
    </w:p>
    <w:p>
      <w:pPr>
        <w:pStyle w:val="ListBullet"/>
        <w:spacing w:after="60" w:line="276" w:lineRule="auto"/>
      </w:pPr>
      <w:r>
        <w:rPr>
          <w:b/>
          <w:color w:val="0F172A"/>
          <w:sz w:val="19"/>
        </w:rPr>
        <w:t xml:space="preserve">Analyst Account: </w:t>
      </w:r>
      <w:r>
        <w:rPr>
          <w:color w:val="1E293B"/>
          <w:sz w:val="19"/>
        </w:rPr>
        <w:t>Email: analyst@codecelix.io | Password: Passw0rd!123</w:t>
      </w:r>
    </w:p>
    <w:p>
      <w:pPr>
        <w:keepNext/>
        <w:spacing w:before="320" w:after="120"/>
      </w:pPr>
      <w:r>
        <w:rPr>
          <w:rFonts w:ascii="Arial" w:hAnsi="Arial"/>
          <w:b/>
          <w:color w:val="0F172A"/>
          <w:sz w:val="28"/>
        </w:rPr>
        <w:t>8. Conclusion &amp; Sign-Off</w:t>
      </w:r>
    </w:p>
    <w:p>
      <w:pPr>
        <w:spacing w:after="80" w:line="276" w:lineRule="auto"/>
      </w:pPr>
      <w:r>
        <w:rPr>
          <w:color w:val="1E293B"/>
          <w:sz w:val="20"/>
        </w:rPr>
        <w:t>The Codecelix AI-Powered Fraud Detection System has successfully achieved full functional and architectural integration. All machine learning models, heuristics, pattern detectors, frontend modules, and AI investigation agents are operating concurrently with 100% test suite pass rates. The platform is certified production-ready for deployment.</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