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56"/>
        </w:rPr>
        <w:t xml:space="preserve">🎙️ </w:t>
      </w:r>
      <w:r>
        <w:rPr>
          <w:rFonts w:ascii="Calibri" w:hAnsi="Calibri"/>
          <w:b/>
          <w:color w:val="0F172A"/>
          <w:sz w:val="56"/>
        </w:rPr>
        <w:t>MeetingMind</w:t>
      </w:r>
    </w:p>
    <w:p>
      <w:pPr>
        <w:jc w:val="center"/>
      </w:pPr>
      <w:r>
        <w:rPr>
          <w:rFonts w:ascii="Calibri" w:hAnsi="Calibri"/>
          <w:b/>
          <w:color w:val="4F46E5"/>
          <w:sz w:val="28"/>
        </w:rPr>
        <w:t>Enterprise AI Meeting Intelligence Platform — Comprehensive Engineering Report</w:t>
      </w:r>
    </w:p>
    <w:p>
      <w:pPr>
        <w:jc w:val="center"/>
      </w:pPr>
      <w:r>
        <w:rPr>
          <w:color w:val="475569"/>
          <w:sz w:val="20"/>
        </w:rPr>
        <w:t>Date: August 2026  |  Version: 1.0.0 (Production-Ready)</w:t>
      </w:r>
    </w:p>
    <w:p/>
    <w:p>
      <w:pPr>
        <w:pStyle w:val="Heading1"/>
      </w:pPr>
      <w:r>
        <w:rPr>
          <w:color w:val="0F172A"/>
        </w:rPr>
        <w:t>1. Engineering Team &amp; Role Contributions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r>
              <w:rPr>
                <w:b/>
                <w:color w:val="FFFFFF"/>
                <w:sz w:val="20"/>
              </w:rPr>
              <w:t>Team Member</w:t>
            </w:r>
          </w:p>
        </w:tc>
        <w:tc>
          <w:tcPr>
            <w:tcW w:type="dxa" w:w="2592"/>
            <w:shd w:fill="1E293B"/>
            <w:tcMar>
              <w:top w:w="120" w:type="dxa"/>
              <w:bottom w:w="120" w:type="dxa"/>
              <w:left w:w="150" w:type="dxa"/>
              <w:right w:w="150" w:type="dxa"/>
            </w:tcMar>
          </w:tcPr>
          <w:p>
            <w:r>
              <w:rPr>
                <w:b/>
                <w:color w:val="FFFFFF"/>
                <w:sz w:val="20"/>
              </w:rPr>
              <w:t>Primary Role</w:t>
            </w:r>
          </w:p>
        </w:tc>
        <w:tc>
          <w:tcPr>
            <w:tcW w:type="dxa" w:w="4176"/>
            <w:shd w:fill="1E293B"/>
            <w:tcMar>
              <w:top w:w="120" w:type="dxa"/>
              <w:bottom w:w="120" w:type="dxa"/>
              <w:left w:w="150" w:type="dxa"/>
              <w:right w:w="150" w:type="dxa"/>
            </w:tcMar>
          </w:tcPr>
          <w:p>
            <w:r>
              <w:rPr>
                <w:b/>
                <w:color w:val="FFFFFF"/>
                <w:sz w:val="20"/>
              </w:rPr>
              <w:t>Key Contributions &amp; Modules</w:t>
            </w:r>
          </w:p>
        </w:tc>
      </w:tr>
      <w:tr>
        <w:tc>
          <w:tcPr>
            <w:tcW w:type="dxa" w:w="2592"/>
            <w:shd w:fill="F8FAFC"/>
            <w:tcMar>
              <w:top w:w="100" w:type="dxa"/>
              <w:bottom w:w="100" w:type="dxa"/>
              <w:left w:w="150" w:type="dxa"/>
              <w:right w:w="150" w:type="dxa"/>
            </w:tcMar>
          </w:tcPr>
          <w:p>
            <w:r>
              <w:rPr>
                <w:b/>
                <w:sz w:val="19"/>
              </w:rPr>
              <w:t>Muhammad Mujeeb Ur Rahman</w:t>
            </w:r>
          </w:p>
        </w:tc>
        <w:tc>
          <w:tcPr>
            <w:tcW w:type="dxa" w:w="2592"/>
            <w:shd w:fill="F8FAFC"/>
            <w:tcMar>
              <w:top w:w="100" w:type="dxa"/>
              <w:bottom w:w="100" w:type="dxa"/>
              <w:left w:w="150" w:type="dxa"/>
              <w:right w:w="150" w:type="dxa"/>
            </w:tcMar>
          </w:tcPr>
          <w:p>
            <w:r>
              <w:rPr>
                <w:b/>
                <w:color w:val="4F46E5"/>
                <w:sz w:val="19"/>
              </w:rPr>
              <w:t>AI Work, Backend API, Integration</w:t>
            </w:r>
          </w:p>
        </w:tc>
        <w:tc>
          <w:tcPr>
            <w:tcW w:type="dxa" w:w="4176"/>
            <w:shd w:fill="F8FAFC"/>
            <w:tcMar>
              <w:top w:w="100" w:type="dxa"/>
              <w:bottom w:w="100" w:type="dxa"/>
              <w:left w:w="150" w:type="dxa"/>
              <w:right w:w="150" w:type="dxa"/>
            </w:tcMar>
          </w:tcPr>
          <w:p>
            <w:r>
              <w:rPr>
                <w:sz w:val="19"/>
              </w:rPr>
              <w:t>• Designed and engineered dual-stage AI pipeline (DeepGram Nova-3 + Google Gemini Flash)</w:t>
              <w:br/>
              <w:t>• Developed cross-platform Windows background worker (run_worker.py) with Redis heartbeat</w:t>
              <w:br/>
              <w:t>• Implemented multi-model fallback &amp; backoff retry for LLM rate limits (429/503)</w:t>
              <w:br/>
              <w:t>• Built contextual RAG Q&amp;A engine with timestamp seeking and citations</w:t>
              <w:br/>
              <w:t>• Architected core FastAPI routers, JWT authentication, and admin queue endpoints</w:t>
            </w:r>
          </w:p>
        </w:tc>
      </w:tr>
      <w:tr>
        <w:tc>
          <w:tcPr>
            <w:tcW w:type="dxa" w:w="2592"/>
            <w:shd w:fill="FFFFFF"/>
            <w:tcMar>
              <w:top w:w="100" w:type="dxa"/>
              <w:bottom w:w="100" w:type="dxa"/>
              <w:left w:w="150" w:type="dxa"/>
              <w:right w:w="150" w:type="dxa"/>
            </w:tcMar>
          </w:tcPr>
          <w:p>
            <w:r>
              <w:rPr>
                <w:b/>
                <w:sz w:val="19"/>
              </w:rPr>
              <w:t>Hasham Khattak</w:t>
            </w:r>
          </w:p>
        </w:tc>
        <w:tc>
          <w:tcPr>
            <w:tcW w:type="dxa" w:w="2592"/>
            <w:shd w:fill="FFFFFF"/>
            <w:tcMar>
              <w:top w:w="100" w:type="dxa"/>
              <w:bottom w:w="100" w:type="dxa"/>
              <w:left w:w="150" w:type="dxa"/>
              <w:right w:w="150" w:type="dxa"/>
            </w:tcMar>
          </w:tcPr>
          <w:p>
            <w:r>
              <w:rPr>
                <w:b/>
                <w:color w:val="4F46E5"/>
                <w:sz w:val="19"/>
              </w:rPr>
              <w:t>Database Architecture</w:t>
            </w:r>
          </w:p>
        </w:tc>
        <w:tc>
          <w:tcPr>
            <w:tcW w:type="dxa" w:w="4176"/>
            <w:shd w:fill="FFFFFF"/>
            <w:tcMar>
              <w:top w:w="100" w:type="dxa"/>
              <w:bottom w:w="100" w:type="dxa"/>
              <w:left w:w="150" w:type="dxa"/>
              <w:right w:w="150" w:type="dxa"/>
            </w:tcMar>
          </w:tcPr>
          <w:p>
            <w:r>
              <w:rPr>
                <w:sz w:val="19"/>
              </w:rPr>
              <w:t>• Architected 14-table relational database schema on PostgreSQL (Supabase)</w:t>
              <w:br/>
              <w:t>• Configured PostgreSQL native enum types (user_role, action_item_status)</w:t>
              <w:br/>
              <w:t>• Implemented Alembic database migration suite (server/alembic/)</w:t>
              <w:br/>
              <w:t>• Enforced database check constraints (completed_at &gt;= started_at) and foreign keys</w:t>
            </w:r>
          </w:p>
        </w:tc>
      </w:tr>
      <w:tr>
        <w:tc>
          <w:tcPr>
            <w:tcW w:type="dxa" w:w="2592"/>
            <w:shd w:fill="F8FAFC"/>
            <w:tcMar>
              <w:top w:w="100" w:type="dxa"/>
              <w:bottom w:w="100" w:type="dxa"/>
              <w:left w:w="150" w:type="dxa"/>
              <w:right w:w="150" w:type="dxa"/>
            </w:tcMar>
          </w:tcPr>
          <w:p>
            <w:r>
              <w:rPr>
                <w:b/>
                <w:sz w:val="19"/>
              </w:rPr>
              <w:t>Minahil Azhar</w:t>
            </w:r>
          </w:p>
        </w:tc>
        <w:tc>
          <w:tcPr>
            <w:tcW w:type="dxa" w:w="2592"/>
            <w:shd w:fill="F8FAFC"/>
            <w:tcMar>
              <w:top w:w="100" w:type="dxa"/>
              <w:bottom w:w="100" w:type="dxa"/>
              <w:left w:w="150" w:type="dxa"/>
              <w:right w:w="150" w:type="dxa"/>
            </w:tcMar>
          </w:tcPr>
          <w:p>
            <w:r>
              <w:rPr>
                <w:b/>
                <w:color w:val="4F46E5"/>
                <w:sz w:val="19"/>
              </w:rPr>
              <w:t>Testing &amp; Quality Assurance</w:t>
            </w:r>
          </w:p>
        </w:tc>
        <w:tc>
          <w:tcPr>
            <w:tcW w:type="dxa" w:w="4176"/>
            <w:shd w:fill="F8FAFC"/>
            <w:tcMar>
              <w:top w:w="100" w:type="dxa"/>
              <w:bottom w:w="100" w:type="dxa"/>
              <w:left w:w="150" w:type="dxa"/>
              <w:right w:w="150" w:type="dxa"/>
            </w:tcMar>
          </w:tcPr>
          <w:p>
            <w:r>
              <w:rPr>
                <w:sz w:val="19"/>
              </w:rPr>
              <w:t>• Designed full automated testing suite across unit, black-box, and integration tests</w:t>
              <w:br/>
              <w:t>• Built 30 automated test cases achieving 100% test pass rate (30/30 passed)</w:t>
              <w:br/>
              <w:t>• Tested edge cases: token tampering, expiry, timestamp parsing, magic bytes</w:t>
              <w:br/>
              <w:t>• Executed end-to-end tests with real audio and MP4 video recordings</w:t>
            </w:r>
          </w:p>
        </w:tc>
      </w:tr>
      <w:tr>
        <w:tc>
          <w:tcPr>
            <w:tcW w:type="dxa" w:w="2592"/>
            <w:shd w:fill="FFFFFF"/>
            <w:tcMar>
              <w:top w:w="100" w:type="dxa"/>
              <w:bottom w:w="100" w:type="dxa"/>
              <w:left w:w="150" w:type="dxa"/>
              <w:right w:w="150" w:type="dxa"/>
            </w:tcMar>
          </w:tcPr>
          <w:p>
            <w:r>
              <w:rPr>
                <w:b/>
                <w:sz w:val="19"/>
              </w:rPr>
              <w:t>Muhammad Anas</w:t>
            </w:r>
          </w:p>
        </w:tc>
        <w:tc>
          <w:tcPr>
            <w:tcW w:type="dxa" w:w="2592"/>
            <w:shd w:fill="FFFFFF"/>
            <w:tcMar>
              <w:top w:w="100" w:type="dxa"/>
              <w:bottom w:w="100" w:type="dxa"/>
              <w:left w:w="150" w:type="dxa"/>
              <w:right w:w="150" w:type="dxa"/>
            </w:tcMar>
          </w:tcPr>
          <w:p>
            <w:r>
              <w:rPr>
                <w:b/>
                <w:color w:val="4F46E5"/>
                <w:sz w:val="19"/>
              </w:rPr>
              <w:t>Frontend Engineering</w:t>
            </w:r>
          </w:p>
        </w:tc>
        <w:tc>
          <w:tcPr>
            <w:tcW w:type="dxa" w:w="4176"/>
            <w:shd w:fill="FFFFFF"/>
            <w:tcMar>
              <w:top w:w="100" w:type="dxa"/>
              <w:bottom w:w="100" w:type="dxa"/>
              <w:left w:w="150" w:type="dxa"/>
              <w:right w:w="150" w:type="dxa"/>
            </w:tcMar>
          </w:tcPr>
          <w:p>
            <w:r>
              <w:rPr>
                <w:sz w:val="19"/>
              </w:rPr>
              <w:t>• Developed modern web application using Next.js 14, TypeScript, and Tailwind CSS</w:t>
              <w:br/>
              <w:t>• Built dashboard stats, meeting lists, upload zone, and detail inspection panels</w:t>
              <w:br/>
              <w:t>• Engineered 'Ask AI' chat UI with timestamp chips (▶ [MM:SS]) &amp; audio seeking</w:t>
              <w:br/>
              <w:t>• Created animated Light &amp; Dark Theme Switcher with local storage persistence</w:t>
              <w:br/>
              <w:t>• Implemented React Error Boundary and multi-step live stage polling</w:t>
            </w:r>
          </w:p>
        </w:tc>
      </w:tr>
    </w:tbl>
    <w:p/>
    <w:p>
      <w:pPr>
        <w:pStyle w:val="Heading1"/>
      </w:pPr>
      <w:r>
        <w:rPr>
          <w:color w:val="0F172A"/>
        </w:rPr>
        <w:t>2. Executive Summary &amp; Problem Statement</w:t>
      </w:r>
    </w:p>
    <w:p>
      <w:r>
        <w:t>Modern enterprises conduct millions of hours of virtual and in-person meetings daily. However, critical outcomes—including agreed action items, strategic decisions, task deadlines, and unresolved questions—are routinely lost in scattered notes or forgotten. MeetingMind solves this challenge by providing an end-to-end automated AI intelligence pipeline. Users simply upload meeting recordings (audio or video), and MeetingMind automatically handles transcription, speaker diarization, executive summarization, structured takeaway extraction, and grounded conversational Q&amp;A.</w:t>
      </w:r>
    </w:p>
    <w:p>
      <w:pPr>
        <w:pStyle w:val="Heading1"/>
      </w:pPr>
      <w:r>
        <w:rPr>
          <w:color w:val="0F172A"/>
        </w:rPr>
        <w:t>3. System Architecture &amp; Processing Pipeline</w:t>
      </w:r>
    </w:p>
    <w:p>
      <w:r>
        <w:t>MeetingMind utilizes a decoupled, resilient microservices architecture consisting of a Next.js 14 frontend, a high-performance FastAPI backend, an asynchronous ARQ background worker, a PostgreSQL database (Supabase), and a Redis queue/cache broker.</w:t>
      </w:r>
    </w:p>
    <w:p>
      <w:r>
        <w:rPr>
          <w:b/>
        </w:rPr>
        <w:t>Dual-Stage AI Processing Workflow:</w:t>
      </w:r>
    </w:p>
    <w:p>
      <w:r>
        <w:t>1. Media Ingestion &amp; Validation: Accepts MP3, WAV, M4A, MP4, MOV, WEBM files with magic-byte detection and SHA-256 checksum hashing. Automatic FFmpeg audio extraction with fallback.</w:t>
        <w:br/>
        <w:t>2. Stage 1 — Transcription &amp; Diarization: Transcribes audio using DeepGram Nova-3, segmenting timestamps and separating distinct speakers.</w:t>
        <w:br/>
        <w:t>3. Stage 2 — Intelligence Extraction: Feeds formatted diarized transcripts into Google Gemini with structured JSON schemas, extracting summaries, action items, decisions, deadlines, unresolved issues, and sentiment scores.</w:t>
        <w:br/>
        <w:t>4. Persistence &amp; Indexing: Writes structured entities to 14 relational database tables and updates job status from 'uploaded' to 'transcribing', 'analyzing', and 'completed'.</w:t>
        <w:br/>
        <w:t>5. Grounded RAG Q&amp;A: Allows real-time interactive chat with citations linked to millisecond audio playback offsets.</w:t>
      </w:r>
    </w:p>
    <w:p>
      <w:pPr>
        <w:pStyle w:val="Heading1"/>
      </w:pPr>
      <w:r>
        <w:rPr>
          <w:color w:val="0F172A"/>
        </w:rPr>
        <w:t>4. Key Features &amp; Innovations</w:t>
      </w:r>
    </w:p>
    <w:p>
      <w:pPr>
        <w:pStyle w:val="ListBullet"/>
      </w:pPr>
      <w:r>
        <w:rPr>
          <w:b/>
          <w:color w:val="4F46E5"/>
        </w:rPr>
        <w:t xml:space="preserve">Multi-Format Ingestion with Audio Fallback: </w:t>
      </w:r>
      <w:r>
        <w:t>Processes audio and video files up to 500MB. If FFmpeg is unavailable, it gracefully submits original media directly to transcription without crashing.</w:t>
      </w:r>
    </w:p>
    <w:p>
      <w:pPr>
        <w:pStyle w:val="ListBullet"/>
      </w:pPr>
      <w:r>
        <w:rPr>
          <w:b/>
          <w:color w:val="4F46E5"/>
        </w:rPr>
        <w:t xml:space="preserve">Multi-Model Fallback &amp; Auto-Retry: </w:t>
      </w:r>
      <w:r>
        <w:t>Guards against Gemini API 429/503 errors by automatically retrying with exponential backoff and cycling across available models (gemini-flash-latest, gemini-3.5-flash, gemini-3.7-flash).</w:t>
      </w:r>
    </w:p>
    <w:p>
      <w:pPr>
        <w:pStyle w:val="ListBullet"/>
      </w:pPr>
      <w:r>
        <w:rPr>
          <w:b/>
          <w:color w:val="4F46E5"/>
        </w:rPr>
        <w:t xml:space="preserve">Clickable Timestamp Citations (Ask AI): </w:t>
      </w:r>
      <w:r>
        <w:t>Conversational Q&amp;A answers include spoken timestamps (e.g. [02:15]). Clicking a timestamp chip automatically seeks the audio player to that exact moment.</w:t>
      </w:r>
    </w:p>
    <w:p>
      <w:pPr>
        <w:pStyle w:val="ListBullet"/>
      </w:pPr>
      <w:r>
        <w:rPr>
          <w:b/>
          <w:color w:val="4F46E5"/>
        </w:rPr>
        <w:t xml:space="preserve">Light &amp; Dark Theme Switcher: </w:t>
      </w:r>
      <w:r>
        <w:t>Fully responsive animated theme toggle with persistent localStorage state, system preference detection, and curated palettes for high readability.</w:t>
      </w:r>
    </w:p>
    <w:p>
      <w:pPr>
        <w:pStyle w:val="ListBullet"/>
      </w:pPr>
      <w:r>
        <w:rPr>
          <w:b/>
          <w:color w:val="4F46E5"/>
        </w:rPr>
        <w:t xml:space="preserve">Multi-Format Intelligence Export: </w:t>
      </w:r>
      <w:r>
        <w:t>Exports meeting intelligence instantly to Markdown (.md), JSON (.json), Email Digest (.txt), and Plain Text (.txt).</w:t>
      </w:r>
    </w:p>
    <w:p>
      <w:pPr>
        <w:pStyle w:val="ListBullet"/>
      </w:pPr>
      <w:r>
        <w:rPr>
          <w:b/>
          <w:color w:val="4F46E5"/>
        </w:rPr>
        <w:t xml:space="preserve">Admin Queue Management &amp; Health: </w:t>
      </w:r>
      <w:r>
        <w:t>Provides real-time queue visibility (GET /api/v1/admin/queue/status) and one-click manual job re-triggering (POST /api/v1/admin/queue/trigger/{id}).</w:t>
      </w:r>
    </w:p>
    <w:p>
      <w:pPr>
        <w:pStyle w:val="Heading1"/>
      </w:pPr>
      <w:r>
        <w:rPr>
          <w:color w:val="0F172A"/>
        </w:rPr>
        <w:t>5. Database Architecture &amp; Schema (14 Tables)</w:t>
      </w:r>
    </w:p>
    <w:p>
      <w:r>
        <w:t>The relational database schema is hosted on PostgreSQL (Supabase) and managed via Alembic migrations. The 14 tables enforce strict relational integrity, check constraints, foreign keys, and indexes:</w:t>
      </w:r>
    </w:p>
    <w:tbl>
      <w:tblPr>
        <w:tblW w:type="auto" w:w="0"/>
        <w:jc w:val="center"/>
        <w:tblLayout w:type="fixed"/>
        <w:tblLook w:firstColumn="1" w:firstRow="1" w:lastColumn="0" w:lastRow="0" w:noHBand="0" w:noVBand="1" w:val="04A0"/>
      </w:tblPr>
      <w:tblGrid>
        <w:gridCol w:w="4680"/>
        <w:gridCol w:w="4680"/>
      </w:tblGrid>
      <w:tr>
        <w:tc>
          <w:tcPr>
            <w:tcW w:type="dxa" w:w="3168"/>
            <w:shd w:fill="1E293B"/>
            <w:tcMar>
              <w:top w:w="100" w:type="dxa"/>
              <w:bottom w:w="100" w:type="dxa"/>
              <w:left w:w="150" w:type="dxa"/>
              <w:right w:w="150" w:type="dxa"/>
            </w:tcMar>
          </w:tcPr>
          <w:p>
            <w:r>
              <w:rPr>
                <w:b/>
                <w:color w:val="FFFFFF"/>
              </w:rPr>
              <w:t>Table Name</w:t>
            </w:r>
          </w:p>
        </w:tc>
        <w:tc>
          <w:tcPr>
            <w:tcW w:type="dxa" w:w="6192"/>
            <w:shd w:fill="1E293B"/>
            <w:tcMar>
              <w:top w:w="100" w:type="dxa"/>
              <w:bottom w:w="100" w:type="dxa"/>
              <w:left w:w="150" w:type="dxa"/>
              <w:right w:w="150" w:type="dxa"/>
            </w:tcMar>
          </w:tcPr>
          <w:p>
            <w:r>
              <w:rPr>
                <w:b/>
                <w:color w:val="FFFFFF"/>
              </w:rPr>
              <w:t>Purpose &amp; Relational Constraints</w:t>
            </w:r>
          </w:p>
        </w:tc>
      </w:tr>
      <w:tr>
        <w:tc>
          <w:tcPr>
            <w:tcW w:type="dxa" w:w="3168"/>
            <w:shd w:fill="F8FAFC"/>
            <w:tcMar>
              <w:top w:w="80" w:type="dxa"/>
              <w:bottom w:w="80" w:type="dxa"/>
              <w:left w:w="150" w:type="dxa"/>
              <w:right w:w="150" w:type="dxa"/>
            </w:tcMar>
          </w:tcPr>
          <w:p>
            <w:r>
              <w:rPr>
                <w:b/>
                <w:sz w:val="19"/>
              </w:rPr>
              <w:t>users</w:t>
            </w:r>
          </w:p>
        </w:tc>
        <w:tc>
          <w:tcPr>
            <w:tcW w:type="dxa" w:w="6192"/>
            <w:shd w:fill="F8FAFC"/>
            <w:tcMar>
              <w:top w:w="80" w:type="dxa"/>
              <w:bottom w:w="80" w:type="dxa"/>
              <w:left w:w="150" w:type="dxa"/>
              <w:right w:w="150" w:type="dxa"/>
            </w:tcMar>
          </w:tcPr>
          <w:p>
            <w:r>
              <w:rPr>
                <w:sz w:val="19"/>
              </w:rPr>
              <w:t>User accounts, password hashes, and user roles (enum: member, admin, user)</w:t>
            </w:r>
          </w:p>
        </w:tc>
      </w:tr>
      <w:tr>
        <w:tc>
          <w:tcPr>
            <w:tcW w:type="dxa" w:w="3168"/>
            <w:shd w:fill="FFFFFF"/>
            <w:tcMar>
              <w:top w:w="80" w:type="dxa"/>
              <w:bottom w:w="80" w:type="dxa"/>
              <w:left w:w="150" w:type="dxa"/>
              <w:right w:w="150" w:type="dxa"/>
            </w:tcMar>
          </w:tcPr>
          <w:p>
            <w:r>
              <w:rPr>
                <w:b/>
                <w:sz w:val="19"/>
              </w:rPr>
              <w:t>meetings</w:t>
            </w:r>
          </w:p>
        </w:tc>
        <w:tc>
          <w:tcPr>
            <w:tcW w:type="dxa" w:w="6192"/>
            <w:shd w:fill="FFFFFF"/>
            <w:tcMar>
              <w:top w:w="80" w:type="dxa"/>
              <w:bottom w:w="80" w:type="dxa"/>
              <w:left w:w="150" w:type="dxa"/>
              <w:right w:w="150" w:type="dxa"/>
            </w:tcMar>
          </w:tcPr>
          <w:p>
            <w:r>
              <w:rPr>
                <w:sz w:val="19"/>
              </w:rPr>
              <w:t>Core meeting entities, status, durations, sentiment, and short/detailed summaries</w:t>
            </w:r>
          </w:p>
        </w:tc>
      </w:tr>
      <w:tr>
        <w:tc>
          <w:tcPr>
            <w:tcW w:type="dxa" w:w="3168"/>
            <w:shd w:fill="F8FAFC"/>
            <w:tcMar>
              <w:top w:w="80" w:type="dxa"/>
              <w:bottom w:w="80" w:type="dxa"/>
              <w:left w:w="150" w:type="dxa"/>
              <w:right w:w="150" w:type="dxa"/>
            </w:tcMar>
          </w:tcPr>
          <w:p>
            <w:r>
              <w:rPr>
                <w:b/>
                <w:sz w:val="19"/>
              </w:rPr>
              <w:t>meeting_files</w:t>
            </w:r>
          </w:p>
        </w:tc>
        <w:tc>
          <w:tcPr>
            <w:tcW w:type="dxa" w:w="6192"/>
            <w:shd w:fill="F8FAFC"/>
            <w:tcMar>
              <w:top w:w="80" w:type="dxa"/>
              <w:bottom w:w="80" w:type="dxa"/>
              <w:left w:w="150" w:type="dxa"/>
              <w:right w:w="150" w:type="dxa"/>
            </w:tcMar>
          </w:tcPr>
          <w:p>
            <w:r>
              <w:rPr>
                <w:sz w:val="19"/>
              </w:rPr>
              <w:t>File metadata, storage paths, MIME types, byte sizes, and checksums</w:t>
            </w:r>
          </w:p>
        </w:tc>
      </w:tr>
      <w:tr>
        <w:tc>
          <w:tcPr>
            <w:tcW w:type="dxa" w:w="3168"/>
            <w:shd w:fill="FFFFFF"/>
            <w:tcMar>
              <w:top w:w="80" w:type="dxa"/>
              <w:bottom w:w="80" w:type="dxa"/>
              <w:left w:w="150" w:type="dxa"/>
              <w:right w:w="150" w:type="dxa"/>
            </w:tcMar>
          </w:tcPr>
          <w:p>
            <w:r>
              <w:rPr>
                <w:b/>
                <w:sz w:val="19"/>
              </w:rPr>
              <w:t>processing_jobs</w:t>
            </w:r>
          </w:p>
        </w:tc>
        <w:tc>
          <w:tcPr>
            <w:tcW w:type="dxa" w:w="6192"/>
            <w:shd w:fill="FFFFFF"/>
            <w:tcMar>
              <w:top w:w="80" w:type="dxa"/>
              <w:bottom w:w="80" w:type="dxa"/>
              <w:left w:w="150" w:type="dxa"/>
              <w:right w:w="150" w:type="dxa"/>
            </w:tcMar>
          </w:tcPr>
          <w:p>
            <w:r>
              <w:rPr>
                <w:sz w:val="19"/>
              </w:rPr>
              <w:t>Background job state tracking with check constraint (completed_at &gt;= started_at)</w:t>
            </w:r>
          </w:p>
        </w:tc>
      </w:tr>
      <w:tr>
        <w:tc>
          <w:tcPr>
            <w:tcW w:type="dxa" w:w="3168"/>
            <w:shd w:fill="F8FAFC"/>
            <w:tcMar>
              <w:top w:w="80" w:type="dxa"/>
              <w:bottom w:w="80" w:type="dxa"/>
              <w:left w:w="150" w:type="dxa"/>
              <w:right w:w="150" w:type="dxa"/>
            </w:tcMar>
          </w:tcPr>
          <w:p>
            <w:r>
              <w:rPr>
                <w:b/>
                <w:sz w:val="19"/>
              </w:rPr>
              <w:t>speakers</w:t>
            </w:r>
          </w:p>
        </w:tc>
        <w:tc>
          <w:tcPr>
            <w:tcW w:type="dxa" w:w="6192"/>
            <w:shd w:fill="F8FAFC"/>
            <w:tcMar>
              <w:top w:w="80" w:type="dxa"/>
              <w:bottom w:w="80" w:type="dxa"/>
              <w:left w:w="150" w:type="dxa"/>
              <w:right w:w="150" w:type="dxa"/>
            </w:tcMar>
          </w:tcPr>
          <w:p>
            <w:r>
              <w:rPr>
                <w:sz w:val="19"/>
              </w:rPr>
              <w:t>Diarized speaker identities per meeting (Speaker 1, Speaker 2, etc.)</w:t>
            </w:r>
          </w:p>
        </w:tc>
      </w:tr>
      <w:tr>
        <w:tc>
          <w:tcPr>
            <w:tcW w:type="dxa" w:w="3168"/>
            <w:shd w:fill="FFFFFF"/>
            <w:tcMar>
              <w:top w:w="80" w:type="dxa"/>
              <w:bottom w:w="80" w:type="dxa"/>
              <w:left w:w="150" w:type="dxa"/>
              <w:right w:w="150" w:type="dxa"/>
            </w:tcMar>
          </w:tcPr>
          <w:p>
            <w:r>
              <w:rPr>
                <w:b/>
                <w:sz w:val="19"/>
              </w:rPr>
              <w:t>transcript_segments</w:t>
            </w:r>
          </w:p>
        </w:tc>
        <w:tc>
          <w:tcPr>
            <w:tcW w:type="dxa" w:w="6192"/>
            <w:shd w:fill="FFFFFF"/>
            <w:tcMar>
              <w:top w:w="80" w:type="dxa"/>
              <w:bottom w:w="80" w:type="dxa"/>
              <w:left w:w="150" w:type="dxa"/>
              <w:right w:w="150" w:type="dxa"/>
            </w:tcMar>
          </w:tcPr>
          <w:p>
            <w:r>
              <w:rPr>
                <w:sz w:val="19"/>
              </w:rPr>
              <w:t>Searchable utterance chunks with start/end second timestamps and speaker foreign keys</w:t>
            </w:r>
          </w:p>
        </w:tc>
      </w:tr>
      <w:tr>
        <w:tc>
          <w:tcPr>
            <w:tcW w:type="dxa" w:w="3168"/>
            <w:shd w:fill="F8FAFC"/>
            <w:tcMar>
              <w:top w:w="80" w:type="dxa"/>
              <w:bottom w:w="80" w:type="dxa"/>
              <w:left w:w="150" w:type="dxa"/>
              <w:right w:w="150" w:type="dxa"/>
            </w:tcMar>
          </w:tcPr>
          <w:p>
            <w:r>
              <w:rPr>
                <w:b/>
                <w:sz w:val="19"/>
              </w:rPr>
              <w:t>key_points</w:t>
            </w:r>
          </w:p>
        </w:tc>
        <w:tc>
          <w:tcPr>
            <w:tcW w:type="dxa" w:w="6192"/>
            <w:shd w:fill="F8FAFC"/>
            <w:tcMar>
              <w:top w:w="80" w:type="dxa"/>
              <w:bottom w:w="80" w:type="dxa"/>
              <w:left w:w="150" w:type="dxa"/>
              <w:right w:w="150" w:type="dxa"/>
            </w:tcMar>
          </w:tcPr>
          <w:p>
            <w:r>
              <w:rPr>
                <w:sz w:val="19"/>
              </w:rPr>
              <w:t>Key discussion takeaways with spoken timestamp references</w:t>
            </w:r>
          </w:p>
        </w:tc>
      </w:tr>
      <w:tr>
        <w:tc>
          <w:tcPr>
            <w:tcW w:type="dxa" w:w="3168"/>
            <w:shd w:fill="FFFFFF"/>
            <w:tcMar>
              <w:top w:w="80" w:type="dxa"/>
              <w:bottom w:w="80" w:type="dxa"/>
              <w:left w:w="150" w:type="dxa"/>
              <w:right w:w="150" w:type="dxa"/>
            </w:tcMar>
          </w:tcPr>
          <w:p>
            <w:r>
              <w:rPr>
                <w:b/>
                <w:sz w:val="19"/>
              </w:rPr>
              <w:t>action_items</w:t>
            </w:r>
          </w:p>
        </w:tc>
        <w:tc>
          <w:tcPr>
            <w:tcW w:type="dxa" w:w="6192"/>
            <w:shd w:fill="FFFFFF"/>
            <w:tcMar>
              <w:top w:w="80" w:type="dxa"/>
              <w:bottom w:w="80" w:type="dxa"/>
              <w:left w:w="150" w:type="dxa"/>
              <w:right w:w="150" w:type="dxa"/>
            </w:tcMar>
          </w:tcPr>
          <w:p>
            <w:r>
              <w:rPr>
                <w:sz w:val="19"/>
              </w:rPr>
              <w:t>Extracted tasks with assignees (UUID foreign keys), status, and deadline dates</w:t>
            </w:r>
          </w:p>
        </w:tc>
      </w:tr>
      <w:tr>
        <w:tc>
          <w:tcPr>
            <w:tcW w:type="dxa" w:w="3168"/>
            <w:shd w:fill="F8FAFC"/>
            <w:tcMar>
              <w:top w:w="80" w:type="dxa"/>
              <w:bottom w:w="80" w:type="dxa"/>
              <w:left w:w="150" w:type="dxa"/>
              <w:right w:w="150" w:type="dxa"/>
            </w:tcMar>
          </w:tcPr>
          <w:p>
            <w:r>
              <w:rPr>
                <w:b/>
                <w:sz w:val="19"/>
              </w:rPr>
              <w:t>decisions</w:t>
            </w:r>
          </w:p>
        </w:tc>
        <w:tc>
          <w:tcPr>
            <w:tcW w:type="dxa" w:w="6192"/>
            <w:shd w:fill="F8FAFC"/>
            <w:tcMar>
              <w:top w:w="80" w:type="dxa"/>
              <w:bottom w:w="80" w:type="dxa"/>
              <w:left w:w="150" w:type="dxa"/>
              <w:right w:w="150" w:type="dxa"/>
            </w:tcMar>
          </w:tcPr>
          <w:p>
            <w:r>
              <w:rPr>
                <w:sz w:val="19"/>
              </w:rPr>
              <w:t>Finalized agreements with decision maker UUID foreign keys and timestamps</w:t>
            </w:r>
          </w:p>
        </w:tc>
      </w:tr>
      <w:tr>
        <w:tc>
          <w:tcPr>
            <w:tcW w:type="dxa" w:w="3168"/>
            <w:shd w:fill="FFFFFF"/>
            <w:tcMar>
              <w:top w:w="80" w:type="dxa"/>
              <w:bottom w:w="80" w:type="dxa"/>
              <w:left w:w="150" w:type="dxa"/>
              <w:right w:w="150" w:type="dxa"/>
            </w:tcMar>
          </w:tcPr>
          <w:p>
            <w:r>
              <w:rPr>
                <w:b/>
                <w:sz w:val="19"/>
              </w:rPr>
              <w:t>deadlines</w:t>
            </w:r>
          </w:p>
        </w:tc>
        <w:tc>
          <w:tcPr>
            <w:tcW w:type="dxa" w:w="6192"/>
            <w:shd w:fill="FFFFFF"/>
            <w:tcMar>
              <w:top w:w="80" w:type="dxa"/>
              <w:bottom w:w="80" w:type="dxa"/>
              <w:left w:w="150" w:type="dxa"/>
              <w:right w:w="150" w:type="dxa"/>
            </w:tcMar>
          </w:tcPr>
          <w:p>
            <w:r>
              <w:rPr>
                <w:sz w:val="19"/>
              </w:rPr>
              <w:t>Explicit project deadlines and resolved calendar dates</w:t>
            </w:r>
          </w:p>
        </w:tc>
      </w:tr>
      <w:tr>
        <w:tc>
          <w:tcPr>
            <w:tcW w:type="dxa" w:w="3168"/>
            <w:shd w:fill="F8FAFC"/>
            <w:tcMar>
              <w:top w:w="80" w:type="dxa"/>
              <w:bottom w:w="80" w:type="dxa"/>
              <w:left w:w="150" w:type="dxa"/>
              <w:right w:w="150" w:type="dxa"/>
            </w:tcMar>
          </w:tcPr>
          <w:p>
            <w:r>
              <w:rPr>
                <w:b/>
                <w:sz w:val="19"/>
              </w:rPr>
              <w:t>unresolved_issues</w:t>
            </w:r>
          </w:p>
        </w:tc>
        <w:tc>
          <w:tcPr>
            <w:tcW w:type="dxa" w:w="6192"/>
            <w:shd w:fill="F8FAFC"/>
            <w:tcMar>
              <w:top w:w="80" w:type="dxa"/>
              <w:bottom w:w="80" w:type="dxa"/>
              <w:left w:w="150" w:type="dxa"/>
              <w:right w:w="150" w:type="dxa"/>
            </w:tcMar>
          </w:tcPr>
          <w:p>
            <w:r>
              <w:rPr>
                <w:sz w:val="19"/>
              </w:rPr>
              <w:t>Open blockers and questions tabled for future discussions</w:t>
            </w:r>
          </w:p>
        </w:tc>
      </w:tr>
      <w:tr>
        <w:tc>
          <w:tcPr>
            <w:tcW w:type="dxa" w:w="3168"/>
            <w:shd w:fill="FFFFFF"/>
            <w:tcMar>
              <w:top w:w="80" w:type="dxa"/>
              <w:bottom w:w="80" w:type="dxa"/>
              <w:left w:w="150" w:type="dxa"/>
              <w:right w:w="150" w:type="dxa"/>
            </w:tcMar>
          </w:tcPr>
          <w:p>
            <w:r>
              <w:rPr>
                <w:b/>
                <w:sz w:val="19"/>
              </w:rPr>
              <w:t>follow_up_items</w:t>
            </w:r>
          </w:p>
        </w:tc>
        <w:tc>
          <w:tcPr>
            <w:tcW w:type="dxa" w:w="6192"/>
            <w:shd w:fill="FFFFFF"/>
            <w:tcMar>
              <w:top w:w="80" w:type="dxa"/>
              <w:bottom w:w="80" w:type="dxa"/>
              <w:left w:w="150" w:type="dxa"/>
              <w:right w:w="150" w:type="dxa"/>
            </w:tcMar>
          </w:tcPr>
          <w:p>
            <w:r>
              <w:rPr>
                <w:sz w:val="19"/>
              </w:rPr>
              <w:t>Post-meeting reminders and follow-up items</w:t>
            </w:r>
          </w:p>
        </w:tc>
      </w:tr>
      <w:tr>
        <w:tc>
          <w:tcPr>
            <w:tcW w:type="dxa" w:w="3168"/>
            <w:shd w:fill="F8FAFC"/>
            <w:tcMar>
              <w:top w:w="80" w:type="dxa"/>
              <w:bottom w:w="80" w:type="dxa"/>
              <w:left w:w="150" w:type="dxa"/>
              <w:right w:w="150" w:type="dxa"/>
            </w:tcMar>
          </w:tcPr>
          <w:p>
            <w:r>
              <w:rPr>
                <w:b/>
                <w:sz w:val="19"/>
              </w:rPr>
              <w:t>participants</w:t>
            </w:r>
          </w:p>
        </w:tc>
        <w:tc>
          <w:tcPr>
            <w:tcW w:type="dxa" w:w="6192"/>
            <w:shd w:fill="F8FAFC"/>
            <w:tcMar>
              <w:top w:w="80" w:type="dxa"/>
              <w:bottom w:w="80" w:type="dxa"/>
              <w:left w:w="150" w:type="dxa"/>
              <w:right w:w="150" w:type="dxa"/>
            </w:tcMar>
          </w:tcPr>
          <w:p>
            <w:r>
              <w:rPr>
                <w:sz w:val="19"/>
              </w:rPr>
              <w:t>Meeting attendees and participant invitations</w:t>
            </w:r>
          </w:p>
        </w:tc>
      </w:tr>
      <w:tr>
        <w:tc>
          <w:tcPr>
            <w:tcW w:type="dxa" w:w="3168"/>
            <w:shd w:fill="FFFFFF"/>
            <w:tcMar>
              <w:top w:w="80" w:type="dxa"/>
              <w:bottom w:w="80" w:type="dxa"/>
              <w:left w:w="150" w:type="dxa"/>
              <w:right w:w="150" w:type="dxa"/>
            </w:tcMar>
          </w:tcPr>
          <w:p>
            <w:r>
              <w:rPr>
                <w:b/>
                <w:sz w:val="19"/>
              </w:rPr>
              <w:t>ai_conversations</w:t>
            </w:r>
          </w:p>
        </w:tc>
        <w:tc>
          <w:tcPr>
            <w:tcW w:type="dxa" w:w="6192"/>
            <w:shd w:fill="FFFFFF"/>
            <w:tcMar>
              <w:top w:w="80" w:type="dxa"/>
              <w:bottom w:w="80" w:type="dxa"/>
              <w:left w:w="150" w:type="dxa"/>
              <w:right w:w="150" w:type="dxa"/>
            </w:tcMar>
          </w:tcPr>
          <w:p>
            <w:r>
              <w:rPr>
                <w:sz w:val="19"/>
              </w:rPr>
              <w:t>Chat history for grounded RAG Q&amp;A exchanges and referenced timestamps</w:t>
            </w:r>
          </w:p>
        </w:tc>
      </w:tr>
    </w:tbl>
    <w:p/>
    <w:p>
      <w:pPr>
        <w:pStyle w:val="Heading1"/>
      </w:pPr>
      <w:r>
        <w:rPr>
          <w:color w:val="0F172A"/>
        </w:rPr>
        <w:t>6. Quality Assurance &amp; Test Verification Report</w:t>
      </w:r>
    </w:p>
    <w:p>
      <w:r>
        <w:t>MeetingMind has undergone thorough testing across white-box unit tests, black-box endpoint tests, and full-pipeline integration tests. All 30 automated test cases pass with a 100% pass rate:</w:t>
      </w:r>
    </w:p>
    <w:p>
      <w:r>
        <w:rPr>
          <w:sz w:val="20"/>
        </w:rPr>
        <w:t>• Total Automated Tests: 30</w:t>
        <w:br/>
        <w:t>• Tests Passed: 30 (100% Pass Rate)</w:t>
        <w:br/>
        <w:t>• Tests Failed: 0</w:t>
        <w:br/>
        <w:t>• Test Categories: Authentication Flow, Blackbox Boundaries, Export Formats, Full Pipeline Intelligence, Insights Parsing, Meeting Lifecycle, Diarization Parsing, Password Hashing, JWT Rotation &amp; Tampering, Timestamp Boundary Formats, Magic Bytes Detection, Checksum Integrity, and Custom Error Envelopes.</w:t>
      </w:r>
    </w:p>
    <w:p>
      <w:pPr>
        <w:pStyle w:val="Heading1"/>
      </w:pPr>
      <w:r>
        <w:rPr>
          <w:color w:val="0F172A"/>
        </w:rPr>
        <w:t>7. Production Readiness &amp; Sign-off</w:t>
      </w:r>
    </w:p>
    <w:p>
      <w:r>
        <w:t>The MeetingMind platform has been completely verified, hardened, and verified under real audio and video workloads. All 9 identified issues have been resolved, and the repository is structured, clean, and ready for immediate deployment.</w:t>
      </w:r>
    </w:p>
    <w:p>
      <w:r>
        <w:rPr>
          <w:b/>
        </w:rPr>
        <w:t xml:space="preserve">Project Status: </w:t>
      </w:r>
      <w:r>
        <w:rPr>
          <w:b/>
          <w:color w:val="10B981"/>
        </w:rPr>
        <w:t>FINALIZED &amp; PRODUCTION-READY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