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Tajawal" w:cs="Tajawal" w:eastAsia="Tajawal" w:hAnsi="Tajawal"/>
          <w:b/>
          <w:bCs/>
          <w:color w:val="1E3A5F"/>
          <w:sz w:val="56"/>
          <w:szCs w:val="56"/>
        </w:rPr>
        <w:t xml:space="preserve">شاهين</w:t>
      </w:r>
    </w:p>
    <w:p>
      <w:pPr>
        <w:spacing w:after="100"/>
        <w:jc w:val="center"/>
      </w:pPr>
      <w:r>
        <w:rPr>
          <w:rFonts w:ascii="Tajawal" w:cs="Tajawal" w:eastAsia="Tajawal" w:hAnsi="Tajawal"/>
          <w:color w:val="2563EB"/>
          <w:sz w:val="32"/>
          <w:szCs w:val="32"/>
        </w:rPr>
        <w:t xml:space="preserve">الإيجنت المالي</w:t>
      </w:r>
    </w:p>
    <w:p>
      <w:pPr>
        <w:pBdr>
          <w:bottom w:val="single" w:color="1E3A5F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Tajawal" w:cs="Tajawal" w:eastAsia="Tajawal" w:hAnsi="Tajawal"/>
          <w:color w:val="6B7280"/>
          <w:sz w:val="24"/>
          <w:szCs w:val="24"/>
        </w:rPr>
        <w:t xml:space="preserve">وثيقة إجراءات التشغيل القياسية (SOP)</w:t>
      </w:r>
    </w:p>
    <w:p>
      <w:pPr>
        <w:spacing w:after="100"/>
        <w:jc w:val="center"/>
      </w:pPr>
      <w:r>
        <w:rPr>
          <w:rFonts w:ascii="Tajawal" w:cs="Tajawal" w:eastAsia="Tajawal" w:hAnsi="Tajawal"/>
          <w:color w:val="6B7280"/>
          <w:sz w:val="22"/>
          <w:szCs w:val="22"/>
        </w:rPr>
        <w:t xml:space="preserve">إدارة الأمور المالية — الربط والأتمتة</w:t>
      </w:r>
    </w:p>
    <w:p>
      <w:pPr>
        <w:spacing w:before="1200"/>
      </w:pPr>
    </w:p>
    <w:p>
      <w:pPr>
        <w:jc w:val="center"/>
      </w:pPr>
      <w:r>
        <w:rPr>
          <w:rFonts w:ascii="Tajawal" w:cs="Tajawal" w:eastAsia="Tajawal" w:hAnsi="Tajawal"/>
          <w:color w:val="9CA3AF"/>
          <w:sz w:val="22"/>
          <w:szCs w:val="22"/>
        </w:rPr>
        <w:t xml:space="preserve">منظومة زياد الزيادي</w:t>
      </w:r>
    </w:p>
    <w:p>
      <w:pPr>
        <w:jc w:val="center"/>
      </w:pPr>
      <w:r>
        <w:rPr>
          <w:rFonts w:ascii="Tajawal" w:cs="Tajawal" w:eastAsia="Tajawal" w:hAnsi="Tajawal"/>
          <w:color w:val="9CA3AF"/>
          <w:sz w:val="20"/>
          <w:szCs w:val="20"/>
        </w:rPr>
        <w:t xml:space="preserve">musakhar.sa@gmail.com</w:t>
      </w:r>
    </w:p>
    <w:p>
      <w:pPr>
        <w:spacing w:before="200"/>
        <w:jc w:val="center"/>
      </w:pPr>
      <w:r>
        <w:rPr>
          <w:rFonts w:ascii="Tajawal" w:cs="Tajawal" w:eastAsia="Tajawal" w:hAnsi="Tajawal"/>
          <w:color w:val="9CA3AF"/>
          <w:sz w:val="20"/>
          <w:szCs w:val="20"/>
        </w:rPr>
        <w:t xml:space="preserve">مارس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  <w:jc w:val="right"/>
      </w:pPr>
      <w:r>
        <w:rPr>
          <w:rFonts w:ascii="Tajawal" w:cs="Tajawal" w:eastAsia="Tajawal" w:hAnsi="Tajawal"/>
          <w:b/>
          <w:bCs/>
          <w:color w:val="1E3A5F"/>
          <w:sz w:val="28"/>
          <w:szCs w:val="28"/>
        </w:rPr>
        <w:t xml:space="preserve">١. نظرة عامة</w:t>
      </w:r>
    </w:p>
    <w:p>
      <w:pPr>
        <w:spacing w:after="120"/>
        <w:jc w:val="right"/>
      </w:pPr>
      <w:r>
        <w:rPr>
          <w:rFonts w:ascii="Tajawal" w:cs="Tajawal" w:eastAsia="Tajawal" w:hAnsi="Tajawal"/>
          <w:color w:val="374151"/>
          <w:sz w:val="20"/>
          <w:szCs w:val="20"/>
        </w:rPr>
        <w:t xml:space="preserve">شاهين هو الإيجنت المسؤول عن إدارة كل العمليات المالية في منظومة زياد الزيادي. يقوم بالربط الكامل بين المنصات (تمعّن ومسخّر) ومتجر سلة وبوابات الدفع، مع أتمتة الاشتراكات والتسويات والتقارير المالية.</w:t>
      </w:r>
    </w:p>
    <w:p>
      <w:pPr>
        <w:spacing w:after="120"/>
        <w:jc w:val="right"/>
      </w:pPr>
      <w:r>
        <w:rPr>
          <w:rFonts w:ascii="Tajawal" w:cs="Tajawal" w:eastAsia="Tajawal" w:hAnsi="Tajawal"/>
          <w:color w:val="374151"/>
          <w:sz w:val="20"/>
          <w:szCs w:val="20"/>
        </w:rPr>
        <w:t xml:space="preserve">البريد الإلكتروني المرتبط: musakhar.sa@gmail.com</w:t>
      </w:r>
    </w:p>
    <w:p>
      <w:pPr>
        <w:pStyle w:val="Heading1"/>
        <w:spacing w:after="200" w:before="400"/>
        <w:jc w:val="right"/>
      </w:pPr>
      <w:r>
        <w:rPr>
          <w:rFonts w:ascii="Tajawal" w:cs="Tajawal" w:eastAsia="Tajawal" w:hAnsi="Tajawal"/>
          <w:b/>
          <w:bCs/>
          <w:color w:val="1E3A5F"/>
          <w:sz w:val="28"/>
          <w:szCs w:val="28"/>
        </w:rPr>
        <w:t xml:space="preserve">٢. نطاق العمل</w:t>
      </w:r>
    </w:p>
    <w:p>
      <w:pPr>
        <w:pStyle w:val="Heading2"/>
        <w:spacing w:after="150" w:before="300"/>
        <w:jc w:val="right"/>
      </w:pPr>
      <w:r>
        <w:rPr>
          <w:rFonts w:ascii="Tajawal" w:cs="Tajawal" w:eastAsia="Tajawal" w:hAnsi="Tajawal"/>
          <w:b/>
          <w:bCs/>
          <w:color w:val="2563EB"/>
          <w:sz w:val="24"/>
          <w:szCs w:val="24"/>
        </w:rPr>
        <w:t xml:space="preserve">٢.١ المنصات المشمولة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تمعّن — تطبيق التمعّن القرآني (أكواد تفعيل: TAAMUN-XXX / TAAMUN-820-XXX)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مسخّر — كورسات، تقارير، خدمات استشارية (micro + flagship + العقد الذهبي)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متجر سلة — الواجهة الموحدة لجميع المنتجات والدفعات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بوابات الدفع — تمارا، تابي، مدى/فيزا، Apple Pay، STC Pay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النظام المحاسبي — التسويات اليومية والفواتير الضريبية (ZATCA)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التقارير المالية — إيرادات، اشتراكات، أداء المنتجات</w:t>
      </w:r>
    </w:p>
    <w:p>
      <w:pPr>
        <w:pStyle w:val="Heading1"/>
        <w:spacing w:after="200" w:before="400"/>
        <w:jc w:val="right"/>
      </w:pPr>
      <w:r>
        <w:rPr>
          <w:rFonts w:ascii="Tajawal" w:cs="Tajawal" w:eastAsia="Tajawal" w:hAnsi="Tajawal"/>
          <w:b/>
          <w:bCs/>
          <w:color w:val="1E3A5F"/>
          <w:sz w:val="28"/>
          <w:szCs w:val="28"/>
        </w:rPr>
        <w:t xml:space="preserve">٣. مسار العملية المالية</w:t>
      </w:r>
    </w:p>
    <w:p>
      <w:pPr>
        <w:pStyle w:val="Heading2"/>
        <w:spacing w:after="150" w:before="300"/>
        <w:jc w:val="right"/>
      </w:pPr>
      <w:r>
        <w:rPr>
          <w:rFonts w:ascii="Tajawal" w:cs="Tajawal" w:eastAsia="Tajawal" w:hAnsi="Tajawal"/>
          <w:b/>
          <w:bCs/>
          <w:color w:val="2563EB"/>
          <w:sz w:val="24"/>
          <w:szCs w:val="24"/>
        </w:rPr>
        <w:t xml:space="preserve">٣.١ مسار الشراء الكامل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المنصة (تمعّن أو مسخّر) تُعرّف المنتج/الخدمة وترسل بياناتها لشاهين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شاهين ينشئ أو يحدّث المنتج في متجر سلة (مزامنة تلقائية)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العميل يشتري من متجر سلة ويختار طريقة الدفع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بوابة الدفع تعالج العملية وترسل تأكيداً لسلة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سلة ترسل Webhook لشاهين بتأكيد الدفع الناجح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شاهين يُفعّل الخدمة: كود تفعيل (تمعّن) أو فتح وصول (مسخّر)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شاهين يُسجّل العملية محاسبياً ويُصدر فاتورة ضريبية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شاهين يُشعر الإيجنتات المعنية (مبيعات، محتوى، تواصل)</w:t>
      </w:r>
    </w:p>
    <w:p>
      <w:pPr>
        <w:pStyle w:val="Heading2"/>
        <w:spacing w:after="150" w:before="300"/>
        <w:jc w:val="right"/>
      </w:pPr>
      <w:r>
        <w:rPr>
          <w:rFonts w:ascii="Tajawal" w:cs="Tajawal" w:eastAsia="Tajawal" w:hAnsi="Tajawal"/>
          <w:b/>
          <w:bCs/>
          <w:color w:val="2563EB"/>
          <w:sz w:val="24"/>
          <w:szCs w:val="24"/>
        </w:rPr>
        <w:t xml:space="preserve">٣.٢ مسار التجديد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شاهين يراقب تواريخ انتهاء الاشتراكات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قبل الانتهاء: إشعار للعميل عبر إيجنت التواصل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عند الدفع: تمديد الوصول تلقائياً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عند عدم الدفع: تعليق الوصول + إشعار نهائي</w:t>
      </w:r>
    </w:p>
    <w:p>
      <w:pPr>
        <w:pStyle w:val="Heading2"/>
        <w:spacing w:after="150" w:before="300"/>
        <w:jc w:val="right"/>
      </w:pPr>
      <w:r>
        <w:rPr>
          <w:rFonts w:ascii="Tajawal" w:cs="Tajawal" w:eastAsia="Tajawal" w:hAnsi="Tajawal"/>
          <w:b/>
          <w:bCs/>
          <w:color w:val="2563EB"/>
          <w:sz w:val="24"/>
          <w:szCs w:val="24"/>
        </w:rPr>
        <w:t xml:space="preserve">٣.٣ مسار الاسترداد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العميل يطلب الاسترداد عبر سلة أو التواصل المباشر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شاهين يتحقق من الأهلية (المدة، الاستخدام)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يُرسل طلب الموافقة لزياد (المرتجعات تتطلب موافقة)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بعد الموافقة: معالجة الاسترداد + إلغاء الوصول + إشعار العميل</w:t>
      </w:r>
    </w:p>
    <w:p>
      <w:r>
        <w:br w:type="page"/>
      </w:r>
    </w:p>
    <w:p>
      <w:pPr>
        <w:pStyle w:val="Heading1"/>
        <w:spacing w:after="200" w:before="400"/>
        <w:jc w:val="right"/>
      </w:pPr>
      <w:r>
        <w:rPr>
          <w:rFonts w:ascii="Tajawal" w:cs="Tajawal" w:eastAsia="Tajawal" w:hAnsi="Tajawal"/>
          <w:b/>
          <w:bCs/>
          <w:color w:val="1E3A5F"/>
          <w:sz w:val="28"/>
          <w:szCs w:val="28"/>
        </w:rPr>
        <w:t xml:space="preserve">٤. جدول مهام شاهين المالية</w:t>
      </w:r>
    </w:p>
    <w:p>
      <w:pPr>
        <w:spacing w:after="120"/>
        <w:jc w:val="right"/>
      </w:pPr>
      <w:r>
        <w:rPr>
          <w:rFonts w:ascii="Tajawal" w:cs="Tajawal" w:eastAsia="Tajawal" w:hAnsi="Tajawal"/>
          <w:color w:val="374151"/>
          <w:sz w:val="20"/>
          <w:szCs w:val="20"/>
        </w:rPr>
        <w:t xml:space="preserve">يوضح الجدول التالي كل مهمة مالية يتولاها شاهين مع المنصة المرتبطة والتكرار ونوع الأتمتة والمخرج المتوقع.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00"/>
        <w:gridCol w:w="1400"/>
        <w:gridCol w:w="24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</w:rPr>
              <w:t xml:space="preserve">المنصة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</w:rPr>
              <w:t xml:space="preserve">التكرار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</w:rPr>
              <w:t xml:space="preserve">المخرج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/>
                <w:bCs/>
                <w:color w:val="1F2937"/>
                <w:sz w:val="20"/>
                <w:szCs w:val="20"/>
              </w:rPr>
              <w:t xml:space="preserve">مزامنة المنتجات مع سلة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تمعّن + مسخّر ← سلة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عند التغيير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أتمتة كاملة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منتج محدّث في سلة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/>
                <w:bCs/>
                <w:color w:val="1F2937"/>
                <w:sz w:val="20"/>
                <w:szCs w:val="20"/>
              </w:rPr>
              <w:t xml:space="preserve">معالجة الدفع الناجح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سلة ← شاهين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فوري (Webhook)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أتمتة كاملة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تفعيل الخدمة + إشعار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/>
                <w:bCs/>
                <w:color w:val="1F2937"/>
                <w:sz w:val="20"/>
                <w:szCs w:val="20"/>
              </w:rPr>
              <w:t xml:space="preserve">إصدار كود التفعيل (تمعّن)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شاهين ← تمعّن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بعد الدفع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أتمتة كاملة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كود TAAMUN-XXX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/>
                <w:bCs/>
                <w:color w:val="1F2937"/>
                <w:sz w:val="20"/>
                <w:szCs w:val="20"/>
              </w:rPr>
              <w:t xml:space="preserve">فتح وصول الكورس (مسخّر)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شاهين ← مسخّر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بعد الدفع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أتمتة كاملة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وصول مفعّل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/>
                <w:bCs/>
                <w:color w:val="1F2937"/>
                <w:sz w:val="20"/>
                <w:szCs w:val="20"/>
              </w:rPr>
              <w:t xml:space="preserve">تجديد الاشتراكات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سلة ← شاهين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دوري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أتمتة كاملة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تمديد أو تعليق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/>
                <w:bCs/>
                <w:color w:val="1F2937"/>
                <w:sz w:val="20"/>
                <w:szCs w:val="20"/>
              </w:rPr>
              <w:t xml:space="preserve">معالجة الاسترداد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سلة ← شاهين ← البنك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عند الطلب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أتمتة + موافقة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استرداد + إلغاء وصول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/>
                <w:bCs/>
                <w:color w:val="1F2937"/>
                <w:sz w:val="20"/>
                <w:szCs w:val="20"/>
              </w:rPr>
              <w:t xml:space="preserve">التسوية اليومية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سلة + البنك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يومي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أتمتة كاملة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تقرير مطابقة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/>
                <w:bCs/>
                <w:color w:val="1F2937"/>
                <w:sz w:val="20"/>
                <w:szCs w:val="20"/>
              </w:rPr>
              <w:t xml:space="preserve">تقرير الإيرادات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كل المنصات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أسبوعي/شهري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أتمتة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تقرير مالي شامل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/>
                <w:bCs/>
                <w:color w:val="1F2937"/>
                <w:sz w:val="20"/>
                <w:szCs w:val="20"/>
              </w:rPr>
              <w:t xml:space="preserve">تنبيه الفروقات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شاهين ← زياد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عند الكشف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أتمتة + إشعار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</w:rPr>
              <w:t xml:space="preserve">تنبيه فوري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jc w:val="right"/>
      </w:pPr>
      <w:r>
        <w:rPr>
          <w:rFonts w:ascii="Tajawal" w:cs="Tajawal" w:eastAsia="Tajawal" w:hAnsi="Tajawal"/>
          <w:b/>
          <w:bCs/>
          <w:color w:val="1E3A5F"/>
          <w:sz w:val="28"/>
          <w:szCs w:val="28"/>
        </w:rPr>
        <w:t xml:space="preserve">٥. تنسيق شاهين مع الإيجنتات</w:t>
      </w:r>
    </w:p>
    <w:p>
      <w:pPr>
        <w:pStyle w:val="Heading2"/>
        <w:spacing w:after="150" w:before="300"/>
        <w:jc w:val="right"/>
      </w:pPr>
      <w:r>
        <w:rPr>
          <w:rFonts w:ascii="Tajawal" w:cs="Tajawal" w:eastAsia="Tajawal" w:hAnsi="Tajawal"/>
          <w:b/>
          <w:bCs/>
          <w:color w:val="2563EB"/>
          <w:sz w:val="24"/>
          <w:szCs w:val="24"/>
        </w:rPr>
        <w:t xml:space="preserve">٥.١ شاهين ← إيجنت المبيعات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إرسال تأكيد الدفع الناجح فوراً بعد معالجة الـ Webhook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تحديث حالة العميل: مدفوع / معلّق / منتهي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إشعار بالاشتراكات القريبة من الانتهاء لفرصة البيع المتجدد</w:t>
      </w:r>
    </w:p>
    <w:p>
      <w:pPr>
        <w:pStyle w:val="Heading2"/>
        <w:spacing w:after="150" w:before="300"/>
        <w:jc w:val="right"/>
      </w:pPr>
      <w:r>
        <w:rPr>
          <w:rFonts w:ascii="Tajawal" w:cs="Tajawal" w:eastAsia="Tajawal" w:hAnsi="Tajawal"/>
          <w:b/>
          <w:bCs/>
          <w:color w:val="2563EB"/>
          <w:sz w:val="24"/>
          <w:szCs w:val="24"/>
        </w:rPr>
        <w:t xml:space="preserve">٥.٢ شاهين ← إيجنت المحتوى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فتح الوصول للمحتوى المدفوع بعد تأكيد الدفع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إغلاق الوصول عند انتهاء الاشتراك أو الاسترداد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تفعيل المحتوى الإضافي لباقة 820 (تمعّن)</w:t>
      </w:r>
    </w:p>
    <w:p>
      <w:pPr>
        <w:pStyle w:val="Heading2"/>
        <w:spacing w:after="150" w:before="300"/>
        <w:jc w:val="right"/>
      </w:pPr>
      <w:r>
        <w:rPr>
          <w:rFonts w:ascii="Tajawal" w:cs="Tajawal" w:eastAsia="Tajawal" w:hAnsi="Tajawal"/>
          <w:b/>
          <w:bCs/>
          <w:color w:val="2563EB"/>
          <w:sz w:val="24"/>
          <w:szCs w:val="24"/>
        </w:rPr>
        <w:t xml:space="preserve">٥.٣ شاهين ← إيجنت التواصل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إرسال إيصال الدفع ورسالة الترحيب للعميل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تذكير العميل بموعد التجديد قبل الانتهاء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إشعار العميل بنجاح الاسترداد</w:t>
      </w:r>
    </w:p>
    <w:p>
      <w:pPr>
        <w:pStyle w:val="Heading2"/>
        <w:spacing w:after="150" w:before="300"/>
        <w:jc w:val="right"/>
      </w:pPr>
      <w:r>
        <w:rPr>
          <w:rFonts w:ascii="Tajawal" w:cs="Tajawal" w:eastAsia="Tajawal" w:hAnsi="Tajawal"/>
          <w:b/>
          <w:bCs/>
          <w:color w:val="2563EB"/>
          <w:sz w:val="24"/>
          <w:szCs w:val="24"/>
        </w:rPr>
        <w:t xml:space="preserve">٥.٤ شاهين ← زياد (التقارير)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ملخص مالي أسبوعي: إيرادات كل منصة + عدد المشتركين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تنبيه فوري عند كشف فروقات مالية أو مشكلة في التسوية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تقرير شهري شامل: إجمالي الإيرادات، معدل التجديد، Churn، أفضل المنتجات</w:t>
      </w:r>
    </w:p>
    <w:p>
      <w:r>
        <w:br w:type="page"/>
      </w:r>
    </w:p>
    <w:p>
      <w:pPr>
        <w:pStyle w:val="Heading1"/>
        <w:spacing w:after="200" w:before="400"/>
        <w:jc w:val="right"/>
      </w:pPr>
      <w:r>
        <w:rPr>
          <w:rFonts w:ascii="Tajawal" w:cs="Tajawal" w:eastAsia="Tajawal" w:hAnsi="Tajawal"/>
          <w:b/>
          <w:bCs/>
          <w:color w:val="1E3A5F"/>
          <w:sz w:val="28"/>
          <w:szCs w:val="28"/>
        </w:rPr>
        <w:t xml:space="preserve">٦. البنية التقنية للربط</w:t>
      </w:r>
    </w:p>
    <w:p>
      <w:pPr>
        <w:pStyle w:val="Heading2"/>
        <w:spacing w:after="150" w:before="300"/>
        <w:jc w:val="right"/>
      </w:pPr>
      <w:r>
        <w:rPr>
          <w:rFonts w:ascii="Tajawal" w:cs="Tajawal" w:eastAsia="Tajawal" w:hAnsi="Tajawal"/>
          <w:b/>
          <w:bCs/>
          <w:color w:val="2563EB"/>
          <w:sz w:val="24"/>
          <w:szCs w:val="24"/>
        </w:rPr>
        <w:t xml:space="preserve">٦.١ طبقات المنظومة</w:t>
      </w:r>
    </w:p>
    <w:p>
      <w:pPr>
        <w:spacing w:after="120"/>
        <w:jc w:val="right"/>
      </w:pPr>
      <w:r>
        <w:rPr>
          <w:rFonts w:ascii="Tajawal" w:cs="Tajawal" w:eastAsia="Tajawal" w:hAnsi="Tajawal"/>
          <w:color w:val="374151"/>
          <w:sz w:val="20"/>
          <w:szCs w:val="20"/>
        </w:rPr>
        <w:t xml:space="preserve">الطبقة ١ — المنصات: تمعّن (Next.js + Supabase) ومسخّر (منصة الكورسات والخدمات)</w:t>
      </w:r>
    </w:p>
    <w:p>
      <w:pPr>
        <w:spacing w:after="120"/>
        <w:jc w:val="right"/>
      </w:pPr>
      <w:r>
        <w:rPr>
          <w:rFonts w:ascii="Tajawal" w:cs="Tajawal" w:eastAsia="Tajawal" w:hAnsi="Tajawal"/>
          <w:color w:val="374151"/>
          <w:sz w:val="20"/>
          <w:szCs w:val="20"/>
        </w:rPr>
        <w:t xml:space="preserve">الطبقة ٢ — شاهين: الإيجنت المالي المركزي — يستقبل الأحداث ويوزّع المهام</w:t>
      </w:r>
    </w:p>
    <w:p>
      <w:pPr>
        <w:spacing w:after="120"/>
        <w:jc w:val="right"/>
      </w:pPr>
      <w:r>
        <w:rPr>
          <w:rFonts w:ascii="Tajawal" w:cs="Tajawal" w:eastAsia="Tajawal" w:hAnsi="Tajawal"/>
          <w:color w:val="374151"/>
          <w:sz w:val="20"/>
          <w:szCs w:val="20"/>
        </w:rPr>
        <w:t xml:space="preserve">الطبقة ٣ — متجر سلة: الواجهة الموحدة للعملاء — الكتالوج والدفع</w:t>
      </w:r>
    </w:p>
    <w:p>
      <w:pPr>
        <w:spacing w:after="120"/>
        <w:jc w:val="right"/>
      </w:pPr>
      <w:r>
        <w:rPr>
          <w:rFonts w:ascii="Tajawal" w:cs="Tajawal" w:eastAsia="Tajawal" w:hAnsi="Tajawal"/>
          <w:color w:val="374151"/>
          <w:sz w:val="20"/>
          <w:szCs w:val="20"/>
        </w:rPr>
        <w:t xml:space="preserve">الطبقة ٤ — بوابات الدفع: تمارا، تابي، مدى/فيزا، Apple Pay، STC Pay (مدمجة مع سلة)</w:t>
      </w:r>
    </w:p>
    <w:p>
      <w:pPr>
        <w:spacing w:after="120"/>
        <w:jc w:val="right"/>
      </w:pPr>
      <w:r>
        <w:rPr>
          <w:rFonts w:ascii="Tajawal" w:cs="Tajawal" w:eastAsia="Tajawal" w:hAnsi="Tajawal"/>
          <w:color w:val="374151"/>
          <w:sz w:val="20"/>
          <w:szCs w:val="20"/>
        </w:rPr>
        <w:t xml:space="preserve">الطبقة ٥ — المحاسبة: التسويات اليومية، الفواتير الضريبية (ZATCA)، المرتجعات</w:t>
      </w:r>
    </w:p>
    <w:p>
      <w:pPr>
        <w:spacing w:after="120"/>
        <w:jc w:val="right"/>
      </w:pPr>
      <w:r>
        <w:rPr>
          <w:rFonts w:ascii="Tajawal" w:cs="Tajawal" w:eastAsia="Tajawal" w:hAnsi="Tajawal"/>
          <w:color w:val="374151"/>
          <w:sz w:val="20"/>
          <w:szCs w:val="20"/>
        </w:rPr>
        <w:t xml:space="preserve">الطبقة ٦ — التقارير: إيرادات، اشتراكات، أداء المنتجات — يومي/أسبوعي/شهري</w:t>
      </w:r>
    </w:p>
    <w:p>
      <w:pPr>
        <w:pStyle w:val="Heading2"/>
        <w:spacing w:after="150" w:before="300"/>
        <w:jc w:val="right"/>
      </w:pPr>
      <w:r>
        <w:rPr>
          <w:rFonts w:ascii="Tajawal" w:cs="Tajawal" w:eastAsia="Tajawal" w:hAnsi="Tajawal"/>
          <w:b/>
          <w:bCs/>
          <w:color w:val="2563EB"/>
          <w:sz w:val="24"/>
          <w:szCs w:val="24"/>
        </w:rPr>
        <w:t xml:space="preserve">٦.٢ آلية الربط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Salla API: لإنشاء وتحديث المنتجات وإدارة الطلبات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Webhooks: لاستقبال أحداث الدفع والطلبات من سلة فورياً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Supabase API: للتواصل مع منصة تمعّن (تفعيل أكواد، تحديث حالات)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Inter-Agent Protocol: بروتوكول التواصل بين شاهين والإيجنتات الأخرى</w:t>
      </w:r>
    </w:p>
    <w:p>
      <w:pPr>
        <w:pStyle w:val="Heading1"/>
        <w:spacing w:after="200" w:before="400"/>
        <w:jc w:val="right"/>
      </w:pPr>
      <w:r>
        <w:rPr>
          <w:rFonts w:ascii="Tajawal" w:cs="Tajawal" w:eastAsia="Tajawal" w:hAnsi="Tajawal"/>
          <w:b/>
          <w:bCs/>
          <w:color w:val="1E3A5F"/>
          <w:sz w:val="28"/>
          <w:szCs w:val="28"/>
        </w:rPr>
        <w:t xml:space="preserve">٧. مؤشرات الأداء (KPIs)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زمن معالجة الدفع: أقل من 30 ثانية من Webhook إلى تفعيل الخدمة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دقة التسوية: 100% مطابقة بين سلة والحساب البنكي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معدل نجاح المزامنة: 99.9% من المنتجات محدّثة في سلة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معدل تجديد الاشتراكات: يُتابع شهرياً مع تحليل أسباب الإلغاء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Tajawal" w:cs="Tajawal" w:eastAsia="Tajawal" w:hAnsi="Tajawal"/>
          <w:sz w:val="20"/>
          <w:szCs w:val="20"/>
        </w:rPr>
        <w:t xml:space="preserve">زمن الاسترداد: أقل من 48 ساعة من الطلب إلى التنفيذ</w:t>
      </w:r>
    </w:p>
    <w:p>
      <w:pPr>
        <w:spacing w:before="600"/>
      </w:pPr>
    </w:p>
    <w:p>
      <w:pPr>
        <w:pBdr>
          <w:top w:val="single" w:color="D1D5DB" w:sz="2" w:space="1"/>
        </w:pBdr>
        <w:spacing w:before="200"/>
        <w:jc w:val="center"/>
      </w:pPr>
      <w:r>
        <w:rPr>
          <w:rFonts w:ascii="Tajawal" w:cs="Tajawal" w:eastAsia="Tajawal" w:hAnsi="Tajawal"/>
          <w:color w:val="9CA3AF"/>
          <w:sz w:val="18"/>
          <w:szCs w:val="18"/>
        </w:rPr>
        <w:t xml:space="preserve">نهاية الوثيقة — شاهين، الإيجنت المالي — منظومة زياد الزيادي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jawal" w:cs="Tajawal" w:eastAsia="Tajawal" w:hAnsi="Tajawal"/>
        <w:color w:val="9CA3AF"/>
        <w:sz w:val="16"/>
        <w:szCs w:val="16"/>
      </w:rPr>
      <w:t xml:space="preserve">صفحة </w:t>
    </w:r>
    <w:r>
      <w:rPr>
        <w:rFonts w:ascii="Tajawal" w:cs="Tajawal" w:eastAsia="Tajawal" w:hAnsi="Tajaw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jawal" w:cs="Tajawal" w:eastAsia="Tajawal" w:hAnsi="Tajawal"/>
        <w:color w:val="9CA3AF"/>
        <w:sz w:val="16"/>
        <w:szCs w:val="16"/>
      </w:rPr>
      <w:t xml:space="preserve">شاهين — وثيقة إدارة الأمور المالية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jawal" w:cs="Tajawal" w:eastAsia="Tajawal" w:hAnsi="Tajaw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ajawal" w:cs="Tajawal" w:eastAsia="Tajawal" w:hAnsi="Tajaw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ajawal" w:cs="Tajawal" w:eastAsia="Tajawal" w:hAnsi="Tajaw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2026-03-24T12:01:19.659Z</dcterms:created>
  <dcterms:modified xsi:type="dcterms:W3CDTF">2026-03-24T12:01:19.659Z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