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1F4D78"/>
          <w:sz w:val="50"/>
        </w:rPr>
        <w:t>DubRoom — compte rendu complet</w:t>
      </w:r>
    </w:p>
    <w:p>
      <w:pPr>
        <w:spacing w:after="320"/>
      </w:pPr>
      <w:r>
        <w:rPr>
          <w:rFonts w:ascii="Calibri" w:hAnsi="Calibri"/>
          <w:color w:val="5C6775"/>
          <w:sz w:val="26"/>
        </w:rPr>
        <w:t>Multi-Speaker, GPT R3, voix OmniVoice, synchronisation et SFX préservés</w:t>
      </w:r>
    </w:p>
    <w:tbl>
      <w:tblPr>
        <w:tblStyle w:val="TableGrid"/>
        <w:tblW w:type="dxa" w:w="9360"/>
        <w:tblLayout w:type="fixed"/>
        <w:tblLook w:firstColumn="1" w:firstRow="1" w:lastColumn="0" w:lastRow="0" w:noHBand="0" w:noVBand="1" w:val="04A0"/>
        <w:tblInd w:w="120" w:type="dxa"/>
      </w:tblPr>
      <w:tblGrid>
        <w:gridCol w:w="2700"/>
        <w:gridCol w:w="6660"/>
      </w:tblGrid>
      <w:tr>
        <w:trPr>
          <w:trHeight w:hRule="atLeast"/>
          <w:tblHeader w:val="true"/>
          <w:cantSplit/>
        </w:trPr>
        <w:tc>
          <w:tcPr>
            <w:tcW w:type="dxa" w:w="2700"/>
            <w:shd w:fill="E8EEF5"/>
            <w:vAlign w:val="center"/>
            <w:tcMar>
              <w:top w:w="80" w:type="dxa"/>
              <w:start w:w="120" w:type="dxa"/>
              <w:bottom w:w="80" w:type="dxa"/>
              <w:end w:w="120" w:type="dxa"/>
            </w:tcMar>
          </w:tcPr>
          <w:p>
            <w:pPr>
              <w:spacing w:after="0"/>
            </w:pPr>
            <w:r>
              <w:rPr>
                <w:rFonts w:ascii="Calibri" w:hAnsi="Calibri"/>
                <w:b/>
                <w:color w:val="1F4D78"/>
                <w:sz w:val="17"/>
              </w:rPr>
              <w:t>Repère</w:t>
            </w:r>
          </w:p>
        </w:tc>
        <w:tc>
          <w:tcPr>
            <w:tcW w:type="dxa" w:w="6660"/>
            <w:shd w:fill="E8EEF5"/>
            <w:vAlign w:val="center"/>
            <w:tcMar>
              <w:top w:w="80" w:type="dxa"/>
              <w:start w:w="120" w:type="dxa"/>
              <w:bottom w:w="80" w:type="dxa"/>
              <w:end w:w="120" w:type="dxa"/>
            </w:tcMar>
          </w:tcPr>
          <w:p>
            <w:pPr>
              <w:spacing w:after="0"/>
            </w:pPr>
            <w:r>
              <w:rPr>
                <w:rFonts w:ascii="Calibri" w:hAnsi="Calibri"/>
                <w:b/>
                <w:color w:val="1F4D78"/>
                <w:sz w:val="17"/>
              </w:rPr>
              <w:t>Valeur</w:t>
            </w:r>
          </w:p>
        </w:tc>
      </w:tr>
      <w:tr>
        <w:trPr>
          <w:trHeight w:hRule="atLeast"/>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F2937"/>
                <w:sz w:val="16"/>
              </w:rPr>
              <w:t>Application</w:t>
            </w:r>
          </w:p>
        </w:tc>
        <w:tc>
          <w:tcPr>
            <w:tcW w:type="dxa" w:w="6660"/>
            <w:vAlign w:val="center"/>
            <w:tcMar>
              <w:top w:w="80" w:type="dxa"/>
              <w:start w:w="120" w:type="dxa"/>
              <w:bottom w:w="80" w:type="dxa"/>
              <w:end w:w="120" w:type="dxa"/>
            </w:tcMar>
          </w:tcPr>
          <w:p>
            <w:pPr>
              <w:spacing w:after="0" w:line="252" w:lineRule="auto"/>
            </w:pPr>
            <w:r>
              <w:rPr>
                <w:rFonts w:ascii="Consolas" w:hAnsi="Consolas"/>
                <w:color w:val="1F2937"/>
                <w:sz w:val="14"/>
              </w:rPr>
              <w:t>D:\manhwa studio\anime_manga_manhua_dubbing_app</w:t>
            </w:r>
          </w:p>
        </w:tc>
      </w:tr>
      <w:tr>
        <w:trPr>
          <w:trHeight w:hRule="atLeast"/>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F2937"/>
                <w:sz w:val="16"/>
              </w:rPr>
              <w:t>Projet de référence</w:t>
            </w:r>
          </w:p>
        </w:tc>
        <w:tc>
          <w:tcPr>
            <w:tcW w:type="dxa" w:w="6660"/>
            <w:vAlign w:val="center"/>
            <w:tcMar>
              <w:top w:w="80" w:type="dxa"/>
              <w:start w:w="120" w:type="dxa"/>
              <w:bottom w:w="80" w:type="dxa"/>
              <w:end w:w="120" w:type="dxa"/>
            </w:tcMar>
          </w:tcPr>
          <w:p>
            <w:pPr>
              <w:spacing w:after="0" w:line="252" w:lineRule="auto"/>
            </w:pPr>
            <w:r>
              <w:rPr>
                <w:rFonts w:ascii="Consolas" w:hAnsi="Consolas"/>
                <w:color w:val="1F2937"/>
                <w:sz w:val="14"/>
              </w:rPr>
              <w:t>sss-first-15min-v3 — test réel d’environ 15 minutes</w:t>
            </w:r>
          </w:p>
        </w:tc>
      </w:tr>
      <w:tr>
        <w:trPr>
          <w:trHeight w:hRule="atLeast"/>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F2937"/>
                <w:sz w:val="16"/>
              </w:rPr>
              <w:t>Révision GPT active</w:t>
            </w:r>
          </w:p>
        </w:tc>
        <w:tc>
          <w:tcPr>
            <w:tcW w:type="dxa" w:w="6660"/>
            <w:vAlign w:val="center"/>
            <w:tcMar>
              <w:top w:w="80" w:type="dxa"/>
              <w:start w:w="120" w:type="dxa"/>
              <w:bottom w:w="80" w:type="dxa"/>
              <w:end w:w="120" w:type="dxa"/>
            </w:tcMar>
          </w:tcPr>
          <w:p>
            <w:pPr>
              <w:spacing w:after="0" w:line="252" w:lineRule="auto"/>
            </w:pPr>
            <w:r>
              <w:rPr>
                <w:rFonts w:ascii="Consolas" w:hAnsi="Consolas"/>
                <w:color w:val="1F2937"/>
                <w:sz w:val="14"/>
              </w:rPr>
              <w:t>narrator-speaker-sfx-safe-20260809-r3</w:t>
            </w:r>
          </w:p>
        </w:tc>
      </w:tr>
      <w:tr>
        <w:trPr>
          <w:trHeight w:hRule="atLeast"/>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F2937"/>
                <w:sz w:val="16"/>
              </w:rPr>
              <w:t>État</w:t>
            </w:r>
          </w:p>
        </w:tc>
        <w:tc>
          <w:tcPr>
            <w:tcW w:type="dxa" w:w="6660"/>
            <w:vAlign w:val="center"/>
            <w:tcMar>
              <w:top w:w="80" w:type="dxa"/>
              <w:start w:w="120" w:type="dxa"/>
              <w:bottom w:w="80" w:type="dxa"/>
              <w:end w:w="120" w:type="dxa"/>
            </w:tcMar>
          </w:tcPr>
          <w:p>
            <w:pPr>
              <w:spacing w:after="0" w:line="252" w:lineRule="auto"/>
            </w:pPr>
            <w:r>
              <w:rPr>
                <w:rFonts w:ascii="Consolas" w:hAnsi="Consolas"/>
                <w:color w:val="1F2937"/>
                <w:sz w:val="14"/>
              </w:rPr>
              <w:t>Fonctions intégrées et tests locaux réussis ; nouveau script GPT à régénérer</w:t>
            </w:r>
          </w:p>
        </w:tc>
      </w:tr>
    </w:tbl>
    <w:p>
      <w:pPr>
        <w:spacing w:after="0"/>
      </w:pPr>
    </w:p>
    <w:p>
      <w:pPr>
        <w:pStyle w:val="Heading1"/>
      </w:pPr>
      <w:r>
        <w:t>Résumé exécutif</w:t>
      </w:r>
    </w:p>
    <w:tbl>
      <w:tblPr>
        <w:tblStyle w:val="TableGrid"/>
        <w:tblW w:type="dxa" w:w="9360"/>
        <w:tblLayout w:type="fixed"/>
        <w:tblLook w:firstColumn="1" w:firstRow="1" w:lastColumn="0" w:lastRow="0" w:noHBand="0" w:noVBand="1" w:val="04A0"/>
        <w:tblInd w:w="120" w:type="dxa"/>
      </w:tblPr>
      <w:tblGrid>
        <w:gridCol w:w="9360"/>
      </w:tblGrid>
      <w:tr>
        <w:trPr>
          <w:trHeight w:hRule="atLeast"/>
          <w:tblHeader w:val="true"/>
          <w:cantSplit/>
        </w:trPr>
        <w:tc>
          <w:tcPr>
            <w:tcW w:type="dxa" w:w="9360"/>
            <w:shd w:fill="E7F4EA"/>
            <w:vAlign w:val="center"/>
            <w:tcMar>
              <w:top w:w="80" w:type="dxa"/>
              <w:start w:w="120" w:type="dxa"/>
              <w:bottom w:w="80" w:type="dxa"/>
              <w:end w:w="120" w:type="dxa"/>
            </w:tcMar>
          </w:tcPr>
          <w:p>
            <w:pPr>
              <w:spacing w:after="60"/>
            </w:pPr>
            <w:r>
              <w:rPr>
                <w:rFonts w:ascii="Calibri" w:hAnsi="Calibri"/>
                <w:b/>
                <w:color w:val="1F4D78"/>
                <w:sz w:val="21"/>
              </w:rPr>
              <w:t>Résultat</w:t>
            </w:r>
          </w:p>
          <w:p>
            <w:pPr>
              <w:spacing w:after="0" w:line="276" w:lineRule="auto"/>
            </w:pPr>
            <w:r>
              <w:t>Le parcours principal peut maintenant être piloté depuis DubRoom : choix Normal ou Multi-Speaker, analyse audio, transcription chinoise spécialisée, indices de locuteur, export du Kit GPT, validation du JSON réimporté, casting des voix, génération OmniVoice sur CUDA, synchronisation et export avec musique/SFX conservés.</w:t>
            </w:r>
          </w:p>
        </w:tc>
      </w:tr>
    </w:tbl>
    <w:p>
      <w:pPr>
        <w:spacing w:after="0"/>
      </w:pPr>
    </w:p>
    <w:p>
      <w:pPr>
        <w:numPr>
          <w:ilvl w:val="0"/>
          <w:numId w:val="10"/>
        </w:numPr>
        <w:spacing w:after="80" w:line="300" w:lineRule="auto"/>
      </w:pPr>
      <w:r>
        <w:t>Le mode Normal reste sur le manifeste V2 ; le mode Multi-Speaker utilise exclusivement le manifeste V3.</w:t>
      </w:r>
    </w:p>
    <w:p>
      <w:pPr>
        <w:numPr>
          <w:ilvl w:val="0"/>
          <w:numId w:val="10"/>
        </w:numPr>
        <w:spacing w:after="80" w:line="300" w:lineRule="auto"/>
      </w:pPr>
      <w:r>
        <w:t>Le GPT devient le résolveur central des personnages grâce au texte, au contexte et aux indices acoustiques, sans transformer chaque changement de timbre en nouveau personnage.</w:t>
      </w:r>
    </w:p>
    <w:p>
      <w:pPr>
        <w:numPr>
          <w:ilvl w:val="0"/>
          <w:numId w:val="10"/>
        </w:numPr>
        <w:spacing w:after="80" w:line="300" w:lineRule="auto"/>
      </w:pPr>
      <w:r>
        <w:t>Le mix final conserve désormais le lit d’ambiance même lorsque l’ancienne voix d’origine est coupée.</w:t>
      </w:r>
    </w:p>
    <w:p>
      <w:pPr>
        <w:numPr>
          <w:ilvl w:val="0"/>
          <w:numId w:val="10"/>
        </w:numPr>
        <w:spacing w:after="80" w:line="300" w:lineRule="auto"/>
      </w:pPr>
      <w:r>
        <w:t>Le nouveau prompt GPT impose les personnages stables, les émotions et événements OmniVoice, les sections de locuteurs et un fichier JSON téléchargeable.</w:t>
      </w:r>
    </w:p>
    <w:p>
      <w:r>
        <w:br w:type="page"/>
      </w:r>
    </w:p>
    <w:p>
      <w:pPr>
        <w:pStyle w:val="Heading1"/>
      </w:pPr>
      <w:r>
        <w:t>1. Parcours désormais disponible dans l’application</w:t>
      </w:r>
    </w:p>
    <w:p>
      <w:pPr>
        <w:pStyle w:val="Heading2"/>
      </w:pPr>
      <w:r>
        <w:t>Mode Normal — une seule voix</w:t>
      </w:r>
    </w:p>
    <w:p>
      <w:pPr>
        <w:numPr>
          <w:ilvl w:val="0"/>
          <w:numId w:val="11"/>
        </w:numPr>
        <w:spacing w:after="80" w:line="300" w:lineRule="auto"/>
      </w:pPr>
      <w:r>
        <w:t>Créer le projet et choisir Normal.</w:t>
      </w:r>
    </w:p>
    <w:p>
      <w:pPr>
        <w:numPr>
          <w:ilvl w:val="0"/>
          <w:numId w:val="11"/>
        </w:numPr>
        <w:spacing w:after="80" w:line="300" w:lineRule="auto"/>
      </w:pPr>
      <w:r>
        <w:t>Analyser/transcrire la source, puis préparer le Kit GPT au format V2.</w:t>
      </w:r>
    </w:p>
    <w:p>
      <w:pPr>
        <w:numPr>
          <w:ilvl w:val="0"/>
          <w:numId w:val="11"/>
        </w:numPr>
        <w:spacing w:after="80" w:line="300" w:lineRule="auto"/>
      </w:pPr>
      <w:r>
        <w:t>Réimporter la traduction, choisir une voix unique, générer, synchroniser et exporter.</w:t>
      </w:r>
    </w:p>
    <w:p>
      <w:pPr>
        <w:pStyle w:val="Heading2"/>
      </w:pPr>
      <w:r>
        <w:t>Mode Multi-Speaker — narrateur et personnages</w:t>
      </w:r>
    </w:p>
    <w:p>
      <w:pPr>
        <w:numPr>
          <w:ilvl w:val="0"/>
          <w:numId w:val="11"/>
        </w:numPr>
        <w:spacing w:after="80" w:line="300" w:lineRule="auto"/>
      </w:pPr>
      <w:r>
        <w:t>Créer le projet et choisir Multi-Speaker dès le départ.</w:t>
      </w:r>
    </w:p>
    <w:p>
      <w:pPr>
        <w:numPr>
          <w:ilvl w:val="0"/>
          <w:numId w:val="11"/>
        </w:numPr>
        <w:spacing w:after="80" w:line="300" w:lineRule="auto"/>
      </w:pPr>
      <w:r>
        <w:t>Préserver l’audio et transcrire le chinois avec FunASR Paraformer-zh lorsque la langue le demande.</w:t>
      </w:r>
    </w:p>
    <w:p>
      <w:pPr>
        <w:numPr>
          <w:ilvl w:val="0"/>
          <w:numId w:val="11"/>
        </w:numPr>
        <w:spacing w:after="80" w:line="300" w:lineRule="auto"/>
      </w:pPr>
      <w:r>
        <w:t>Produire les indices techniques de changement de voix ; ils restent des indices, jamais l’identité finale.</w:t>
      </w:r>
    </w:p>
    <w:p>
      <w:pPr>
        <w:numPr>
          <w:ilvl w:val="0"/>
          <w:numId w:val="11"/>
        </w:numPr>
        <w:spacing w:after="80" w:line="300" w:lineRule="auto"/>
      </w:pPr>
      <w:r>
        <w:t>Exporter le Kit GPT V3. Le GPT traduit et résout les personnages par section avec le contexte narratif.</w:t>
      </w:r>
    </w:p>
    <w:p>
      <w:pPr>
        <w:numPr>
          <w:ilvl w:val="0"/>
          <w:numId w:val="11"/>
        </w:numPr>
        <w:spacing w:after="80" w:line="300" w:lineRule="auto"/>
      </w:pPr>
      <w:r>
        <w:t>Réimporter le JSON. DubRoom bloque un manifeste incomplet ou incohérent avant qu’il ne contamine le casting.</w:t>
      </w:r>
    </w:p>
    <w:p>
      <w:pPr>
        <w:numPr>
          <w:ilvl w:val="0"/>
          <w:numId w:val="11"/>
        </w:numPr>
        <w:spacing w:after="80" w:line="300" w:lineRule="auto"/>
      </w:pPr>
      <w:r>
        <w:t>Attribuer/cloner les voix dans la bibliothèque, générer les unités vocales avec émotions, synchroniser et exporter.</w:t>
      </w:r>
    </w:p>
    <w:tbl>
      <w:tblPr>
        <w:tblStyle w:val="TableGrid"/>
        <w:tblW w:type="dxa" w:w="9360"/>
        <w:tblLayout w:type="fixed"/>
        <w:tblLook w:firstColumn="1" w:firstRow="1" w:lastColumn="0" w:lastRow="0" w:noHBand="0" w:noVBand="1" w:val="04A0"/>
        <w:tblInd w:w="120" w:type="dxa"/>
      </w:tblPr>
      <w:tblGrid>
        <w:gridCol w:w="9360"/>
      </w:tblGrid>
      <w:tr>
        <w:trPr>
          <w:trHeight w:hRule="atLeast"/>
          <w:tblHeader w:val="true"/>
          <w:cantSplit/>
        </w:trPr>
        <w:tc>
          <w:tcPr>
            <w:tcW w:type="dxa" w:w="9360"/>
            <w:shd w:fill="E8EEF5"/>
            <w:vAlign w:val="center"/>
            <w:tcMar>
              <w:top w:w="80" w:type="dxa"/>
              <w:start w:w="120" w:type="dxa"/>
              <w:bottom w:w="80" w:type="dxa"/>
              <w:end w:w="120" w:type="dxa"/>
            </w:tcMar>
          </w:tcPr>
          <w:p>
            <w:pPr>
              <w:spacing w:after="60"/>
            </w:pPr>
            <w:r>
              <w:rPr>
                <w:rFonts w:ascii="Calibri" w:hAnsi="Calibri"/>
                <w:b/>
                <w:color w:val="1F4D78"/>
                <w:sz w:val="21"/>
              </w:rPr>
              <w:t>Règle narrative active</w:t>
            </w:r>
          </w:p>
          <w:p>
            <w:pPr>
              <w:spacing w:after="0" w:line="276" w:lineRule="auto"/>
            </w:pPr>
            <w:r>
              <w:t>NARRATOR raconte et complète les temps morts autorisés. MC possède sa propre voix lorsqu’il parle réellement ; les pensées privées peuvent rester MC/inner_monologue. Les autres personnages conservent chacun leur propre voice_key stable.</w:t>
            </w:r>
          </w:p>
        </w:tc>
      </w:tr>
    </w:tbl>
    <w:p>
      <w:pPr>
        <w:spacing w:after="0"/>
      </w:pPr>
    </w:p>
    <w:p>
      <w:pPr>
        <w:pStyle w:val="Heading1"/>
      </w:pPr>
      <w:r>
        <w:t>2. Nouveau contrat GPT R3</w:t>
      </w:r>
    </w:p>
    <w:tbl>
      <w:tblPr>
        <w:tblStyle w:val="TableGrid"/>
        <w:tblW w:type="dxa" w:w="9360"/>
        <w:tblLayout w:type="fixed"/>
        <w:tblLook w:firstColumn="1" w:firstRow="1" w:lastColumn="0" w:lastRow="0" w:noHBand="0" w:noVBand="1" w:val="04A0"/>
        <w:tblInd w:w="120" w:type="dxa"/>
      </w:tblPr>
      <w:tblGrid>
        <w:gridCol w:w="2350"/>
        <w:gridCol w:w="7010"/>
      </w:tblGrid>
      <w:tr>
        <w:trPr>
          <w:trHeight w:hRule="atLeast"/>
          <w:tblHeader w:val="true"/>
          <w:cantSplit/>
        </w:trPr>
        <w:tc>
          <w:tcPr>
            <w:tcW w:type="dxa" w:w="2350"/>
            <w:shd w:fill="E8EEF5"/>
            <w:vAlign w:val="center"/>
            <w:tcMar>
              <w:top w:w="80" w:type="dxa"/>
              <w:start w:w="120" w:type="dxa"/>
              <w:bottom w:w="80" w:type="dxa"/>
              <w:end w:w="120" w:type="dxa"/>
            </w:tcMar>
          </w:tcPr>
          <w:p>
            <w:pPr>
              <w:spacing w:after="0"/>
            </w:pPr>
            <w:r>
              <w:rPr>
                <w:rFonts w:ascii="Calibri" w:hAnsi="Calibri"/>
                <w:b/>
                <w:color w:val="1F4D78"/>
                <w:sz w:val="17"/>
              </w:rPr>
              <w:t>Contrôle</w:t>
            </w:r>
          </w:p>
        </w:tc>
        <w:tc>
          <w:tcPr>
            <w:tcW w:type="dxa" w:w="7010"/>
            <w:shd w:fill="E8EEF5"/>
            <w:vAlign w:val="center"/>
            <w:tcMar>
              <w:top w:w="80" w:type="dxa"/>
              <w:start w:w="120" w:type="dxa"/>
              <w:bottom w:w="80" w:type="dxa"/>
              <w:end w:w="120" w:type="dxa"/>
            </w:tcMar>
          </w:tcPr>
          <w:p>
            <w:pPr>
              <w:spacing w:after="0"/>
            </w:pPr>
            <w:r>
              <w:rPr>
                <w:rFonts w:ascii="Calibri" w:hAnsi="Calibri"/>
                <w:b/>
                <w:color w:val="1F4D78"/>
                <w:sz w:val="17"/>
              </w:rPr>
              <w:t>Règle active</w:t>
            </w:r>
          </w:p>
        </w:tc>
      </w:tr>
      <w:tr>
        <w:trPr>
          <w:trHeight w:hRule="atLeast"/>
          <w:cantSplit/>
        </w:trPr>
        <w:tc>
          <w:tcPr>
            <w:tcW w:type="dxa" w:w="2350"/>
            <w:vAlign w:val="center"/>
            <w:tcMar>
              <w:top w:w="80" w:type="dxa"/>
              <w:start w:w="120" w:type="dxa"/>
              <w:bottom w:w="80" w:type="dxa"/>
              <w:end w:w="120" w:type="dxa"/>
            </w:tcMar>
          </w:tcPr>
          <w:p>
            <w:pPr>
              <w:spacing w:after="0" w:line="252" w:lineRule="auto"/>
            </w:pPr>
            <w:r>
              <w:rPr>
                <w:rFonts w:ascii="Calibri" w:hAnsi="Calibri"/>
                <w:color w:val="1F2937"/>
                <w:sz w:val="16"/>
              </w:rPr>
              <w:t>Sortie</w:t>
            </w:r>
          </w:p>
        </w:tc>
        <w:tc>
          <w:tcPr>
            <w:tcW w:type="dxa" w:w="7010"/>
            <w:vAlign w:val="center"/>
            <w:tcMar>
              <w:top w:w="80" w:type="dxa"/>
              <w:start w:w="120" w:type="dxa"/>
              <w:bottom w:w="80" w:type="dxa"/>
              <w:end w:w="120" w:type="dxa"/>
            </w:tcMar>
          </w:tcPr>
          <w:p>
            <w:pPr>
              <w:spacing w:after="0" w:line="252" w:lineRule="auto"/>
            </w:pPr>
            <w:r>
              <w:rPr>
                <w:rFonts w:ascii="Calibri" w:hAnsi="Calibri"/>
                <w:color w:val="1F2937"/>
                <w:sz w:val="16"/>
              </w:rPr>
              <w:t>Fichier JSON téléchargeable &lt;project_id&gt;-completed-v3.json ; texte brut .txt accepté seulement en secours.</w:t>
            </w:r>
          </w:p>
        </w:tc>
      </w:tr>
      <w:tr>
        <w:trPr>
          <w:trHeight w:hRule="atLeast"/>
          <w:cantSplit/>
        </w:trPr>
        <w:tc>
          <w:tcPr>
            <w:tcW w:type="dxa" w:w="2350"/>
            <w:vAlign w:val="center"/>
            <w:tcMar>
              <w:top w:w="80" w:type="dxa"/>
              <w:start w:w="120" w:type="dxa"/>
              <w:bottom w:w="80" w:type="dxa"/>
              <w:end w:w="120" w:type="dxa"/>
            </w:tcMar>
          </w:tcPr>
          <w:p>
            <w:pPr>
              <w:spacing w:after="0" w:line="252" w:lineRule="auto"/>
            </w:pPr>
            <w:r>
              <w:rPr>
                <w:rFonts w:ascii="Calibri" w:hAnsi="Calibri"/>
                <w:color w:val="1F2937"/>
                <w:sz w:val="16"/>
              </w:rPr>
              <w:t>Personnages</w:t>
            </w:r>
          </w:p>
        </w:tc>
        <w:tc>
          <w:tcPr>
            <w:tcW w:type="dxa" w:w="7010"/>
            <w:vAlign w:val="center"/>
            <w:tcMar>
              <w:top w:w="80" w:type="dxa"/>
              <w:start w:w="120" w:type="dxa"/>
              <w:bottom w:w="80" w:type="dxa"/>
              <w:end w:w="120" w:type="dxa"/>
            </w:tcMar>
          </w:tcPr>
          <w:p>
            <w:pPr>
              <w:spacing w:after="0" w:line="252" w:lineRule="auto"/>
            </w:pPr>
            <w:r>
              <w:rPr>
                <w:rFonts w:ascii="Calibri" w:hAnsi="Calibri"/>
                <w:color w:val="1F2937"/>
                <w:sz w:val="16"/>
              </w:rPr>
              <w:t>Registre stable par section : speaker_id, voice_key, sexe vocal, tranche d’âge, rôle et confiance.</w:t>
            </w:r>
          </w:p>
        </w:tc>
      </w:tr>
      <w:tr>
        <w:trPr>
          <w:trHeight w:hRule="atLeast"/>
          <w:cantSplit/>
        </w:trPr>
        <w:tc>
          <w:tcPr>
            <w:tcW w:type="dxa" w:w="2350"/>
            <w:vAlign w:val="center"/>
            <w:tcMar>
              <w:top w:w="80" w:type="dxa"/>
              <w:start w:w="120" w:type="dxa"/>
              <w:bottom w:w="80" w:type="dxa"/>
              <w:end w:w="120" w:type="dxa"/>
            </w:tcMar>
          </w:tcPr>
          <w:p>
            <w:pPr>
              <w:spacing w:after="0" w:line="252" w:lineRule="auto"/>
            </w:pPr>
            <w:r>
              <w:rPr>
                <w:rFonts w:ascii="Calibri" w:hAnsi="Calibri"/>
                <w:color w:val="1F2937"/>
                <w:sz w:val="16"/>
              </w:rPr>
              <w:t>Narrateur</w:t>
            </w:r>
          </w:p>
        </w:tc>
        <w:tc>
          <w:tcPr>
            <w:tcW w:type="dxa" w:w="7010"/>
            <w:vAlign w:val="center"/>
            <w:tcMar>
              <w:top w:w="80" w:type="dxa"/>
              <w:start w:w="120" w:type="dxa"/>
              <w:bottom w:w="80" w:type="dxa"/>
              <w:end w:w="120" w:type="dxa"/>
            </w:tcMar>
          </w:tcPr>
          <w:p>
            <w:pPr>
              <w:spacing w:after="0" w:line="252" w:lineRule="auto"/>
            </w:pPr>
            <w:r>
              <w:rPr>
                <w:rFonts w:ascii="Calibri" w:hAnsi="Calibri"/>
                <w:color w:val="1F2937"/>
                <w:sz w:val="16"/>
              </w:rPr>
              <w:t>N’utilise que narration/bridge ; ne vole pas les répliques prouvées du MC ou des autres personnages.</w:t>
            </w:r>
          </w:p>
        </w:tc>
      </w:tr>
      <w:tr>
        <w:trPr>
          <w:trHeight w:hRule="atLeast"/>
          <w:cantSplit/>
        </w:trPr>
        <w:tc>
          <w:tcPr>
            <w:tcW w:type="dxa" w:w="2350"/>
            <w:vAlign w:val="center"/>
            <w:tcMar>
              <w:top w:w="80" w:type="dxa"/>
              <w:start w:w="120" w:type="dxa"/>
              <w:bottom w:w="80" w:type="dxa"/>
              <w:end w:w="120" w:type="dxa"/>
            </w:tcMar>
          </w:tcPr>
          <w:p>
            <w:pPr>
              <w:spacing w:after="0" w:line="252" w:lineRule="auto"/>
            </w:pPr>
            <w:r>
              <w:rPr>
                <w:rFonts w:ascii="Calibri" w:hAnsi="Calibri"/>
                <w:color w:val="1F2937"/>
                <w:sz w:val="16"/>
              </w:rPr>
              <w:t>Unités</w:t>
            </w:r>
          </w:p>
        </w:tc>
        <w:tc>
          <w:tcPr>
            <w:tcW w:type="dxa" w:w="7010"/>
            <w:vAlign w:val="center"/>
            <w:tcMar>
              <w:top w:w="80" w:type="dxa"/>
              <w:start w:w="120" w:type="dxa"/>
              <w:bottom w:w="80" w:type="dxa"/>
              <w:end w:w="120" w:type="dxa"/>
            </w:tcMar>
          </w:tcPr>
          <w:p>
            <w:pPr>
              <w:spacing w:after="0" w:line="252" w:lineRule="auto"/>
            </w:pPr>
            <w:r>
              <w:rPr>
                <w:rFonts w:ascii="Calibri" w:hAnsi="Calibri"/>
                <w:color w:val="1F2937"/>
                <w:sz w:val="16"/>
              </w:rPr>
              <w:t>IDs séquentiels &lt;segment&gt;-u01, ordre strict, pas de fragment pendant ou isolé.</w:t>
            </w:r>
          </w:p>
        </w:tc>
      </w:tr>
      <w:tr>
        <w:trPr>
          <w:trHeight w:hRule="atLeast"/>
          <w:cantSplit/>
        </w:trPr>
        <w:tc>
          <w:tcPr>
            <w:tcW w:type="dxa" w:w="2350"/>
            <w:vAlign w:val="center"/>
            <w:tcMar>
              <w:top w:w="80" w:type="dxa"/>
              <w:start w:w="120" w:type="dxa"/>
              <w:bottom w:w="80" w:type="dxa"/>
              <w:end w:w="120" w:type="dxa"/>
            </w:tcMar>
          </w:tcPr>
          <w:p>
            <w:pPr>
              <w:spacing w:after="0" w:line="252" w:lineRule="auto"/>
            </w:pPr>
            <w:r>
              <w:rPr>
                <w:rFonts w:ascii="Calibri" w:hAnsi="Calibri"/>
                <w:color w:val="1F2937"/>
                <w:sz w:val="16"/>
              </w:rPr>
              <w:t>OmniVoice</w:t>
            </w:r>
          </w:p>
        </w:tc>
        <w:tc>
          <w:tcPr>
            <w:tcW w:type="dxa" w:w="7010"/>
            <w:vAlign w:val="center"/>
            <w:tcMar>
              <w:top w:w="80" w:type="dxa"/>
              <w:start w:w="120" w:type="dxa"/>
              <w:bottom w:w="80" w:type="dxa"/>
              <w:end w:w="120" w:type="dxa"/>
            </w:tcMar>
          </w:tcPr>
          <w:p>
            <w:pPr>
              <w:spacing w:after="0" w:line="252" w:lineRule="auto"/>
            </w:pPr>
            <w:r>
              <w:rPr>
                <w:rFonts w:ascii="Calibri" w:hAnsi="Calibri"/>
                <w:color w:val="1F2937"/>
                <w:sz w:val="16"/>
              </w:rPr>
              <w:t>Emotion + événements contextuels tels que [laugh], [sigh], [gasp], [cry], [whisper].</w:t>
            </w:r>
          </w:p>
        </w:tc>
      </w:tr>
      <w:tr>
        <w:trPr>
          <w:trHeight w:hRule="atLeast"/>
          <w:cantSplit/>
        </w:trPr>
        <w:tc>
          <w:tcPr>
            <w:tcW w:type="dxa" w:w="2350"/>
            <w:vAlign w:val="center"/>
            <w:tcMar>
              <w:top w:w="80" w:type="dxa"/>
              <w:start w:w="120" w:type="dxa"/>
              <w:bottom w:w="80" w:type="dxa"/>
              <w:end w:w="120" w:type="dxa"/>
            </w:tcMar>
          </w:tcPr>
          <w:p>
            <w:pPr>
              <w:spacing w:after="0" w:line="252" w:lineRule="auto"/>
            </w:pPr>
            <w:r>
              <w:rPr>
                <w:rFonts w:ascii="Calibri" w:hAnsi="Calibri"/>
                <w:color w:val="1F2937"/>
                <w:sz w:val="16"/>
              </w:rPr>
              <w:t>SFX</w:t>
            </w:r>
          </w:p>
        </w:tc>
        <w:tc>
          <w:tcPr>
            <w:tcW w:type="dxa" w:w="7010"/>
            <w:vAlign w:val="center"/>
            <w:tcMar>
              <w:top w:w="80" w:type="dxa"/>
              <w:start w:w="120" w:type="dxa"/>
              <w:bottom w:w="80" w:type="dxa"/>
              <w:end w:w="120" w:type="dxa"/>
            </w:tcMar>
          </w:tcPr>
          <w:p>
            <w:pPr>
              <w:spacing w:after="0" w:line="252" w:lineRule="auto"/>
            </w:pPr>
            <w:r>
              <w:rPr>
                <w:rFonts w:ascii="Calibri" w:hAnsi="Calibri"/>
                <w:color w:val="1F2937"/>
                <w:sz w:val="16"/>
              </w:rPr>
              <w:t>Pont narrateur autorisé uniquement quand available=true et sfx_safe=true.</w:t>
            </w:r>
          </w:p>
        </w:tc>
      </w:tr>
      <w:tr>
        <w:trPr>
          <w:trHeight w:hRule="atLeast"/>
          <w:cantSplit/>
        </w:trPr>
        <w:tc>
          <w:tcPr>
            <w:tcW w:type="dxa" w:w="2350"/>
            <w:vAlign w:val="center"/>
            <w:tcMar>
              <w:top w:w="80" w:type="dxa"/>
              <w:start w:w="120" w:type="dxa"/>
              <w:bottom w:w="80" w:type="dxa"/>
              <w:end w:w="120" w:type="dxa"/>
            </w:tcMar>
          </w:tcPr>
          <w:p>
            <w:pPr>
              <w:spacing w:after="0" w:line="252" w:lineRule="auto"/>
            </w:pPr>
            <w:r>
              <w:rPr>
                <w:rFonts w:ascii="Calibri" w:hAnsi="Calibri"/>
                <w:color w:val="1F2937"/>
                <w:sz w:val="16"/>
              </w:rPr>
              <w:t>Validation</w:t>
            </w:r>
          </w:p>
        </w:tc>
        <w:tc>
          <w:tcPr>
            <w:tcW w:type="dxa" w:w="7010"/>
            <w:vAlign w:val="center"/>
            <w:tcMar>
              <w:top w:w="80" w:type="dxa"/>
              <w:start w:w="120" w:type="dxa"/>
              <w:bottom w:w="80" w:type="dxa"/>
              <w:end w:w="120" w:type="dxa"/>
            </w:tcMar>
          </w:tcPr>
          <w:p>
            <w:pPr>
              <w:spacing w:after="0" w:line="252" w:lineRule="auto"/>
            </w:pPr>
            <w:r>
              <w:rPr>
                <w:rFonts w:ascii="Calibri" w:hAnsi="Calibri"/>
                <w:color w:val="1F2937"/>
                <w:sz w:val="16"/>
              </w:rPr>
              <w:t>Le GPT doit vérifier programmatiquement le JSON avant de fournir le fichier.</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rPr>
          <w:trHeight w:hRule="atLeast"/>
          <w:tblHeader w:val="true"/>
          <w:cantSplit/>
        </w:trPr>
        <w:tc>
          <w:tcPr>
            <w:tcW w:type="dxa" w:w="9360"/>
            <w:shd w:fill="E7F4EA"/>
            <w:vAlign w:val="center"/>
            <w:tcMar>
              <w:top w:w="80" w:type="dxa"/>
              <w:start w:w="120" w:type="dxa"/>
              <w:bottom w:w="80" w:type="dxa"/>
              <w:end w:w="120" w:type="dxa"/>
            </w:tcMar>
          </w:tcPr>
          <w:p>
            <w:pPr>
              <w:spacing w:after="60"/>
            </w:pPr>
            <w:r>
              <w:rPr>
                <w:rFonts w:ascii="Calibri" w:hAnsi="Calibri"/>
                <w:b/>
                <w:color w:val="1F4D78"/>
                <w:sz w:val="21"/>
              </w:rPr>
              <w:t>Limite respectée</w:t>
            </w:r>
          </w:p>
          <w:p>
            <w:pPr>
              <w:spacing w:after="0" w:line="276" w:lineRule="auto"/>
            </w:pPr>
            <w:r>
              <w:t>Le fichier d’instructions actif contient 7 550 caractères, donc reste sous la limite de 8 000 caractères demandée.</w:t>
            </w:r>
          </w:p>
        </w:tc>
      </w:tr>
    </w:tbl>
    <w:p>
      <w:pPr>
        <w:spacing w:after="0"/>
      </w:pPr>
    </w:p>
    <w:p>
      <w:r>
        <w:br w:type="page"/>
      </w:r>
    </w:p>
    <w:p>
      <w:pPr>
        <w:pStyle w:val="Heading1"/>
      </w:pPr>
      <w:r>
        <w:t>3. Import, casting et bibliothèque vocale</w:t>
      </w:r>
    </w:p>
    <w:p>
      <w:pPr>
        <w:numPr>
          <w:ilvl w:val="0"/>
          <w:numId w:val="10"/>
        </w:numPr>
        <w:spacing w:after="80" w:line="300" w:lineRule="auto"/>
      </w:pPr>
      <w:r>
        <w:t>Le parseur accepte un vrai .json, un JSON brut enregistré en .txt et un bloc ```json ...``` copié depuis ChatGPT.</w:t>
      </w:r>
    </w:p>
    <w:p>
      <w:pPr>
        <w:numPr>
          <w:ilvl w:val="0"/>
          <w:numId w:val="10"/>
        </w:numPr>
        <w:spacing w:after="80" w:line="300" w:lineRule="auto"/>
      </w:pPr>
      <w:r>
        <w:t>La prévisualisation signale les personnages invalides, unités désordonnées, émotions inconnues, bridges dangereux, sections incomplètes, registre manquant et ancienne révision de prompt.</w:t>
      </w:r>
    </w:p>
    <w:p>
      <w:pPr>
        <w:numPr>
          <w:ilvl w:val="0"/>
          <w:numId w:val="10"/>
        </w:numPr>
        <w:spacing w:after="80" w:line="300" w:lineRule="auto"/>
      </w:pPr>
      <w:r>
        <w:t>Un projet Multi-Speaker exige maintenant un manifeste complet avant import définitif.</w:t>
      </w:r>
    </w:p>
    <w:p>
      <w:pPr>
        <w:numPr>
          <w:ilvl w:val="0"/>
          <w:numId w:val="10"/>
        </w:numPr>
        <w:spacing w:after="80" w:line="300" w:lineRule="auto"/>
      </w:pPr>
      <w:r>
        <w:t>La bibliothèque classe les profils par moteur, langue, sexe vocal, tranche d’âge, rôle narratif et usage préféré (MC, héroïne principale, antagoniste, narrateur ou secondaire).</w:t>
      </w:r>
    </w:p>
    <w:p>
      <w:pPr>
        <w:numPr>
          <w:ilvl w:val="0"/>
          <w:numId w:val="10"/>
        </w:numPr>
        <w:spacing w:after="80" w:line="300" w:lineRule="auto"/>
      </w:pPr>
      <w:r>
        <w:t>OmniVoice sert au Multi-Speaker et prend en charge clonage, voice design, enregistrement et événements expressifs ; les autres moteurs restent classés comme alternatives ou Single-Speaker selon leurs capacités.</w:t>
      </w:r>
    </w:p>
    <w:tbl>
      <w:tblPr>
        <w:tblStyle w:val="TableGrid"/>
        <w:tblW w:type="dxa" w:w="9360"/>
        <w:tblLayout w:type="fixed"/>
        <w:tblLook w:firstColumn="1" w:firstRow="1" w:lastColumn="0" w:lastRow="0" w:noHBand="0" w:noVBand="1" w:val="04A0"/>
        <w:tblInd w:w="120" w:type="dxa"/>
      </w:tblPr>
      <w:tblGrid>
        <w:gridCol w:w="9360"/>
      </w:tblGrid>
      <w:tr>
        <w:trPr>
          <w:trHeight w:hRule="atLeast"/>
          <w:tblHeader w:val="true"/>
          <w:cantSplit/>
        </w:trPr>
        <w:tc>
          <w:tcPr>
            <w:tcW w:type="dxa" w:w="9360"/>
            <w:shd w:fill="E7F4EA"/>
            <w:vAlign w:val="center"/>
            <w:tcMar>
              <w:top w:w="80" w:type="dxa"/>
              <w:start w:w="120" w:type="dxa"/>
              <w:bottom w:w="80" w:type="dxa"/>
              <w:end w:w="120" w:type="dxa"/>
            </w:tcMar>
          </w:tcPr>
          <w:p>
            <w:pPr>
              <w:spacing w:after="60"/>
            </w:pPr>
            <w:r>
              <w:rPr>
                <w:rFonts w:ascii="Calibri" w:hAnsi="Calibri"/>
                <w:b/>
                <w:color w:val="1F4D78"/>
                <w:sz w:val="21"/>
              </w:rPr>
              <w:t>OmniVoice réparé</w:t>
            </w:r>
          </w:p>
          <w:p>
            <w:pPr>
              <w:spacing w:after="0" w:line="276" w:lineRule="auto"/>
            </w:pPr>
            <w:r>
              <w:t>La génération réelle a terminé sur CUDA sans l’erreur WeTextProcessing/tn. Le warning expandable_segments peut encore apparaître sous Windows, mais il est sans effet fonctionnel.</w:t>
            </w:r>
          </w:p>
        </w:tc>
      </w:tr>
    </w:tbl>
    <w:p>
      <w:pPr>
        <w:spacing w:after="0"/>
      </w:pPr>
    </w:p>
    <w:p>
      <w:pPr>
        <w:pStyle w:val="Heading1"/>
      </w:pPr>
      <w:r>
        <w:t>4. Conservation audio, SFX et export</w:t>
      </w:r>
    </w:p>
    <w:tbl>
      <w:tblPr>
        <w:tblStyle w:val="TableGrid"/>
        <w:tblW w:type="dxa" w:w="9360"/>
        <w:tblLayout w:type="fixed"/>
        <w:tblLook w:firstColumn="1" w:firstRow="1" w:lastColumn="0" w:lastRow="0" w:noHBand="0" w:noVBand="1" w:val="04A0"/>
        <w:tblInd w:w="120" w:type="dxa"/>
      </w:tblPr>
      <w:tblGrid>
        <w:gridCol w:w="4300"/>
        <w:gridCol w:w="5060"/>
      </w:tblGrid>
      <w:tr>
        <w:trPr>
          <w:trHeight w:hRule="atLeast"/>
          <w:tblHeader w:val="true"/>
          <w:cantSplit/>
        </w:trPr>
        <w:tc>
          <w:tcPr>
            <w:tcW w:type="dxa" w:w="4300"/>
            <w:shd w:fill="E8EEF5"/>
            <w:vAlign w:val="center"/>
            <w:tcMar>
              <w:top w:w="80" w:type="dxa"/>
              <w:start w:w="120" w:type="dxa"/>
              <w:bottom w:w="80" w:type="dxa"/>
              <w:end w:w="120" w:type="dxa"/>
            </w:tcMar>
          </w:tcPr>
          <w:p>
            <w:pPr>
              <w:spacing w:after="0"/>
            </w:pPr>
            <w:r>
              <w:rPr>
                <w:rFonts w:ascii="Calibri" w:hAnsi="Calibri"/>
                <w:b/>
                <w:color w:val="1F4D78"/>
                <w:sz w:val="17"/>
              </w:rPr>
              <w:t>Avant</w:t>
            </w:r>
          </w:p>
        </w:tc>
        <w:tc>
          <w:tcPr>
            <w:tcW w:type="dxa" w:w="5060"/>
            <w:shd w:fill="E8EEF5"/>
            <w:vAlign w:val="center"/>
            <w:tcMar>
              <w:top w:w="80" w:type="dxa"/>
              <w:start w:w="120" w:type="dxa"/>
              <w:bottom w:w="80" w:type="dxa"/>
              <w:end w:w="120" w:type="dxa"/>
            </w:tcMar>
          </w:tcPr>
          <w:p>
            <w:pPr>
              <w:spacing w:after="0"/>
            </w:pPr>
            <w:r>
              <w:rPr>
                <w:rFonts w:ascii="Calibri" w:hAnsi="Calibri"/>
                <w:b/>
                <w:color w:val="1F4D78"/>
                <w:sz w:val="17"/>
              </w:rPr>
              <w:t>Après correction</w:t>
            </w:r>
          </w:p>
        </w:tc>
      </w:tr>
      <w:tr>
        <w:trPr>
          <w:trHeight w:hRule="atLeast"/>
          <w:cantSplit/>
        </w:trPr>
        <w:tc>
          <w:tcPr>
            <w:tcW w:type="dxa" w:w="4300"/>
            <w:vAlign w:val="center"/>
            <w:tcMar>
              <w:top w:w="80" w:type="dxa"/>
              <w:start w:w="120" w:type="dxa"/>
              <w:bottom w:w="80" w:type="dxa"/>
              <w:end w:w="120" w:type="dxa"/>
            </w:tcMar>
          </w:tcPr>
          <w:p>
            <w:pPr>
              <w:spacing w:after="0" w:line="252" w:lineRule="auto"/>
            </w:pPr>
            <w:r>
              <w:rPr>
                <w:rFonts w:ascii="Calibri" w:hAnsi="Calibri"/>
                <w:color w:val="1F2937"/>
                <w:sz w:val="16"/>
              </w:rPr>
              <w:t>original_volume=0 pouvait supprimer tout le lit audio.</w:t>
            </w:r>
          </w:p>
        </w:tc>
        <w:tc>
          <w:tcPr>
            <w:tcW w:type="dxa" w:w="5060"/>
            <w:vAlign w:val="center"/>
            <w:tcMar>
              <w:top w:w="80" w:type="dxa"/>
              <w:start w:w="120" w:type="dxa"/>
              <w:bottom w:w="80" w:type="dxa"/>
              <w:end w:w="120" w:type="dxa"/>
            </w:tcMar>
          </w:tcPr>
          <w:p>
            <w:pPr>
              <w:spacing w:after="0" w:line="252" w:lineRule="auto"/>
            </w:pPr>
            <w:r>
              <w:rPr>
                <w:rFonts w:ascii="Calibri" w:hAnsi="Calibri"/>
                <w:color w:val="1F2937"/>
                <w:sz w:val="16"/>
              </w:rPr>
              <w:t>La voix source est coupée, mais bed.wav reste présent avec musique et SFX.</w:t>
            </w:r>
          </w:p>
        </w:tc>
      </w:tr>
      <w:tr>
        <w:trPr>
          <w:trHeight w:hRule="atLeast"/>
          <w:cantSplit/>
        </w:trPr>
        <w:tc>
          <w:tcPr>
            <w:tcW w:type="dxa" w:w="4300"/>
            <w:vAlign w:val="center"/>
            <w:tcMar>
              <w:top w:w="80" w:type="dxa"/>
              <w:start w:w="120" w:type="dxa"/>
              <w:bottom w:w="80" w:type="dxa"/>
              <w:end w:w="120" w:type="dxa"/>
            </w:tcMar>
          </w:tcPr>
          <w:p>
            <w:pPr>
              <w:spacing w:after="0" w:line="252" w:lineRule="auto"/>
            </w:pPr>
            <w:r>
              <w:rPr>
                <w:rFonts w:ascii="Calibri" w:hAnsi="Calibri"/>
                <w:color w:val="1F2937"/>
                <w:sz w:val="16"/>
              </w:rPr>
              <w:t>Le volume d’ambiance suivait le mauvais réglage.</w:t>
            </w:r>
          </w:p>
        </w:tc>
        <w:tc>
          <w:tcPr>
            <w:tcW w:type="dxa" w:w="5060"/>
            <w:vAlign w:val="center"/>
            <w:tcMar>
              <w:top w:w="80" w:type="dxa"/>
              <w:start w:w="120" w:type="dxa"/>
              <w:bottom w:w="80" w:type="dxa"/>
              <w:end w:w="120" w:type="dxa"/>
            </w:tcMar>
          </w:tcPr>
          <w:p>
            <w:pPr>
              <w:spacing w:after="0" w:line="252" w:lineRule="auto"/>
            </w:pPr>
            <w:r>
              <w:rPr>
                <w:rFonts w:ascii="Calibri" w:hAnsi="Calibri"/>
                <w:color w:val="1F2937"/>
                <w:sz w:val="16"/>
              </w:rPr>
              <w:t>bed.wav utilise le réglage Musique/SFX préservés, 0,85 par défaut.</w:t>
            </w:r>
          </w:p>
        </w:tc>
      </w:tr>
      <w:tr>
        <w:trPr>
          <w:trHeight w:hRule="atLeast"/>
          <w:cantSplit/>
        </w:trPr>
        <w:tc>
          <w:tcPr>
            <w:tcW w:type="dxa" w:w="4300"/>
            <w:vAlign w:val="center"/>
            <w:tcMar>
              <w:top w:w="80" w:type="dxa"/>
              <w:start w:w="120" w:type="dxa"/>
              <w:bottom w:w="80" w:type="dxa"/>
              <w:end w:w="120" w:type="dxa"/>
            </w:tcMar>
          </w:tcPr>
          <w:p>
            <w:pPr>
              <w:spacing w:after="0" w:line="252" w:lineRule="auto"/>
            </w:pPr>
            <w:r>
              <w:rPr>
                <w:rFonts w:ascii="Calibri" w:hAnsi="Calibri"/>
                <w:color w:val="1F2937"/>
                <w:sz w:val="16"/>
              </w:rPr>
              <w:t>Le ducking risquait d’écraser les effets.</w:t>
            </w:r>
          </w:p>
        </w:tc>
        <w:tc>
          <w:tcPr>
            <w:tcW w:type="dxa" w:w="5060"/>
            <w:vAlign w:val="center"/>
            <w:tcMar>
              <w:top w:w="80" w:type="dxa"/>
              <w:start w:w="120" w:type="dxa"/>
              <w:bottom w:w="80" w:type="dxa"/>
              <w:end w:w="120" w:type="dxa"/>
            </w:tcMar>
          </w:tcPr>
          <w:p>
            <w:pPr>
              <w:spacing w:after="0" w:line="252" w:lineRule="auto"/>
            </w:pPr>
            <w:r>
              <w:rPr>
                <w:rFonts w:ascii="Calibri" w:hAnsi="Calibri"/>
                <w:color w:val="1F2937"/>
                <w:sz w:val="16"/>
              </w:rPr>
              <w:t>Ducking désactivé par défaut ; activation volontaire seulement.</w:t>
            </w:r>
          </w:p>
        </w:tc>
      </w:tr>
      <w:tr>
        <w:trPr>
          <w:trHeight w:hRule="atLeast"/>
          <w:cantSplit/>
        </w:trPr>
        <w:tc>
          <w:tcPr>
            <w:tcW w:type="dxa" w:w="4300"/>
            <w:vAlign w:val="center"/>
            <w:tcMar>
              <w:top w:w="80" w:type="dxa"/>
              <w:start w:w="120" w:type="dxa"/>
              <w:bottom w:w="80" w:type="dxa"/>
              <w:end w:w="120" w:type="dxa"/>
            </w:tcMar>
          </w:tcPr>
          <w:p>
            <w:pPr>
              <w:spacing w:after="0" w:line="252" w:lineRule="auto"/>
            </w:pPr>
            <w:r>
              <w:rPr>
                <w:rFonts w:ascii="Calibri" w:hAnsi="Calibri"/>
                <w:color w:val="1F2937"/>
                <w:sz w:val="16"/>
              </w:rPr>
              <w:t>Concaténation FLAC corrompue après environ 6 min 05 s.</w:t>
            </w:r>
          </w:p>
        </w:tc>
        <w:tc>
          <w:tcPr>
            <w:tcW w:type="dxa" w:w="5060"/>
            <w:vAlign w:val="center"/>
            <w:tcMar>
              <w:top w:w="80" w:type="dxa"/>
              <w:start w:w="120" w:type="dxa"/>
              <w:bottom w:w="80" w:type="dxa"/>
              <w:end w:w="120" w:type="dxa"/>
            </w:tcMar>
          </w:tcPr>
          <w:p>
            <w:pPr>
              <w:spacing w:after="0" w:line="252" w:lineRule="auto"/>
            </w:pPr>
            <w:r>
              <w:rPr>
                <w:rFonts w:ascii="Calibri" w:hAnsi="Calibri"/>
                <w:color w:val="1F2937"/>
                <w:sz w:val="16"/>
              </w:rPr>
              <w:t>Retiming et master interne en PCM 24 bits, concat vidéo sûre puis encodage final.</w:t>
            </w:r>
          </w:p>
        </w:tc>
      </w:tr>
      <w:tr>
        <w:trPr>
          <w:trHeight w:hRule="atLeast"/>
          <w:cantSplit/>
        </w:trPr>
        <w:tc>
          <w:tcPr>
            <w:tcW w:type="dxa" w:w="4300"/>
            <w:vAlign w:val="center"/>
            <w:tcMar>
              <w:top w:w="80" w:type="dxa"/>
              <w:start w:w="120" w:type="dxa"/>
              <w:bottom w:w="80" w:type="dxa"/>
              <w:end w:w="120" w:type="dxa"/>
            </w:tcMar>
          </w:tcPr>
          <w:p>
            <w:pPr>
              <w:spacing w:after="0" w:line="252" w:lineRule="auto"/>
            </w:pPr>
            <w:r>
              <w:rPr>
                <w:rFonts w:ascii="Calibri" w:hAnsi="Calibri"/>
                <w:color w:val="1F2937"/>
                <w:sz w:val="16"/>
              </w:rPr>
              <w:t>Contrôles audio peu clairs.</w:t>
            </w:r>
          </w:p>
        </w:tc>
        <w:tc>
          <w:tcPr>
            <w:tcW w:type="dxa" w:w="5060"/>
            <w:vAlign w:val="center"/>
            <w:tcMar>
              <w:top w:w="80" w:type="dxa"/>
              <w:start w:w="120" w:type="dxa"/>
              <w:bottom w:w="80" w:type="dxa"/>
              <w:end w:w="120" w:type="dxa"/>
            </w:tcMar>
          </w:tcPr>
          <w:p>
            <w:pPr>
              <w:spacing w:after="0" w:line="252" w:lineRule="auto"/>
            </w:pPr>
            <w:r>
              <w:rPr>
                <w:rFonts w:ascii="Calibri" w:hAnsi="Calibri"/>
                <w:color w:val="1F2937"/>
                <w:sz w:val="16"/>
              </w:rPr>
              <w:t>Interface renommée explicitement Musique / SFX préservés.</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rPr>
          <w:trHeight w:hRule="atLeast"/>
          <w:tblHeader w:val="true"/>
          <w:cantSplit/>
        </w:trPr>
        <w:tc>
          <w:tcPr>
            <w:tcW w:type="dxa" w:w="9360"/>
            <w:shd w:fill="FFF3CD"/>
            <w:vAlign w:val="center"/>
            <w:tcMar>
              <w:top w:w="80" w:type="dxa"/>
              <w:start w:w="120" w:type="dxa"/>
              <w:bottom w:w="80" w:type="dxa"/>
              <w:end w:w="120" w:type="dxa"/>
            </w:tcMar>
          </w:tcPr>
          <w:p>
            <w:pPr>
              <w:spacing w:after="60"/>
            </w:pPr>
            <w:r>
              <w:rPr>
                <w:rFonts w:ascii="Calibri" w:hAnsi="Calibri"/>
                <w:b/>
                <w:color w:val="1F4D78"/>
                <w:sz w:val="21"/>
              </w:rPr>
              <w:t>Limite actuelle</w:t>
            </w:r>
          </w:p>
          <w:p>
            <w:pPr>
              <w:spacing w:after="0" w:line="276" w:lineRule="auto"/>
            </w:pPr>
            <w:r>
              <w:t>Le projet de 15 minutes possède encore un bed.wav combiné. Les SFX sont conservés, mais Bandit peut laisser du dialogue résiduel ou altérer certains effets. Des stems music.wav et sfx.wav indépendants donneraient un contrôle supérieur lors d’une future amélioration.</w:t>
            </w:r>
          </w:p>
        </w:tc>
      </w:tr>
    </w:tbl>
    <w:p>
      <w:pPr>
        <w:spacing w:after="0"/>
      </w:pPr>
    </w:p>
    <w:p>
      <w:r>
        <w:br w:type="page"/>
      </w:r>
    </w:p>
    <w:p>
      <w:pPr>
        <w:pStyle w:val="Heading1"/>
      </w:pPr>
      <w:r>
        <w:t>5. Moteurs, GPU et dépendances communes</w:t>
      </w:r>
    </w:p>
    <w:tbl>
      <w:tblPr>
        <w:tblStyle w:val="TableGrid"/>
        <w:tblW w:type="dxa" w:w="9360"/>
        <w:tblLayout w:type="fixed"/>
        <w:tblLook w:firstColumn="1" w:firstRow="1" w:lastColumn="0" w:lastRow="0" w:noHBand="0" w:noVBand="1" w:val="04A0"/>
        <w:tblInd w:w="120" w:type="dxa"/>
      </w:tblPr>
      <w:tblGrid>
        <w:gridCol w:w="2200"/>
        <w:gridCol w:w="1300"/>
        <w:gridCol w:w="5860"/>
      </w:tblGrid>
      <w:tr>
        <w:trPr>
          <w:trHeight w:hRule="atLeast"/>
          <w:tblHeader w:val="true"/>
          <w:cantSplit/>
        </w:trPr>
        <w:tc>
          <w:tcPr>
            <w:tcW w:type="dxa" w:w="2200"/>
            <w:shd w:fill="E8EEF5"/>
            <w:vAlign w:val="center"/>
            <w:tcMar>
              <w:top w:w="80" w:type="dxa"/>
              <w:start w:w="120" w:type="dxa"/>
              <w:bottom w:w="80" w:type="dxa"/>
              <w:end w:w="120" w:type="dxa"/>
            </w:tcMar>
          </w:tcPr>
          <w:p>
            <w:pPr>
              <w:spacing w:after="0"/>
            </w:pPr>
            <w:r>
              <w:rPr>
                <w:rFonts w:ascii="Calibri" w:hAnsi="Calibri"/>
                <w:b/>
                <w:color w:val="1F4D78"/>
                <w:sz w:val="17"/>
              </w:rPr>
              <w:t>Composant</w:t>
            </w:r>
          </w:p>
        </w:tc>
        <w:tc>
          <w:tcPr>
            <w:tcW w:type="dxa" w:w="1300"/>
            <w:shd w:fill="E8EEF5"/>
            <w:vAlign w:val="center"/>
            <w:tcMar>
              <w:top w:w="80" w:type="dxa"/>
              <w:start w:w="120" w:type="dxa"/>
              <w:bottom w:w="80" w:type="dxa"/>
              <w:end w:w="120" w:type="dxa"/>
            </w:tcMar>
          </w:tcPr>
          <w:p>
            <w:pPr>
              <w:spacing w:after="0"/>
            </w:pPr>
            <w:r>
              <w:rPr>
                <w:rFonts w:ascii="Calibri" w:hAnsi="Calibri"/>
                <w:b/>
                <w:color w:val="1F4D78"/>
                <w:sz w:val="17"/>
              </w:rPr>
              <w:t>État</w:t>
            </w:r>
          </w:p>
        </w:tc>
        <w:tc>
          <w:tcPr>
            <w:tcW w:type="dxa" w:w="5860"/>
            <w:shd w:fill="E8EEF5"/>
            <w:vAlign w:val="center"/>
            <w:tcMar>
              <w:top w:w="80" w:type="dxa"/>
              <w:start w:w="120" w:type="dxa"/>
              <w:bottom w:w="80" w:type="dxa"/>
              <w:end w:w="120" w:type="dxa"/>
            </w:tcMar>
          </w:tcPr>
          <w:p>
            <w:pPr>
              <w:spacing w:after="0"/>
            </w:pPr>
            <w:r>
              <w:rPr>
                <w:rFonts w:ascii="Calibri" w:hAnsi="Calibri"/>
                <w:b/>
                <w:color w:val="1F4D78"/>
                <w:sz w:val="17"/>
              </w:rPr>
              <w:t>Détail</w:t>
            </w:r>
          </w:p>
        </w:tc>
      </w:tr>
      <w:tr>
        <w:trPr>
          <w:trHeight w:hRule="atLeast"/>
          <w:cantSplit/>
        </w:trPr>
        <w:tc>
          <w:tcPr>
            <w:tcW w:type="dxa" w:w="2200"/>
            <w:vAlign w:val="center"/>
            <w:tcMar>
              <w:top w:w="80" w:type="dxa"/>
              <w:start w:w="120" w:type="dxa"/>
              <w:bottom w:w="80" w:type="dxa"/>
              <w:end w:w="120" w:type="dxa"/>
            </w:tcMar>
          </w:tcPr>
          <w:p>
            <w:pPr>
              <w:spacing w:after="0" w:line="252" w:lineRule="auto"/>
            </w:pPr>
            <w:r>
              <w:rPr>
                <w:rFonts w:ascii="Calibri" w:hAnsi="Calibri"/>
                <w:color w:val="1F2937"/>
                <w:sz w:val="16"/>
              </w:rPr>
              <w:t>OmniVoice HQ</w:t>
            </w:r>
          </w:p>
        </w:tc>
        <w:tc>
          <w:tcPr>
            <w:tcW w:type="dxa" w:w="1300"/>
            <w:vAlign w:val="center"/>
            <w:tcMar>
              <w:top w:w="80" w:type="dxa"/>
              <w:start w:w="120" w:type="dxa"/>
              <w:bottom w:w="80" w:type="dxa"/>
              <w:end w:w="120" w:type="dxa"/>
            </w:tcMar>
          </w:tcPr>
          <w:p>
            <w:pPr>
              <w:spacing w:after="0" w:line="252" w:lineRule="auto"/>
            </w:pPr>
            <w:r>
              <w:rPr>
                <w:rFonts w:ascii="Calibri" w:hAnsi="Calibri"/>
                <w:color w:val="1F2937"/>
                <w:sz w:val="16"/>
              </w:rPr>
              <w:t>Prêt</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CUDA réel ; génération testée en 20,06 s modèle inclus pour 1,97 s d’audio.</w:t>
            </w:r>
          </w:p>
        </w:tc>
      </w:tr>
      <w:tr>
        <w:trPr>
          <w:trHeight w:hRule="atLeast"/>
          <w:cantSplit/>
        </w:trPr>
        <w:tc>
          <w:tcPr>
            <w:tcW w:type="dxa" w:w="2200"/>
            <w:vAlign w:val="center"/>
            <w:tcMar>
              <w:top w:w="80" w:type="dxa"/>
              <w:start w:w="120" w:type="dxa"/>
              <w:bottom w:w="80" w:type="dxa"/>
              <w:end w:w="120" w:type="dxa"/>
            </w:tcMar>
          </w:tcPr>
          <w:p>
            <w:pPr>
              <w:spacing w:after="0" w:line="252" w:lineRule="auto"/>
            </w:pPr>
            <w:r>
              <w:rPr>
                <w:rFonts w:ascii="Calibri" w:hAnsi="Calibri"/>
                <w:color w:val="1F2937"/>
                <w:sz w:val="16"/>
              </w:rPr>
              <w:t>FunASR zh</w:t>
            </w:r>
          </w:p>
        </w:tc>
        <w:tc>
          <w:tcPr>
            <w:tcW w:type="dxa" w:w="1300"/>
            <w:vAlign w:val="center"/>
            <w:tcMar>
              <w:top w:w="80" w:type="dxa"/>
              <w:start w:w="120" w:type="dxa"/>
              <w:bottom w:w="80" w:type="dxa"/>
              <w:end w:w="120" w:type="dxa"/>
            </w:tcMar>
          </w:tcPr>
          <w:p>
            <w:pPr>
              <w:spacing w:after="0" w:line="252" w:lineRule="auto"/>
            </w:pPr>
            <w:r>
              <w:rPr>
                <w:rFonts w:ascii="Calibri" w:hAnsi="Calibri"/>
                <w:color w:val="1F2937"/>
                <w:sz w:val="16"/>
              </w:rPr>
              <w:t>Prêt</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funasr 1.2.7, Paraformer-zh + FSMN-VAD, auto-test CUDA réussi.</w:t>
            </w:r>
          </w:p>
        </w:tc>
      </w:tr>
      <w:tr>
        <w:trPr>
          <w:trHeight w:hRule="atLeast"/>
          <w:cantSplit/>
        </w:trPr>
        <w:tc>
          <w:tcPr>
            <w:tcW w:type="dxa" w:w="2200"/>
            <w:vAlign w:val="center"/>
            <w:tcMar>
              <w:top w:w="80" w:type="dxa"/>
              <w:start w:w="120" w:type="dxa"/>
              <w:bottom w:w="80" w:type="dxa"/>
              <w:end w:w="120" w:type="dxa"/>
            </w:tcMar>
          </w:tcPr>
          <w:p>
            <w:pPr>
              <w:spacing w:after="0" w:line="252" w:lineRule="auto"/>
            </w:pPr>
            <w:r>
              <w:rPr>
                <w:rFonts w:ascii="Calibri" w:hAnsi="Calibri"/>
                <w:color w:val="1F2937"/>
                <w:sz w:val="16"/>
              </w:rPr>
              <w:t>Demucs</w:t>
            </w:r>
          </w:p>
        </w:tc>
        <w:tc>
          <w:tcPr>
            <w:tcW w:type="dxa" w:w="1300"/>
            <w:vAlign w:val="center"/>
            <w:tcMar>
              <w:top w:w="80" w:type="dxa"/>
              <w:start w:w="120" w:type="dxa"/>
              <w:bottom w:w="80" w:type="dxa"/>
              <w:end w:w="120" w:type="dxa"/>
            </w:tcMar>
          </w:tcPr>
          <w:p>
            <w:pPr>
              <w:spacing w:after="0" w:line="252" w:lineRule="auto"/>
            </w:pPr>
            <w:r>
              <w:rPr>
                <w:rFonts w:ascii="Calibri" w:hAnsi="Calibri"/>
                <w:color w:val="1F2937"/>
                <w:sz w:val="16"/>
              </w:rPr>
              <w:t>Prêt</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Profil rapide GPU ; htdemucs standard recommandé plutôt que htdemucs_ft.</w:t>
            </w:r>
          </w:p>
        </w:tc>
      </w:tr>
      <w:tr>
        <w:trPr>
          <w:trHeight w:hRule="atLeast"/>
          <w:cantSplit/>
        </w:trPr>
        <w:tc>
          <w:tcPr>
            <w:tcW w:type="dxa" w:w="2200"/>
            <w:vAlign w:val="center"/>
            <w:tcMar>
              <w:top w:w="80" w:type="dxa"/>
              <w:start w:w="120" w:type="dxa"/>
              <w:bottom w:w="80" w:type="dxa"/>
              <w:end w:w="120" w:type="dxa"/>
            </w:tcMar>
          </w:tcPr>
          <w:p>
            <w:pPr>
              <w:spacing w:after="0" w:line="252" w:lineRule="auto"/>
            </w:pPr>
            <w:r>
              <w:rPr>
                <w:rFonts w:ascii="Calibri" w:hAnsi="Calibri"/>
                <w:color w:val="1F2937"/>
                <w:sz w:val="16"/>
              </w:rPr>
              <w:t>Bandit DnR3</w:t>
            </w:r>
          </w:p>
        </w:tc>
        <w:tc>
          <w:tcPr>
            <w:tcW w:type="dxa" w:w="1300"/>
            <w:vAlign w:val="center"/>
            <w:tcMar>
              <w:top w:w="80" w:type="dxa"/>
              <w:start w:w="120" w:type="dxa"/>
              <w:bottom w:w="80" w:type="dxa"/>
              <w:end w:w="120" w:type="dxa"/>
            </w:tcMar>
          </w:tcPr>
          <w:p>
            <w:pPr>
              <w:spacing w:after="0" w:line="252" w:lineRule="auto"/>
            </w:pPr>
            <w:r>
              <w:rPr>
                <w:rFonts w:ascii="Calibri" w:hAnsi="Calibri"/>
                <w:color w:val="1F2937"/>
                <w:sz w:val="16"/>
              </w:rPr>
              <w:t>Prêt</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Profil qualité cinéma ; meilleure conservation sémantique de l’ambiance que Demucs sur le test réel.</w:t>
            </w:r>
          </w:p>
        </w:tc>
      </w:tr>
      <w:tr>
        <w:trPr>
          <w:trHeight w:hRule="atLeast"/>
          <w:cantSplit/>
        </w:trPr>
        <w:tc>
          <w:tcPr>
            <w:tcW w:type="dxa" w:w="2200"/>
            <w:vAlign w:val="center"/>
            <w:tcMar>
              <w:top w:w="80" w:type="dxa"/>
              <w:start w:w="120" w:type="dxa"/>
              <w:bottom w:w="80" w:type="dxa"/>
              <w:end w:w="120" w:type="dxa"/>
            </w:tcMar>
          </w:tcPr>
          <w:p>
            <w:pPr>
              <w:spacing w:after="0" w:line="252" w:lineRule="auto"/>
            </w:pPr>
            <w:r>
              <w:rPr>
                <w:rFonts w:ascii="Calibri" w:hAnsi="Calibri"/>
                <w:color w:val="1F2937"/>
                <w:sz w:val="16"/>
              </w:rPr>
              <w:t>Sherpa/TitaNet</w:t>
            </w:r>
          </w:p>
        </w:tc>
        <w:tc>
          <w:tcPr>
            <w:tcW w:type="dxa" w:w="1300"/>
            <w:vAlign w:val="center"/>
            <w:tcMar>
              <w:top w:w="80" w:type="dxa"/>
              <w:start w:w="120" w:type="dxa"/>
              <w:bottom w:w="80" w:type="dxa"/>
              <w:end w:w="120" w:type="dxa"/>
            </w:tcMar>
          </w:tcPr>
          <w:p>
            <w:pPr>
              <w:spacing w:after="0" w:line="252" w:lineRule="auto"/>
            </w:pPr>
            <w:r>
              <w:rPr>
                <w:rFonts w:ascii="Calibri" w:hAnsi="Calibri"/>
                <w:color w:val="1F2937"/>
                <w:sz w:val="16"/>
              </w:rPr>
              <w:t>Prêt</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Indices de tours de parole locaux ; le GPT décide ensuite de l’identité narrative.</w:t>
            </w:r>
          </w:p>
        </w:tc>
      </w:tr>
      <w:tr>
        <w:trPr>
          <w:trHeight w:hRule="atLeast"/>
          <w:cantSplit/>
        </w:trPr>
        <w:tc>
          <w:tcPr>
            <w:tcW w:type="dxa" w:w="2200"/>
            <w:vAlign w:val="center"/>
            <w:tcMar>
              <w:top w:w="80" w:type="dxa"/>
              <w:start w:w="120" w:type="dxa"/>
              <w:bottom w:w="80" w:type="dxa"/>
              <w:end w:w="120" w:type="dxa"/>
            </w:tcMar>
          </w:tcPr>
          <w:p>
            <w:pPr>
              <w:spacing w:after="0" w:line="252" w:lineRule="auto"/>
            </w:pPr>
            <w:r>
              <w:rPr>
                <w:rFonts w:ascii="Calibri" w:hAnsi="Calibri"/>
                <w:color w:val="1F2937"/>
                <w:sz w:val="16"/>
              </w:rPr>
              <w:t>Planificateur GPU</w:t>
            </w:r>
          </w:p>
        </w:tc>
        <w:tc>
          <w:tcPr>
            <w:tcW w:type="dxa" w:w="1300"/>
            <w:vAlign w:val="center"/>
            <w:tcMar>
              <w:top w:w="80" w:type="dxa"/>
              <w:start w:w="120" w:type="dxa"/>
              <w:bottom w:w="80" w:type="dxa"/>
              <w:end w:w="120" w:type="dxa"/>
            </w:tcMar>
          </w:tcPr>
          <w:p>
            <w:pPr>
              <w:spacing w:after="0" w:line="252" w:lineRule="auto"/>
            </w:pPr>
            <w:r>
              <w:rPr>
                <w:rFonts w:ascii="Calibri" w:hAnsi="Calibri"/>
                <w:color w:val="1F2937"/>
                <w:sz w:val="16"/>
              </w:rPr>
              <w:t>Intégré</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Évite les téléchargements répétés et centralise les dépendances ; charge longue simultanée à éprouver.</w:t>
            </w:r>
          </w:p>
        </w:tc>
      </w:tr>
    </w:tbl>
    <w:p>
      <w:pPr>
        <w:spacing w:after="0"/>
      </w:pPr>
    </w:p>
    <w:p>
      <w:pPr>
        <w:pStyle w:val="Heading2"/>
      </w:pPr>
      <w:r>
        <w:t>Principe de dépendances partagées</w:t>
      </w:r>
    </w:p>
    <w:p>
      <w:pPr>
        <w:numPr>
          <w:ilvl w:val="0"/>
          <w:numId w:val="10"/>
        </w:numPr>
        <w:spacing w:after="80" w:line="300" w:lineRule="auto"/>
      </w:pPr>
      <w:r>
        <w:t>Réutiliser les environnements et modèles déjà présents avant toute installation.</w:t>
      </w:r>
    </w:p>
    <w:p>
      <w:pPr>
        <w:numPr>
          <w:ilvl w:val="0"/>
          <w:numId w:val="10"/>
        </w:numPr>
        <w:spacing w:after="80" w:line="300" w:lineRule="auto"/>
      </w:pPr>
      <w:r>
        <w:t>Conserver un ready.json et une empreinte pour savoir si un moteur est réellement prêt.</w:t>
      </w:r>
    </w:p>
    <w:p>
      <w:pPr>
        <w:numPr>
          <w:ilvl w:val="0"/>
          <w:numId w:val="10"/>
        </w:numPr>
        <w:spacing w:after="80" w:line="300" w:lineRule="auto"/>
      </w:pPr>
      <w:r>
        <w:t>Éviter plusieurs copies de PyTorch/CUDA pour les moteurs compatibles.</w:t>
      </w:r>
    </w:p>
    <w:p>
      <w:pPr>
        <w:numPr>
          <w:ilvl w:val="0"/>
          <w:numId w:val="10"/>
        </w:numPr>
        <w:spacing w:after="80" w:line="300" w:lineRule="auto"/>
      </w:pPr>
      <w:r>
        <w:t>Mettre en cache les résultats lourds et ne retraiter que si la source ou les paramètres changent.</w:t>
      </w:r>
    </w:p>
    <w:p>
      <w:pPr>
        <w:pStyle w:val="Heading1"/>
      </w:pPr>
      <w:r>
        <w:t>6. Preuves de validation</w:t>
      </w:r>
    </w:p>
    <w:tbl>
      <w:tblPr>
        <w:tblStyle w:val="TableGrid"/>
        <w:tblW w:type="dxa" w:w="9360"/>
        <w:tblLayout w:type="fixed"/>
        <w:tblLook w:firstColumn="1" w:firstRow="1" w:lastColumn="0" w:lastRow="0" w:noHBand="0" w:noVBand="1" w:val="04A0"/>
        <w:tblInd w:w="120" w:type="dxa"/>
      </w:tblPr>
      <w:tblGrid>
        <w:gridCol w:w="2600"/>
        <w:gridCol w:w="1400"/>
        <w:gridCol w:w="5360"/>
      </w:tblGrid>
      <w:tr>
        <w:trPr>
          <w:trHeight w:hRule="atLeast"/>
          <w:tblHeader w:val="true"/>
          <w:cantSplit/>
        </w:trPr>
        <w:tc>
          <w:tcPr>
            <w:tcW w:type="dxa" w:w="2600"/>
            <w:shd w:fill="E8EEF5"/>
            <w:vAlign w:val="center"/>
            <w:tcMar>
              <w:top w:w="80" w:type="dxa"/>
              <w:start w:w="120" w:type="dxa"/>
              <w:bottom w:w="80" w:type="dxa"/>
              <w:end w:w="120" w:type="dxa"/>
            </w:tcMar>
          </w:tcPr>
          <w:p>
            <w:pPr>
              <w:spacing w:after="0"/>
            </w:pPr>
            <w:r>
              <w:rPr>
                <w:rFonts w:ascii="Calibri" w:hAnsi="Calibri"/>
                <w:b/>
                <w:color w:val="1F4D78"/>
                <w:sz w:val="17"/>
              </w:rPr>
              <w:t>Contrôle</w:t>
            </w:r>
          </w:p>
        </w:tc>
        <w:tc>
          <w:tcPr>
            <w:tcW w:type="dxa" w:w="1400"/>
            <w:shd w:fill="E8EEF5"/>
            <w:vAlign w:val="center"/>
            <w:tcMar>
              <w:top w:w="80" w:type="dxa"/>
              <w:start w:w="120" w:type="dxa"/>
              <w:bottom w:w="80" w:type="dxa"/>
              <w:end w:w="120" w:type="dxa"/>
            </w:tcMar>
          </w:tcPr>
          <w:p>
            <w:pPr>
              <w:spacing w:after="0"/>
            </w:pPr>
            <w:r>
              <w:rPr>
                <w:rFonts w:ascii="Calibri" w:hAnsi="Calibri"/>
                <w:b/>
                <w:color w:val="1F4D78"/>
                <w:sz w:val="17"/>
              </w:rPr>
              <w:t>État</w:t>
            </w:r>
          </w:p>
        </w:tc>
        <w:tc>
          <w:tcPr>
            <w:tcW w:type="dxa" w:w="5360"/>
            <w:shd w:fill="E8EEF5"/>
            <w:vAlign w:val="center"/>
            <w:tcMar>
              <w:top w:w="80" w:type="dxa"/>
              <w:start w:w="120" w:type="dxa"/>
              <w:bottom w:w="80" w:type="dxa"/>
              <w:end w:w="120" w:type="dxa"/>
            </w:tcMar>
          </w:tcPr>
          <w:p>
            <w:pPr>
              <w:spacing w:after="0"/>
            </w:pPr>
            <w:r>
              <w:rPr>
                <w:rFonts w:ascii="Calibri" w:hAnsi="Calibri"/>
                <w:b/>
                <w:color w:val="1F4D78"/>
                <w:sz w:val="17"/>
              </w:rPr>
              <w:t>Preuve</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rFonts w:ascii="Calibri" w:hAnsi="Calibri"/>
                <w:color w:val="1F2937"/>
                <w:sz w:val="16"/>
              </w:rPr>
              <w:t>Interface desktop</w:t>
            </w:r>
          </w:p>
        </w:tc>
        <w:tc>
          <w:tcPr>
            <w:tcW w:type="dxa" w:w="1400"/>
            <w:vAlign w:val="center"/>
            <w:tcMar>
              <w:top w:w="80" w:type="dxa"/>
              <w:start w:w="120" w:type="dxa"/>
              <w:bottom w:w="80" w:type="dxa"/>
              <w:end w:w="120" w:type="dxa"/>
            </w:tcMar>
          </w:tcPr>
          <w:p>
            <w:pPr>
              <w:spacing w:after="0" w:line="252" w:lineRule="auto"/>
            </w:pPr>
            <w:r>
              <w:rPr>
                <w:rFonts w:ascii="Calibri" w:hAnsi="Calibri"/>
                <w:color w:val="1F2937"/>
                <w:sz w:val="16"/>
              </w:rPr>
              <w:t>Réussi</w:t>
            </w:r>
          </w:p>
        </w:tc>
        <w:tc>
          <w:tcPr>
            <w:tcW w:type="dxa" w:w="5360"/>
            <w:vAlign w:val="center"/>
            <w:tcMar>
              <w:top w:w="80" w:type="dxa"/>
              <w:start w:w="120" w:type="dxa"/>
              <w:bottom w:w="80" w:type="dxa"/>
              <w:end w:w="120" w:type="dxa"/>
            </w:tcMar>
          </w:tcPr>
          <w:p>
            <w:pPr>
              <w:spacing w:after="0" w:line="252" w:lineRule="auto"/>
            </w:pPr>
            <w:r>
              <w:rPr>
                <w:rFonts w:ascii="Calibri" w:hAnsi="Calibri"/>
                <w:color w:val="1F2937"/>
                <w:sz w:val="16"/>
              </w:rPr>
              <w:t>596 clés i18n, TypeScript et build Vite validés.</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rFonts w:ascii="Calibri" w:hAnsi="Calibri"/>
                <w:color w:val="1F2937"/>
                <w:sz w:val="16"/>
              </w:rPr>
              <w:t>Échange GPT V2/V3</w:t>
            </w:r>
          </w:p>
        </w:tc>
        <w:tc>
          <w:tcPr>
            <w:tcW w:type="dxa" w:w="1400"/>
            <w:vAlign w:val="center"/>
            <w:tcMar>
              <w:top w:w="80" w:type="dxa"/>
              <w:start w:w="120" w:type="dxa"/>
              <w:bottom w:w="80" w:type="dxa"/>
              <w:end w:w="120" w:type="dxa"/>
            </w:tcMar>
          </w:tcPr>
          <w:p>
            <w:pPr>
              <w:spacing w:after="0" w:line="252" w:lineRule="auto"/>
            </w:pPr>
            <w:r>
              <w:rPr>
                <w:rFonts w:ascii="Calibri" w:hAnsi="Calibri"/>
                <w:color w:val="1F2937"/>
                <w:sz w:val="16"/>
              </w:rPr>
              <w:t>Réussi</w:t>
            </w:r>
          </w:p>
        </w:tc>
        <w:tc>
          <w:tcPr>
            <w:tcW w:type="dxa" w:w="5360"/>
            <w:vAlign w:val="center"/>
            <w:tcMar>
              <w:top w:w="80" w:type="dxa"/>
              <w:start w:w="120" w:type="dxa"/>
              <w:bottom w:w="80" w:type="dxa"/>
              <w:end w:w="120" w:type="dxa"/>
            </w:tcMar>
          </w:tcPr>
          <w:p>
            <w:pPr>
              <w:spacing w:after="0" w:line="252" w:lineRule="auto"/>
            </w:pPr>
            <w:r>
              <w:rPr>
                <w:rFonts w:ascii="Calibri" w:hAnsi="Calibri"/>
                <w:color w:val="1F2937"/>
                <w:sz w:val="16"/>
              </w:rPr>
              <w:t>1 160 segments, round-trip V3, V2 Single, JSON/.txt/fenced JSON.</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rFonts w:ascii="Calibri" w:hAnsi="Calibri"/>
                <w:color w:val="1F2937"/>
                <w:sz w:val="16"/>
              </w:rPr>
              <w:t>Export audio</w:t>
            </w:r>
          </w:p>
        </w:tc>
        <w:tc>
          <w:tcPr>
            <w:tcW w:type="dxa" w:w="1400"/>
            <w:vAlign w:val="center"/>
            <w:tcMar>
              <w:top w:w="80" w:type="dxa"/>
              <w:start w:w="120" w:type="dxa"/>
              <w:bottom w:w="80" w:type="dxa"/>
              <w:end w:w="120" w:type="dxa"/>
            </w:tcMar>
          </w:tcPr>
          <w:p>
            <w:pPr>
              <w:spacing w:after="0" w:line="252" w:lineRule="auto"/>
            </w:pPr>
            <w:r>
              <w:rPr>
                <w:rFonts w:ascii="Calibri" w:hAnsi="Calibri"/>
                <w:color w:val="1F2937"/>
                <w:sz w:val="16"/>
              </w:rPr>
              <w:t>Réussi</w:t>
            </w:r>
          </w:p>
        </w:tc>
        <w:tc>
          <w:tcPr>
            <w:tcW w:type="dxa" w:w="5360"/>
            <w:vAlign w:val="center"/>
            <w:tcMar>
              <w:top w:w="80" w:type="dxa"/>
              <w:start w:w="120" w:type="dxa"/>
              <w:bottom w:w="80" w:type="dxa"/>
              <w:end w:w="120" w:type="dxa"/>
            </w:tcMar>
          </w:tcPr>
          <w:p>
            <w:pPr>
              <w:spacing w:after="0" w:line="252" w:lineRule="auto"/>
            </w:pPr>
            <w:r>
              <w:rPr>
                <w:rFonts w:ascii="Calibri" w:hAnsi="Calibri"/>
                <w:color w:val="1F2937"/>
                <w:sz w:val="16"/>
              </w:rPr>
              <w:t>SFX audibles entre les prises de voix ; marqueur bed interne conservé.</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rFonts w:ascii="Calibri" w:hAnsi="Calibri"/>
                <w:color w:val="1F2937"/>
                <w:sz w:val="16"/>
              </w:rPr>
              <w:t>Master audio</w:t>
            </w:r>
          </w:p>
        </w:tc>
        <w:tc>
          <w:tcPr>
            <w:tcW w:type="dxa" w:w="1400"/>
            <w:vAlign w:val="center"/>
            <w:tcMar>
              <w:top w:w="80" w:type="dxa"/>
              <w:start w:w="120" w:type="dxa"/>
              <w:bottom w:w="80" w:type="dxa"/>
              <w:end w:w="120" w:type="dxa"/>
            </w:tcMar>
          </w:tcPr>
          <w:p>
            <w:pPr>
              <w:spacing w:after="0" w:line="252" w:lineRule="auto"/>
            </w:pPr>
            <w:r>
              <w:rPr>
                <w:rFonts w:ascii="Calibri" w:hAnsi="Calibri"/>
                <w:color w:val="1F2937"/>
                <w:sz w:val="16"/>
              </w:rPr>
              <w:t>Réussi</w:t>
            </w:r>
          </w:p>
        </w:tc>
        <w:tc>
          <w:tcPr>
            <w:tcW w:type="dxa" w:w="5360"/>
            <w:vAlign w:val="center"/>
            <w:tcMar>
              <w:top w:w="80" w:type="dxa"/>
              <w:start w:w="120" w:type="dxa"/>
              <w:bottom w:w="80" w:type="dxa"/>
              <w:end w:w="120" w:type="dxa"/>
            </w:tcMar>
          </w:tcPr>
          <w:p>
            <w:pPr>
              <w:spacing w:after="0" w:line="252" w:lineRule="auto"/>
            </w:pPr>
            <w:r>
              <w:rPr>
                <w:rFonts w:ascii="Calibri" w:hAnsi="Calibri"/>
                <w:color w:val="1F2937"/>
                <w:sz w:val="16"/>
              </w:rPr>
              <w:t>48 kHz stéréo PCM 24 bits et filtres validés.</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rFonts w:ascii="Calibri" w:hAnsi="Calibri"/>
                <w:color w:val="1F2937"/>
                <w:sz w:val="16"/>
              </w:rPr>
              <w:t>Multi-Speaker</w:t>
            </w:r>
          </w:p>
        </w:tc>
        <w:tc>
          <w:tcPr>
            <w:tcW w:type="dxa" w:w="1400"/>
            <w:vAlign w:val="center"/>
            <w:tcMar>
              <w:top w:w="80" w:type="dxa"/>
              <w:start w:w="120" w:type="dxa"/>
              <w:bottom w:w="80" w:type="dxa"/>
              <w:end w:w="120" w:type="dxa"/>
            </w:tcMar>
          </w:tcPr>
          <w:p>
            <w:pPr>
              <w:spacing w:after="0" w:line="252" w:lineRule="auto"/>
            </w:pPr>
            <w:r>
              <w:rPr>
                <w:rFonts w:ascii="Calibri" w:hAnsi="Calibri"/>
                <w:color w:val="1F2937"/>
                <w:sz w:val="16"/>
              </w:rPr>
              <w:t>Réussi</w:t>
            </w:r>
          </w:p>
        </w:tc>
        <w:tc>
          <w:tcPr>
            <w:tcW w:type="dxa" w:w="5360"/>
            <w:vAlign w:val="center"/>
            <w:tcMar>
              <w:top w:w="80" w:type="dxa"/>
              <w:start w:w="120" w:type="dxa"/>
              <w:bottom w:w="80" w:type="dxa"/>
              <w:end w:w="120" w:type="dxa"/>
            </w:tcMar>
          </w:tcPr>
          <w:p>
            <w:pPr>
              <w:spacing w:after="0" w:line="252" w:lineRule="auto"/>
            </w:pPr>
            <w:r>
              <w:rPr>
                <w:rFonts w:ascii="Calibri" w:hAnsi="Calibri"/>
                <w:color w:val="1F2937"/>
                <w:sz w:val="16"/>
              </w:rPr>
              <w:t>Pipeline, persistance, diarisation et métadonnées vocales validés.</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rFonts w:ascii="Calibri" w:hAnsi="Calibri"/>
                <w:color w:val="1F2937"/>
                <w:sz w:val="16"/>
              </w:rPr>
              <w:t>Bibliothèque vocale</w:t>
            </w:r>
          </w:p>
        </w:tc>
        <w:tc>
          <w:tcPr>
            <w:tcW w:type="dxa" w:w="1400"/>
            <w:vAlign w:val="center"/>
            <w:tcMar>
              <w:top w:w="80" w:type="dxa"/>
              <w:start w:w="120" w:type="dxa"/>
              <w:bottom w:w="80" w:type="dxa"/>
              <w:end w:w="120" w:type="dxa"/>
            </w:tcMar>
          </w:tcPr>
          <w:p>
            <w:pPr>
              <w:spacing w:after="0" w:line="252" w:lineRule="auto"/>
            </w:pPr>
            <w:r>
              <w:rPr>
                <w:rFonts w:ascii="Calibri" w:hAnsi="Calibri"/>
                <w:color w:val="1F2937"/>
                <w:sz w:val="16"/>
              </w:rPr>
              <w:t>Réussi</w:t>
            </w:r>
          </w:p>
        </w:tc>
        <w:tc>
          <w:tcPr>
            <w:tcW w:type="dxa" w:w="5360"/>
            <w:vAlign w:val="center"/>
            <w:tcMar>
              <w:top w:w="80" w:type="dxa"/>
              <w:start w:w="120" w:type="dxa"/>
              <w:bottom w:w="80" w:type="dxa"/>
              <w:end w:w="120" w:type="dxa"/>
            </w:tcMar>
          </w:tcPr>
          <w:p>
            <w:pPr>
              <w:spacing w:after="0" w:line="252" w:lineRule="auto"/>
            </w:pPr>
            <w:r>
              <w:rPr>
                <w:rFonts w:ascii="Calibri" w:hAnsi="Calibri"/>
                <w:color w:val="1F2937"/>
                <w:sz w:val="16"/>
              </w:rPr>
              <w:t>18 profils, mode local uniquement et CUDA détecté.</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rFonts w:ascii="Calibri" w:hAnsi="Calibri"/>
                <w:color w:val="1F2937"/>
                <w:sz w:val="16"/>
              </w:rPr>
              <w:t>TTS natifs</w:t>
            </w:r>
          </w:p>
        </w:tc>
        <w:tc>
          <w:tcPr>
            <w:tcW w:type="dxa" w:w="1400"/>
            <w:vAlign w:val="center"/>
            <w:tcMar>
              <w:top w:w="80" w:type="dxa"/>
              <w:start w:w="120" w:type="dxa"/>
              <w:bottom w:w="80" w:type="dxa"/>
              <w:end w:w="120" w:type="dxa"/>
            </w:tcMar>
          </w:tcPr>
          <w:p>
            <w:pPr>
              <w:spacing w:after="0" w:line="252" w:lineRule="auto"/>
            </w:pPr>
            <w:r>
              <w:rPr>
                <w:rFonts w:ascii="Calibri" w:hAnsi="Calibri"/>
                <w:color w:val="1F2937"/>
                <w:sz w:val="16"/>
              </w:rPr>
              <w:t>Réussi</w:t>
            </w:r>
          </w:p>
        </w:tc>
        <w:tc>
          <w:tcPr>
            <w:tcW w:type="dxa" w:w="5360"/>
            <w:vAlign w:val="center"/>
            <w:tcMar>
              <w:top w:w="80" w:type="dxa"/>
              <w:start w:w="120" w:type="dxa"/>
              <w:bottom w:w="80" w:type="dxa"/>
              <w:end w:w="120" w:type="dxa"/>
            </w:tcMar>
          </w:tcPr>
          <w:p>
            <w:pPr>
              <w:spacing w:after="0" w:line="252" w:lineRule="auto"/>
            </w:pPr>
            <w:r>
              <w:rPr>
                <w:rFonts w:ascii="Calibri" w:hAnsi="Calibri"/>
                <w:color w:val="1F2937"/>
                <w:sz w:val="16"/>
              </w:rPr>
              <w:t>OmniVoice inclus dans le catalogue et les adaptateurs.</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rFonts w:ascii="Calibri" w:hAnsi="Calibri"/>
                <w:color w:val="1F2937"/>
                <w:sz w:val="16"/>
              </w:rPr>
              <w:t>Pipeline ouvert</w:t>
            </w:r>
          </w:p>
        </w:tc>
        <w:tc>
          <w:tcPr>
            <w:tcW w:type="dxa" w:w="1400"/>
            <w:vAlign w:val="center"/>
            <w:tcMar>
              <w:top w:w="80" w:type="dxa"/>
              <w:start w:w="120" w:type="dxa"/>
              <w:bottom w:w="80" w:type="dxa"/>
              <w:end w:w="120" w:type="dxa"/>
            </w:tcMar>
          </w:tcPr>
          <w:p>
            <w:pPr>
              <w:spacing w:after="0" w:line="252" w:lineRule="auto"/>
            </w:pPr>
            <w:r>
              <w:rPr>
                <w:rFonts w:ascii="Calibri" w:hAnsi="Calibri"/>
                <w:color w:val="1F2937"/>
                <w:sz w:val="16"/>
              </w:rPr>
              <w:t>Réussi</w:t>
            </w:r>
          </w:p>
        </w:tc>
        <w:tc>
          <w:tcPr>
            <w:tcW w:type="dxa" w:w="5360"/>
            <w:vAlign w:val="center"/>
            <w:tcMar>
              <w:top w:w="80" w:type="dxa"/>
              <w:start w:w="120" w:type="dxa"/>
              <w:bottom w:w="80" w:type="dxa"/>
              <w:end w:w="120" w:type="dxa"/>
            </w:tcMar>
          </w:tcPr>
          <w:p>
            <w:pPr>
              <w:spacing w:after="0" w:line="252" w:lineRule="auto"/>
            </w:pPr>
            <w:r>
              <w:rPr>
                <w:rFonts w:ascii="Calibri" w:hAnsi="Calibri"/>
                <w:color w:val="1F2937"/>
                <w:sz w:val="16"/>
              </w:rPr>
              <w:t>Blocs naturels fusionnés au lieu de micro-segments artificiels.</w:t>
            </w:r>
          </w:p>
        </w:tc>
      </w:tr>
      <w:tr>
        <w:trPr>
          <w:trHeight w:hRule="atLeast"/>
          <w:cantSplit/>
        </w:trPr>
        <w:tc>
          <w:tcPr>
            <w:tcW w:type="dxa" w:w="2600"/>
            <w:vAlign w:val="center"/>
            <w:tcMar>
              <w:top w:w="80" w:type="dxa"/>
              <w:start w:w="120" w:type="dxa"/>
              <w:bottom w:w="80" w:type="dxa"/>
              <w:end w:w="120" w:type="dxa"/>
            </w:tcMar>
          </w:tcPr>
          <w:p>
            <w:pPr>
              <w:spacing w:after="0" w:line="252" w:lineRule="auto"/>
            </w:pPr>
            <w:r>
              <w:rPr>
                <w:rFonts w:ascii="Calibri" w:hAnsi="Calibri"/>
                <w:color w:val="1F2937"/>
                <w:sz w:val="16"/>
              </w:rPr>
              <w:t>Export vidéo 15 min</w:t>
            </w:r>
          </w:p>
        </w:tc>
        <w:tc>
          <w:tcPr>
            <w:tcW w:type="dxa" w:w="1400"/>
            <w:vAlign w:val="center"/>
            <w:tcMar>
              <w:top w:w="80" w:type="dxa"/>
              <w:start w:w="120" w:type="dxa"/>
              <w:bottom w:w="80" w:type="dxa"/>
              <w:end w:w="120" w:type="dxa"/>
            </w:tcMar>
          </w:tcPr>
          <w:p>
            <w:pPr>
              <w:spacing w:after="0" w:line="252" w:lineRule="auto"/>
            </w:pPr>
            <w:r>
              <w:rPr>
                <w:rFonts w:ascii="Calibri" w:hAnsi="Calibri"/>
                <w:color w:val="1F2937"/>
                <w:sz w:val="16"/>
              </w:rPr>
              <w:t>Réussi</w:t>
            </w:r>
          </w:p>
        </w:tc>
        <w:tc>
          <w:tcPr>
            <w:tcW w:type="dxa" w:w="5360"/>
            <w:vAlign w:val="center"/>
            <w:tcMar>
              <w:top w:w="80" w:type="dxa"/>
              <w:start w:w="120" w:type="dxa"/>
              <w:bottom w:w="80" w:type="dxa"/>
              <w:end w:w="120" w:type="dxa"/>
            </w:tcMar>
          </w:tcPr>
          <w:p>
            <w:pPr>
              <w:spacing w:after="0" w:line="252" w:lineRule="auto"/>
            </w:pPr>
            <w:r>
              <w:rPr>
                <w:rFonts w:ascii="Calibri" w:hAnsi="Calibri"/>
                <w:color w:val="1F2937"/>
                <w:sz w:val="16"/>
              </w:rPr>
              <w:t>924,233 s, décodage complet, bed mesuré à 30 s, 450 s et 810 s.</w:t>
            </w:r>
          </w:p>
        </w:tc>
      </w:tr>
    </w:tbl>
    <w:p>
      <w:pPr>
        <w:spacing w:after="0"/>
      </w:pPr>
    </w:p>
    <w:p>
      <w:r>
        <w:br w:type="page"/>
      </w:r>
    </w:p>
    <w:p>
      <w:pPr>
        <w:pStyle w:val="Heading1"/>
      </w:pPr>
      <w:r>
        <w:t>7. Nouveaux fichiers principaux</w:t>
      </w:r>
    </w:p>
    <w:tbl>
      <w:tblPr>
        <w:tblStyle w:val="TableGrid"/>
        <w:tblW w:type="dxa" w:w="9360"/>
        <w:tblLayout w:type="fixed"/>
        <w:tblLook w:firstColumn="1" w:firstRow="1" w:lastColumn="0" w:lastRow="0" w:noHBand="0" w:noVBand="1" w:val="04A0"/>
        <w:tblInd w:w="120" w:type="dxa"/>
      </w:tblPr>
      <w:tblGrid>
        <w:gridCol w:w="6000"/>
        <w:gridCol w:w="3360"/>
      </w:tblGrid>
      <w:tr>
        <w:trPr>
          <w:trHeight w:hRule="atLeast"/>
          <w:tblHeader w:val="true"/>
          <w:cantSplit/>
        </w:trPr>
        <w:tc>
          <w:tcPr>
            <w:tcW w:type="dxa" w:w="6000"/>
            <w:shd w:fill="E8EEF5"/>
            <w:vAlign w:val="center"/>
            <w:tcMar>
              <w:top w:w="80" w:type="dxa"/>
              <w:start w:w="120" w:type="dxa"/>
              <w:bottom w:w="80" w:type="dxa"/>
              <w:end w:w="120" w:type="dxa"/>
            </w:tcMar>
          </w:tcPr>
          <w:p>
            <w:pPr>
              <w:spacing w:after="0"/>
            </w:pPr>
            <w:r>
              <w:rPr>
                <w:rFonts w:ascii="Calibri" w:hAnsi="Calibri"/>
                <w:b/>
                <w:color w:val="1F4D78"/>
                <w:sz w:val="17"/>
              </w:rPr>
              <w:t>Fichier</w:t>
            </w:r>
          </w:p>
        </w:tc>
        <w:tc>
          <w:tcPr>
            <w:tcW w:type="dxa" w:w="3360"/>
            <w:shd w:fill="E8EEF5"/>
            <w:vAlign w:val="center"/>
            <w:tcMar>
              <w:top w:w="80" w:type="dxa"/>
              <w:start w:w="120" w:type="dxa"/>
              <w:bottom w:w="80" w:type="dxa"/>
              <w:end w:w="120" w:type="dxa"/>
            </w:tcMar>
          </w:tcPr>
          <w:p>
            <w:pPr>
              <w:spacing w:after="0"/>
            </w:pPr>
            <w:r>
              <w:rPr>
                <w:rFonts w:ascii="Calibri" w:hAnsi="Calibri"/>
                <w:b/>
                <w:color w:val="1F4D78"/>
                <w:sz w:val="17"/>
              </w:rPr>
              <w:t>Rôle</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services/api/app/audio_preservation_service.py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Préservation et séparation audio.</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services/api/app/diarization_service.py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Indices de locuteur et profils vocaux.</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services/api/app/native_tts_service.py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Orchestration des TTS natifs.</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services/api/app/resource_scheduler.py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Arbitrage des ressources lourdes/GPU.</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services/api/app/shared_dependency_service.py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Réutilisation des dépendances communes.</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services/api/app/sync_service.py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Synchronisation continue et concat PCM sûre.</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services/api/app/transcript_exchange_service.py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Manifestes V2/V3, Kit GPT et validation d’import.</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services/api/app/tts_catalog_service.py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Catalogue et capacités des moteurs TTS.</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services/api/app/voice_library_service.py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Bibliothèque de voix et métadonnées.</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services/api/app/voice_reference_service.py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Références, clonage et enregistrement.</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apps/desktop/src/components/YouTubeRangeSelector.tsx</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Sélection d’un extrait YouTube.</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apps/desktop/src/components/studio/AudioPreservationPanel.tsx</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Choix qualité/rapide et état audio.</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apps/desktop/src/components/studio/SpeakerDiarizationPanel.tsx</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Détection et validation des locuteurs.</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apps/desktop/src/components/voice/OmniVoiceLibraryPanel.tsx</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Interface dédiée OmniVoice.</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scripts/engines/run-funasr-zh.py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Transcription chinoise spécialisée.</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scripts/engines/run-sherpa-diarization.py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Worker local de diarisation.</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scripts/engines/run-audio-separation.py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Worker de séparation audio.</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scripts/engines/run-cinematic-separation.py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Séparation Bandit cinéma.</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scripts/engines/run-tts.py</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Adaptateurs TTS et OmniVoice.</w:t>
            </w:r>
          </w:p>
        </w:tc>
      </w:tr>
      <w:tr>
        <w:trPr>
          <w:trHeight w:hRule="atLeast"/>
          <w:cantSplit/>
        </w:trPr>
        <w:tc>
          <w:tcPr>
            <w:tcW w:type="dxa" w:w="6000"/>
            <w:vAlign w:val="center"/>
            <w:tcMar>
              <w:top w:w="80" w:type="dxa"/>
              <w:start w:w="120" w:type="dxa"/>
              <w:bottom w:w="80" w:type="dxa"/>
              <w:end w:w="120" w:type="dxa"/>
            </w:tcMar>
          </w:tcPr>
          <w:p>
            <w:pPr>
              <w:spacing w:after="0" w:line="252" w:lineRule="auto"/>
            </w:pPr>
            <w:r>
              <w:rPr>
                <w:rFonts w:ascii="Consolas" w:hAnsi="Consolas"/>
                <w:color w:val="1F2937"/>
                <w:sz w:val="14"/>
              </w:rPr>
              <w:t>docs/custom-gpt-dubroom/README_ACTIF.md</w:t>
            </w:r>
          </w:p>
        </w:tc>
        <w:tc>
          <w:tcPr>
            <w:tcW w:type="dxa" w:w="3360"/>
            <w:vAlign w:val="center"/>
            <w:tcMar>
              <w:top w:w="80" w:type="dxa"/>
              <w:start w:w="120" w:type="dxa"/>
              <w:bottom w:w="80" w:type="dxa"/>
              <w:end w:w="120" w:type="dxa"/>
            </w:tcMar>
          </w:tcPr>
          <w:p>
            <w:pPr>
              <w:spacing w:after="0" w:line="252" w:lineRule="auto"/>
            </w:pPr>
            <w:r>
              <w:rPr>
                <w:rFonts w:ascii="Calibri" w:hAnsi="Calibri"/>
                <w:color w:val="1F2937"/>
                <w:sz w:val="16"/>
              </w:rPr>
              <w:t>Carte des instructions GPT réellement actives.</w:t>
            </w:r>
          </w:p>
        </w:tc>
      </w:tr>
    </w:tbl>
    <w:p>
      <w:pPr>
        <w:spacing w:after="0"/>
      </w:pPr>
    </w:p>
    <w:p>
      <w:r>
        <w:br w:type="page"/>
      </w:r>
    </w:p>
    <w:p>
      <w:pPr>
        <w:pStyle w:val="Heading1"/>
      </w:pPr>
      <w:r>
        <w:t>8. Fichiers modifiés principaux</w:t>
      </w:r>
    </w:p>
    <w:tbl>
      <w:tblPr>
        <w:tblStyle w:val="TableGrid"/>
        <w:tblW w:type="dxa" w:w="9360"/>
        <w:tblLayout w:type="fixed"/>
        <w:tblLook w:firstColumn="1" w:firstRow="1" w:lastColumn="0" w:lastRow="0" w:noHBand="0" w:noVBand="1" w:val="04A0"/>
        <w:tblInd w:w="120" w:type="dxa"/>
      </w:tblPr>
      <w:tblGrid>
        <w:gridCol w:w="5900"/>
        <w:gridCol w:w="3460"/>
      </w:tblGrid>
      <w:tr>
        <w:trPr>
          <w:trHeight w:hRule="atLeast"/>
          <w:tblHeader w:val="true"/>
          <w:cantSplit/>
        </w:trPr>
        <w:tc>
          <w:tcPr>
            <w:tcW w:type="dxa" w:w="5900"/>
            <w:shd w:fill="E8EEF5"/>
            <w:vAlign w:val="center"/>
            <w:tcMar>
              <w:top w:w="80" w:type="dxa"/>
              <w:start w:w="120" w:type="dxa"/>
              <w:bottom w:w="80" w:type="dxa"/>
              <w:end w:w="120" w:type="dxa"/>
            </w:tcMar>
          </w:tcPr>
          <w:p>
            <w:pPr>
              <w:spacing w:after="0"/>
            </w:pPr>
            <w:r>
              <w:rPr>
                <w:rFonts w:ascii="Calibri" w:hAnsi="Calibri"/>
                <w:b/>
                <w:color w:val="1F4D78"/>
                <w:sz w:val="17"/>
              </w:rPr>
              <w:t>Fichier</w:t>
            </w:r>
          </w:p>
        </w:tc>
        <w:tc>
          <w:tcPr>
            <w:tcW w:type="dxa" w:w="3460"/>
            <w:shd w:fill="E8EEF5"/>
            <w:vAlign w:val="center"/>
            <w:tcMar>
              <w:top w:w="80" w:type="dxa"/>
              <w:start w:w="120" w:type="dxa"/>
              <w:bottom w:w="80" w:type="dxa"/>
              <w:end w:w="120" w:type="dxa"/>
            </w:tcMar>
          </w:tcPr>
          <w:p>
            <w:pPr>
              <w:spacing w:after="0"/>
            </w:pPr>
            <w:r>
              <w:rPr>
                <w:rFonts w:ascii="Calibri" w:hAnsi="Calibri"/>
                <w:b/>
                <w:color w:val="1F4D78"/>
                <w:sz w:val="17"/>
              </w:rPr>
              <w:t>Modification</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services/api/app/main.py</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Modes projet, endpoints GPT, casting, mix et export.</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services/api/app/export_service.py</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Bed audio, volumes, ducking et PCM 24 bits.</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services/api/app/engine_service.py</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Installation et disponibilité des moteurs.</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services/api/app/local_voice_service.py</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Voix locales et compatibilités.</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services/api/app/youtube_service.py</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Import et plages YouTube.</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apps/desktop/src/pages/StudioPage.tsx</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Kit GPT, erreurs V3, mix, sync et export.</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apps/desktop/src/pages/LibraryPage.tsx</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Classement et gestion de la bibliothèque.</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apps/desktop/src/components/voice/ProfileCreator.tsx</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Clonage, design, enregistrement et rôles.</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apps/desktop/src/i18n.tsx</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Libellés français/anglais et messages de validation.</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apps/desktop/src/types.ts</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Types des manifestes, locuteurs et aperçus.</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apps/desktop/src/lib/api.ts</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Contrats API de l’interface.</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config/app.config.json</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Moteurs, options et politiques locales.</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package.json</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Commandes de build et tests.</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scripts/engines/run-asr.py</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Routage ASR et moteur chinois.</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scripts/engines/install-python-engine.ps1</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Installation mutualisée des moteurs Python.</w:t>
            </w:r>
          </w:p>
        </w:tc>
      </w:tr>
    </w:tbl>
    <w:p>
      <w:pPr>
        <w:spacing w:after="0"/>
      </w:pPr>
    </w:p>
    <w:p>
      <w:pPr>
        <w:pStyle w:val="Heading2"/>
      </w:pPr>
      <w:r>
        <w:t>Documentation GPT active</w:t>
      </w:r>
    </w:p>
    <w:tbl>
      <w:tblPr>
        <w:tblStyle w:val="TableGrid"/>
        <w:tblW w:type="dxa" w:w="9360"/>
        <w:tblLayout w:type="fixed"/>
        <w:tblLook w:firstColumn="1" w:firstRow="1" w:lastColumn="0" w:lastRow="0" w:noHBand="0" w:noVBand="1" w:val="04A0"/>
        <w:tblInd w:w="120" w:type="dxa"/>
      </w:tblPr>
      <w:tblGrid>
        <w:gridCol w:w="5900"/>
        <w:gridCol w:w="3460"/>
      </w:tblGrid>
      <w:tr>
        <w:trPr>
          <w:trHeight w:hRule="atLeast"/>
          <w:tblHeader w:val="true"/>
          <w:cantSplit/>
        </w:trPr>
        <w:tc>
          <w:tcPr>
            <w:tcW w:type="dxa" w:w="5900"/>
            <w:shd w:fill="E8EEF5"/>
            <w:vAlign w:val="center"/>
            <w:tcMar>
              <w:top w:w="80" w:type="dxa"/>
              <w:start w:w="120" w:type="dxa"/>
              <w:bottom w:w="80" w:type="dxa"/>
              <w:end w:w="120" w:type="dxa"/>
            </w:tcMar>
          </w:tcPr>
          <w:p>
            <w:pPr>
              <w:spacing w:after="0"/>
            </w:pPr>
            <w:r>
              <w:rPr>
                <w:rFonts w:ascii="Calibri" w:hAnsi="Calibri"/>
                <w:b/>
                <w:color w:val="1F4D78"/>
                <w:sz w:val="17"/>
              </w:rPr>
              <w:t>Emplacement</w:t>
            </w:r>
          </w:p>
        </w:tc>
        <w:tc>
          <w:tcPr>
            <w:tcW w:type="dxa" w:w="3460"/>
            <w:shd w:fill="E8EEF5"/>
            <w:vAlign w:val="center"/>
            <w:tcMar>
              <w:top w:w="80" w:type="dxa"/>
              <w:start w:w="120" w:type="dxa"/>
              <w:bottom w:w="80" w:type="dxa"/>
              <w:end w:w="120" w:type="dxa"/>
            </w:tcMar>
          </w:tcPr>
          <w:p>
            <w:pPr>
              <w:spacing w:after="0"/>
            </w:pPr>
            <w:r>
              <w:rPr>
                <w:rFonts w:ascii="Calibri" w:hAnsi="Calibri"/>
                <w:b/>
                <w:color w:val="1F4D78"/>
                <w:sz w:val="17"/>
              </w:rPr>
              <w:t>Usage</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docs/custom-gpt-dubroom/INSTRUCTIONS_CHINESE_MULTISPEAKER_V3_8000.txt</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Instructions R3 à coller dans le GPT ; 7 550 caractères.</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docs/custom-gpt-dubroom/KNOWLEDGE_MULTISPEAKER_JSON_V3.txt</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Base de connaissances du format Multi-Speaker V3.</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docs/custom-gpt-dubroom/CREER_LE_GPT.md</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Procédure de configuration et fichiers à charger.</w:t>
            </w:r>
          </w:p>
        </w:tc>
      </w:tr>
      <w:tr>
        <w:trPr>
          <w:trHeight w:hRule="atLeast"/>
          <w:cantSplit/>
        </w:trPr>
        <w:tc>
          <w:tcPr>
            <w:tcW w:type="dxa" w:w="5900"/>
            <w:vAlign w:val="center"/>
            <w:tcMar>
              <w:top w:w="80" w:type="dxa"/>
              <w:start w:w="120" w:type="dxa"/>
              <w:bottom w:w="80" w:type="dxa"/>
              <w:end w:w="120" w:type="dxa"/>
            </w:tcMar>
          </w:tcPr>
          <w:p>
            <w:pPr>
              <w:spacing w:after="0" w:line="252" w:lineRule="auto"/>
            </w:pPr>
            <w:r>
              <w:rPr>
                <w:rFonts w:ascii="Consolas" w:hAnsi="Consolas"/>
                <w:color w:val="1F2937"/>
                <w:sz w:val="14"/>
              </w:rPr>
              <w:t>projects\sss-first-15min-v3\analysis\exchange\export-20260809-172248-manifest\sss-first-15min-v3-translation-manifest.json</w:t>
            </w:r>
          </w:p>
        </w:tc>
        <w:tc>
          <w:tcPr>
            <w:tcW w:type="dxa" w:w="3460"/>
            <w:vAlign w:val="center"/>
            <w:tcMar>
              <w:top w:w="80" w:type="dxa"/>
              <w:start w:w="120" w:type="dxa"/>
              <w:bottom w:w="80" w:type="dxa"/>
              <w:end w:w="120" w:type="dxa"/>
            </w:tcMar>
          </w:tcPr>
          <w:p>
            <w:pPr>
              <w:spacing w:after="0" w:line="252" w:lineRule="auto"/>
            </w:pPr>
            <w:r>
              <w:rPr>
                <w:rFonts w:ascii="Calibri" w:hAnsi="Calibri"/>
                <w:color w:val="1F2937"/>
                <w:sz w:val="16"/>
              </w:rPr>
              <w:t>Manifeste neuf exporté par l’application.</w:t>
            </w:r>
          </w:p>
        </w:tc>
      </w:tr>
    </w:tbl>
    <w:p>
      <w:pPr>
        <w:spacing w:after="0"/>
      </w:pPr>
    </w:p>
    <w:p>
      <w:r>
        <w:br w:type="page"/>
      </w:r>
    </w:p>
    <w:p>
      <w:pPr>
        <w:pStyle w:val="Heading1"/>
      </w:pPr>
      <w:r>
        <w:t>9. Problèmes encore présents</w:t>
      </w:r>
    </w:p>
    <w:tbl>
      <w:tblPr>
        <w:tblStyle w:val="TableGrid"/>
        <w:tblW w:type="dxa" w:w="9360"/>
        <w:tblLayout w:type="fixed"/>
        <w:tblLook w:firstColumn="1" w:firstRow="1" w:lastColumn="0" w:lastRow="0" w:noHBand="0" w:noVBand="1" w:val="04A0"/>
        <w:tblInd w:w="120" w:type="dxa"/>
      </w:tblPr>
      <w:tblGrid>
        <w:gridCol w:w="1100"/>
        <w:gridCol w:w="2400"/>
        <w:gridCol w:w="5860"/>
      </w:tblGrid>
      <w:tr>
        <w:trPr>
          <w:trHeight w:hRule="atLeast"/>
          <w:tblHeader w:val="true"/>
          <w:cantSplit/>
        </w:trPr>
        <w:tc>
          <w:tcPr>
            <w:tcW w:type="dxa" w:w="1100"/>
            <w:shd w:fill="E8EEF5"/>
            <w:vAlign w:val="center"/>
            <w:tcMar>
              <w:top w:w="80" w:type="dxa"/>
              <w:start w:w="120" w:type="dxa"/>
              <w:bottom w:w="80" w:type="dxa"/>
              <w:end w:w="120" w:type="dxa"/>
            </w:tcMar>
          </w:tcPr>
          <w:p>
            <w:pPr>
              <w:spacing w:after="0"/>
            </w:pPr>
            <w:r>
              <w:rPr>
                <w:rFonts w:ascii="Calibri" w:hAnsi="Calibri"/>
                <w:b/>
                <w:color w:val="1F4D78"/>
                <w:sz w:val="17"/>
              </w:rPr>
              <w:t>Priorité</w:t>
            </w:r>
          </w:p>
        </w:tc>
        <w:tc>
          <w:tcPr>
            <w:tcW w:type="dxa" w:w="2400"/>
            <w:shd w:fill="E8EEF5"/>
            <w:vAlign w:val="center"/>
            <w:tcMar>
              <w:top w:w="80" w:type="dxa"/>
              <w:start w:w="120" w:type="dxa"/>
              <w:bottom w:w="80" w:type="dxa"/>
              <w:end w:w="120" w:type="dxa"/>
            </w:tcMar>
          </w:tcPr>
          <w:p>
            <w:pPr>
              <w:spacing w:after="0"/>
            </w:pPr>
            <w:r>
              <w:rPr>
                <w:rFonts w:ascii="Calibri" w:hAnsi="Calibri"/>
                <w:b/>
                <w:color w:val="1F4D78"/>
                <w:sz w:val="17"/>
              </w:rPr>
              <w:t>Sujet</w:t>
            </w:r>
          </w:p>
        </w:tc>
        <w:tc>
          <w:tcPr>
            <w:tcW w:type="dxa" w:w="5860"/>
            <w:shd w:fill="E8EEF5"/>
            <w:vAlign w:val="center"/>
            <w:tcMar>
              <w:top w:w="80" w:type="dxa"/>
              <w:start w:w="120" w:type="dxa"/>
              <w:bottom w:w="80" w:type="dxa"/>
              <w:end w:w="120" w:type="dxa"/>
            </w:tcMar>
          </w:tcPr>
          <w:p>
            <w:pPr>
              <w:spacing w:after="0"/>
            </w:pPr>
            <w:r>
              <w:rPr>
                <w:rFonts w:ascii="Calibri" w:hAnsi="Calibri"/>
                <w:b/>
                <w:color w:val="1F4D78"/>
                <w:sz w:val="17"/>
              </w:rPr>
              <w:t>État / action</w:t>
            </w:r>
          </w:p>
        </w:tc>
      </w:tr>
      <w:tr>
        <w:trPr>
          <w:trHeight w:hRule="atLeast"/>
          <w:cantSplit/>
        </w:trPr>
        <w:tc>
          <w:tcPr>
            <w:tcW w:type="dxa" w:w="1100"/>
            <w:vAlign w:val="center"/>
            <w:tcMar>
              <w:top w:w="80" w:type="dxa"/>
              <w:start w:w="120" w:type="dxa"/>
              <w:bottom w:w="80" w:type="dxa"/>
              <w:end w:w="120" w:type="dxa"/>
            </w:tcMar>
          </w:tcPr>
          <w:p>
            <w:pPr>
              <w:spacing w:after="0" w:line="252" w:lineRule="auto"/>
            </w:pPr>
            <w:r>
              <w:rPr>
                <w:rFonts w:ascii="Calibri" w:hAnsi="Calibri"/>
                <w:color w:val="1F2937"/>
                <w:sz w:val="16"/>
              </w:rPr>
              <w:t>P1</w:t>
            </w:r>
          </w:p>
        </w:tc>
        <w:tc>
          <w:tcPr>
            <w:tcW w:type="dxa" w:w="2400"/>
            <w:vAlign w:val="center"/>
            <w:tcMar>
              <w:top w:w="80" w:type="dxa"/>
              <w:start w:w="120" w:type="dxa"/>
              <w:bottom w:w="80" w:type="dxa"/>
              <w:end w:w="120" w:type="dxa"/>
            </w:tcMar>
          </w:tcPr>
          <w:p>
            <w:pPr>
              <w:spacing w:after="0" w:line="252" w:lineRule="auto"/>
            </w:pPr>
            <w:r>
              <w:rPr>
                <w:rFonts w:ascii="Calibri" w:hAnsi="Calibri"/>
                <w:color w:val="1F2937"/>
                <w:sz w:val="16"/>
              </w:rPr>
              <w:t>Ancien script à refaire</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Le manifeste actuel vient du prompt R2. Il reste compatible, mais doit être régénéré avec le Kit R3 avant le prochain rendu.</w:t>
            </w:r>
          </w:p>
        </w:tc>
      </w:tr>
      <w:tr>
        <w:trPr>
          <w:trHeight w:hRule="atLeast"/>
          <w:cantSplit/>
        </w:trPr>
        <w:tc>
          <w:tcPr>
            <w:tcW w:type="dxa" w:w="1100"/>
            <w:vAlign w:val="center"/>
            <w:tcMar>
              <w:top w:w="80" w:type="dxa"/>
              <w:start w:w="120" w:type="dxa"/>
              <w:bottom w:w="80" w:type="dxa"/>
              <w:end w:w="120" w:type="dxa"/>
            </w:tcMar>
          </w:tcPr>
          <w:p>
            <w:pPr>
              <w:spacing w:after="0" w:line="252" w:lineRule="auto"/>
            </w:pPr>
            <w:r>
              <w:rPr>
                <w:rFonts w:ascii="Calibri" w:hAnsi="Calibri"/>
                <w:color w:val="1F2937"/>
                <w:sz w:val="16"/>
              </w:rPr>
              <w:t>P1</w:t>
            </w:r>
          </w:p>
        </w:tc>
        <w:tc>
          <w:tcPr>
            <w:tcW w:type="dxa" w:w="2400"/>
            <w:vAlign w:val="center"/>
            <w:tcMar>
              <w:top w:w="80" w:type="dxa"/>
              <w:start w:w="120" w:type="dxa"/>
              <w:bottom w:w="80" w:type="dxa"/>
              <w:end w:w="120" w:type="dxa"/>
            </w:tcMar>
          </w:tcPr>
          <w:p>
            <w:pPr>
              <w:spacing w:after="0" w:line="252" w:lineRule="auto"/>
            </w:pPr>
            <w:r>
              <w:rPr>
                <w:rFonts w:ascii="Calibri" w:hAnsi="Calibri"/>
                <w:color w:val="1F2937"/>
                <w:sz w:val="16"/>
              </w:rPr>
              <w:t>Qualité du script existant</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4 unités UNKNOWN et 15 unités de deux mots ou moins ; fragments notables : “She’s only” et “Qingshan Guild...”</w:t>
            </w:r>
          </w:p>
        </w:tc>
      </w:tr>
      <w:tr>
        <w:trPr>
          <w:trHeight w:hRule="atLeast"/>
          <w:cantSplit/>
        </w:trPr>
        <w:tc>
          <w:tcPr>
            <w:tcW w:type="dxa" w:w="1100"/>
            <w:vAlign w:val="center"/>
            <w:tcMar>
              <w:top w:w="80" w:type="dxa"/>
              <w:start w:w="120" w:type="dxa"/>
              <w:bottom w:w="80" w:type="dxa"/>
              <w:end w:w="120" w:type="dxa"/>
            </w:tcMar>
          </w:tcPr>
          <w:p>
            <w:pPr>
              <w:spacing w:after="0" w:line="252" w:lineRule="auto"/>
            </w:pPr>
            <w:r>
              <w:rPr>
                <w:rFonts w:ascii="Calibri" w:hAnsi="Calibri"/>
                <w:color w:val="1F2937"/>
                <w:sz w:val="16"/>
              </w:rPr>
              <w:t>P1</w:t>
            </w:r>
          </w:p>
        </w:tc>
        <w:tc>
          <w:tcPr>
            <w:tcW w:type="dxa" w:w="2400"/>
            <w:vAlign w:val="center"/>
            <w:tcMar>
              <w:top w:w="80" w:type="dxa"/>
              <w:start w:w="120" w:type="dxa"/>
              <w:bottom w:w="80" w:type="dxa"/>
              <w:end w:w="120" w:type="dxa"/>
            </w:tcMar>
          </w:tcPr>
          <w:p>
            <w:pPr>
              <w:spacing w:after="0" w:line="252" w:lineRule="auto"/>
            </w:pPr>
            <w:r>
              <w:rPr>
                <w:rFonts w:ascii="Calibri" w:hAnsi="Calibri"/>
                <w:color w:val="1F2937"/>
                <w:sz w:val="16"/>
              </w:rPr>
              <w:t>Étape GPT externe</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L’application prépare et valide tout, mais le Custom GPT privé reste manuel : exporter, joindre, télécharger, réimporter.</w:t>
            </w:r>
          </w:p>
        </w:tc>
      </w:tr>
      <w:tr>
        <w:trPr>
          <w:trHeight w:hRule="atLeast"/>
          <w:cantSplit/>
        </w:trPr>
        <w:tc>
          <w:tcPr>
            <w:tcW w:type="dxa" w:w="1100"/>
            <w:vAlign w:val="center"/>
            <w:tcMar>
              <w:top w:w="80" w:type="dxa"/>
              <w:start w:w="120" w:type="dxa"/>
              <w:bottom w:w="80" w:type="dxa"/>
              <w:end w:w="120" w:type="dxa"/>
            </w:tcMar>
          </w:tcPr>
          <w:p>
            <w:pPr>
              <w:spacing w:after="0" w:line="252" w:lineRule="auto"/>
            </w:pPr>
            <w:r>
              <w:rPr>
                <w:rFonts w:ascii="Calibri" w:hAnsi="Calibri"/>
                <w:color w:val="1F2937"/>
                <w:sz w:val="16"/>
              </w:rPr>
              <w:t>P2</w:t>
            </w:r>
          </w:p>
        </w:tc>
        <w:tc>
          <w:tcPr>
            <w:tcW w:type="dxa" w:w="2400"/>
            <w:vAlign w:val="center"/>
            <w:tcMar>
              <w:top w:w="80" w:type="dxa"/>
              <w:start w:w="120" w:type="dxa"/>
              <w:bottom w:w="80" w:type="dxa"/>
              <w:end w:w="120" w:type="dxa"/>
            </w:tcMar>
          </w:tcPr>
          <w:p>
            <w:pPr>
              <w:spacing w:after="0" w:line="252" w:lineRule="auto"/>
            </w:pPr>
            <w:r>
              <w:rPr>
                <w:rFonts w:ascii="Calibri" w:hAnsi="Calibri"/>
                <w:color w:val="1F2937"/>
                <w:sz w:val="16"/>
              </w:rPr>
              <w:t>Séparation SFX</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bed.wav est combiné ; certains effets peuvent encore être modifiés ou contenir du bleed vocal.</w:t>
            </w:r>
          </w:p>
        </w:tc>
      </w:tr>
      <w:tr>
        <w:trPr>
          <w:trHeight w:hRule="atLeast"/>
          <w:cantSplit/>
        </w:trPr>
        <w:tc>
          <w:tcPr>
            <w:tcW w:type="dxa" w:w="1100"/>
            <w:vAlign w:val="center"/>
            <w:tcMar>
              <w:top w:w="80" w:type="dxa"/>
              <w:start w:w="120" w:type="dxa"/>
              <w:bottom w:w="80" w:type="dxa"/>
              <w:end w:w="120" w:type="dxa"/>
            </w:tcMar>
          </w:tcPr>
          <w:p>
            <w:pPr>
              <w:spacing w:after="0" w:line="252" w:lineRule="auto"/>
            </w:pPr>
            <w:r>
              <w:rPr>
                <w:rFonts w:ascii="Calibri" w:hAnsi="Calibri"/>
                <w:color w:val="1F2937"/>
                <w:sz w:val="16"/>
              </w:rPr>
              <w:t>P2</w:t>
            </w:r>
          </w:p>
        </w:tc>
        <w:tc>
          <w:tcPr>
            <w:tcW w:type="dxa" w:w="2400"/>
            <w:vAlign w:val="center"/>
            <w:tcMar>
              <w:top w:w="80" w:type="dxa"/>
              <w:start w:w="120" w:type="dxa"/>
              <w:bottom w:w="80" w:type="dxa"/>
              <w:end w:w="120" w:type="dxa"/>
            </w:tcMar>
          </w:tcPr>
          <w:p>
            <w:pPr>
              <w:spacing w:after="0" w:line="252" w:lineRule="auto"/>
            </w:pPr>
            <w:r>
              <w:rPr>
                <w:rFonts w:ascii="Calibri" w:hAnsi="Calibri"/>
                <w:color w:val="1F2937"/>
                <w:sz w:val="16"/>
              </w:rPr>
              <w:t>ASR chinois</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FunASR réduit les phrases corrompues, mais noms propres et voix couvertes par les SFX doivent être revus sur une vraie vidéo.</w:t>
            </w:r>
          </w:p>
        </w:tc>
      </w:tr>
      <w:tr>
        <w:trPr>
          <w:trHeight w:hRule="atLeast"/>
          <w:cantSplit/>
        </w:trPr>
        <w:tc>
          <w:tcPr>
            <w:tcW w:type="dxa" w:w="1100"/>
            <w:vAlign w:val="center"/>
            <w:tcMar>
              <w:top w:w="80" w:type="dxa"/>
              <w:start w:w="120" w:type="dxa"/>
              <w:bottom w:w="80" w:type="dxa"/>
              <w:end w:w="120" w:type="dxa"/>
            </w:tcMar>
          </w:tcPr>
          <w:p>
            <w:pPr>
              <w:spacing w:after="0" w:line="252" w:lineRule="auto"/>
            </w:pPr>
            <w:r>
              <w:rPr>
                <w:rFonts w:ascii="Calibri" w:hAnsi="Calibri"/>
                <w:color w:val="1F2937"/>
                <w:sz w:val="16"/>
              </w:rPr>
              <w:t>P2</w:t>
            </w:r>
          </w:p>
        </w:tc>
        <w:tc>
          <w:tcPr>
            <w:tcW w:type="dxa" w:w="2400"/>
            <w:vAlign w:val="center"/>
            <w:tcMar>
              <w:top w:w="80" w:type="dxa"/>
              <w:start w:w="120" w:type="dxa"/>
              <w:bottom w:w="80" w:type="dxa"/>
              <w:end w:w="120" w:type="dxa"/>
            </w:tcMar>
          </w:tcPr>
          <w:p>
            <w:pPr>
              <w:spacing w:after="0" w:line="252" w:lineRule="auto"/>
            </w:pPr>
            <w:r>
              <w:rPr>
                <w:rFonts w:ascii="Calibri" w:hAnsi="Calibri"/>
                <w:color w:val="1F2937"/>
                <w:sz w:val="16"/>
              </w:rPr>
              <w:t>Sur-segmentation acoustique</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Le test avait 87 clusters temporaires. Le GPT doit les fusionner en personnages stables.</w:t>
            </w:r>
          </w:p>
        </w:tc>
      </w:tr>
      <w:tr>
        <w:trPr>
          <w:trHeight w:hRule="atLeast"/>
          <w:cantSplit/>
        </w:trPr>
        <w:tc>
          <w:tcPr>
            <w:tcW w:type="dxa" w:w="1100"/>
            <w:vAlign w:val="center"/>
            <w:tcMar>
              <w:top w:w="80" w:type="dxa"/>
              <w:start w:w="120" w:type="dxa"/>
              <w:bottom w:w="80" w:type="dxa"/>
              <w:end w:w="120" w:type="dxa"/>
            </w:tcMar>
          </w:tcPr>
          <w:p>
            <w:pPr>
              <w:spacing w:after="0" w:line="252" w:lineRule="auto"/>
            </w:pPr>
            <w:r>
              <w:rPr>
                <w:rFonts w:ascii="Calibri" w:hAnsi="Calibri"/>
                <w:color w:val="1F2937"/>
                <w:sz w:val="16"/>
              </w:rPr>
              <w:t>P2</w:t>
            </w:r>
          </w:p>
        </w:tc>
        <w:tc>
          <w:tcPr>
            <w:tcW w:type="dxa" w:w="2400"/>
            <w:vAlign w:val="center"/>
            <w:tcMar>
              <w:top w:w="80" w:type="dxa"/>
              <w:start w:w="120" w:type="dxa"/>
              <w:bottom w:w="80" w:type="dxa"/>
              <w:end w:w="120" w:type="dxa"/>
            </w:tcMar>
          </w:tcPr>
          <w:p>
            <w:pPr>
              <w:spacing w:after="0" w:line="252" w:lineRule="auto"/>
            </w:pPr>
            <w:r>
              <w:rPr>
                <w:rFonts w:ascii="Calibri" w:hAnsi="Calibri"/>
                <w:color w:val="1F2937"/>
                <w:sz w:val="16"/>
              </w:rPr>
              <w:t>Concurrence GPU</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Le planificateur est intégré, mais un run long avec plusieurs moteurs lourds n’est pas encore stress-testé.</w:t>
            </w:r>
          </w:p>
        </w:tc>
      </w:tr>
      <w:tr>
        <w:trPr>
          <w:trHeight w:hRule="atLeast"/>
          <w:cantSplit/>
        </w:trPr>
        <w:tc>
          <w:tcPr>
            <w:tcW w:type="dxa" w:w="1100"/>
            <w:vAlign w:val="center"/>
            <w:tcMar>
              <w:top w:w="80" w:type="dxa"/>
              <w:start w:w="120" w:type="dxa"/>
              <w:bottom w:w="80" w:type="dxa"/>
              <w:end w:w="120" w:type="dxa"/>
            </w:tcMar>
          </w:tcPr>
          <w:p>
            <w:pPr>
              <w:spacing w:after="0" w:line="252" w:lineRule="auto"/>
            </w:pPr>
            <w:r>
              <w:rPr>
                <w:rFonts w:ascii="Calibri" w:hAnsi="Calibri"/>
                <w:color w:val="1F2937"/>
                <w:sz w:val="16"/>
              </w:rPr>
              <w:t>P3</w:t>
            </w:r>
          </w:p>
        </w:tc>
        <w:tc>
          <w:tcPr>
            <w:tcW w:type="dxa" w:w="2400"/>
            <w:vAlign w:val="center"/>
            <w:tcMar>
              <w:top w:w="80" w:type="dxa"/>
              <w:start w:w="120" w:type="dxa"/>
              <w:bottom w:w="80" w:type="dxa"/>
              <w:end w:w="120" w:type="dxa"/>
            </w:tcMar>
          </w:tcPr>
          <w:p>
            <w:pPr>
              <w:spacing w:after="0" w:line="252" w:lineRule="auto"/>
            </w:pPr>
            <w:r>
              <w:rPr>
                <w:rFonts w:ascii="Calibri" w:hAnsi="Calibri"/>
                <w:color w:val="1F2937"/>
                <w:sz w:val="16"/>
              </w:rPr>
              <w:t>Warning Windows</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expandable_segments not supported peut rester visible ; il n’empêche pas OmniVoice de fonctionner.</w:t>
            </w:r>
          </w:p>
        </w:tc>
      </w:tr>
      <w:tr>
        <w:trPr>
          <w:trHeight w:hRule="atLeast"/>
          <w:cantSplit/>
        </w:trPr>
        <w:tc>
          <w:tcPr>
            <w:tcW w:type="dxa" w:w="1100"/>
            <w:vAlign w:val="center"/>
            <w:tcMar>
              <w:top w:w="80" w:type="dxa"/>
              <w:start w:w="120" w:type="dxa"/>
              <w:bottom w:w="80" w:type="dxa"/>
              <w:end w:w="120" w:type="dxa"/>
            </w:tcMar>
          </w:tcPr>
          <w:p>
            <w:pPr>
              <w:spacing w:after="0" w:line="252" w:lineRule="auto"/>
            </w:pPr>
            <w:r>
              <w:rPr>
                <w:rFonts w:ascii="Calibri" w:hAnsi="Calibri"/>
                <w:color w:val="1F2937"/>
                <w:sz w:val="16"/>
              </w:rPr>
              <w:t>P3</w:t>
            </w:r>
          </w:p>
        </w:tc>
        <w:tc>
          <w:tcPr>
            <w:tcW w:type="dxa" w:w="2400"/>
            <w:vAlign w:val="center"/>
            <w:tcMar>
              <w:top w:w="80" w:type="dxa"/>
              <w:start w:w="120" w:type="dxa"/>
              <w:bottom w:w="80" w:type="dxa"/>
              <w:end w:w="120" w:type="dxa"/>
            </w:tcMar>
          </w:tcPr>
          <w:p>
            <w:pPr>
              <w:spacing w:after="0" w:line="252" w:lineRule="auto"/>
            </w:pPr>
            <w:r>
              <w:rPr>
                <w:rFonts w:ascii="Calibri" w:hAnsi="Calibri"/>
                <w:color w:val="1F2937"/>
                <w:sz w:val="16"/>
              </w:rPr>
              <w:t>Taille de l’interface</w:t>
            </w:r>
          </w:p>
        </w:tc>
        <w:tc>
          <w:tcPr>
            <w:tcW w:type="dxa" w:w="5860"/>
            <w:vAlign w:val="center"/>
            <w:tcMar>
              <w:top w:w="80" w:type="dxa"/>
              <w:start w:w="120" w:type="dxa"/>
              <w:bottom w:w="80" w:type="dxa"/>
              <w:end w:w="120" w:type="dxa"/>
            </w:tcMar>
          </w:tcPr>
          <w:p>
            <w:pPr>
              <w:spacing w:after="0" w:line="252" w:lineRule="auto"/>
            </w:pPr>
            <w:r>
              <w:rPr>
                <w:rFonts w:ascii="Calibri" w:hAnsi="Calibri"/>
                <w:color w:val="1F2937"/>
                <w:sz w:val="16"/>
              </w:rPr>
              <w:t>Avertissement de bundle supérieur à 500 kB ; aucun impact fonctionnel, découpage futur possible.</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rPr>
          <w:trHeight w:hRule="atLeast"/>
          <w:tblHeader w:val="true"/>
          <w:cantSplit/>
        </w:trPr>
        <w:tc>
          <w:tcPr>
            <w:tcW w:type="dxa" w:w="9360"/>
            <w:shd w:fill="FFF3CD"/>
            <w:vAlign w:val="center"/>
            <w:tcMar>
              <w:top w:w="80" w:type="dxa"/>
              <w:start w:w="120" w:type="dxa"/>
              <w:bottom w:w="80" w:type="dxa"/>
              <w:end w:w="120" w:type="dxa"/>
            </w:tcMar>
          </w:tcPr>
          <w:p>
            <w:pPr>
              <w:spacing w:after="60"/>
            </w:pPr>
            <w:r>
              <w:rPr>
                <w:rFonts w:ascii="Calibri" w:hAnsi="Calibri"/>
                <w:b/>
                <w:color w:val="1F4D78"/>
                <w:sz w:val="21"/>
              </w:rPr>
              <w:t>Redémarrage requis</w:t>
            </w:r>
          </w:p>
          <w:p>
            <w:pPr>
              <w:spacing w:after="0" w:line="276" w:lineRule="auto"/>
            </w:pPr>
            <w:r>
              <w:t>Si DubRoom ou son service local était déjà ouvert pendant les modifications, fermer puis relancer l’application afin de charger le nouveau code.</w:t>
            </w:r>
          </w:p>
        </w:tc>
      </w:tr>
    </w:tbl>
    <w:p>
      <w:pPr>
        <w:spacing w:after="0"/>
      </w:pPr>
    </w:p>
    <w:p>
      <w:pPr>
        <w:pStyle w:val="Heading1"/>
      </w:pPr>
      <w:r>
        <w:t>10. Prochain test recommandé</w:t>
      </w:r>
    </w:p>
    <w:p>
      <w:pPr>
        <w:numPr>
          <w:ilvl w:val="0"/>
          <w:numId w:val="11"/>
        </w:numPr>
        <w:spacing w:after="80" w:line="300" w:lineRule="auto"/>
      </w:pPr>
      <w:r>
        <w:t>Relancer DubRoom et ouvrir le projet Multi-Speaker.</w:t>
      </w:r>
    </w:p>
    <w:p>
      <w:pPr>
        <w:numPr>
          <w:ilvl w:val="0"/>
          <w:numId w:val="11"/>
        </w:numPr>
        <w:spacing w:after="80" w:line="300" w:lineRule="auto"/>
      </w:pPr>
      <w:r>
        <w:t>Exporter le nouveau Kit GPT daté du 9 août 2026.</w:t>
      </w:r>
    </w:p>
    <w:p>
      <w:pPr>
        <w:numPr>
          <w:ilvl w:val="0"/>
          <w:numId w:val="11"/>
        </w:numPr>
        <w:spacing w:after="80" w:line="300" w:lineRule="auto"/>
      </w:pPr>
      <w:r>
        <w:t>Configurer le Custom GPT avec les instructions R3 et la base de connaissances V3 actives.</w:t>
      </w:r>
    </w:p>
    <w:p>
      <w:pPr>
        <w:numPr>
          <w:ilvl w:val="0"/>
          <w:numId w:val="11"/>
        </w:numPr>
        <w:spacing w:after="80" w:line="300" w:lineRule="auto"/>
      </w:pPr>
      <w:r>
        <w:t>Régénérer le script des 15 minutes ; vérifier personnages, narrator/MC, émotions et absence de fragments.</w:t>
      </w:r>
    </w:p>
    <w:p>
      <w:pPr>
        <w:numPr>
          <w:ilvl w:val="0"/>
          <w:numId w:val="11"/>
        </w:numPr>
        <w:spacing w:after="80" w:line="300" w:lineRule="auto"/>
      </w:pPr>
      <w:r>
        <w:t>Réimporter : ne continuer que si la prévisualisation ne signale aucune erreur bloquante.</w:t>
      </w:r>
    </w:p>
    <w:p>
      <w:pPr>
        <w:numPr>
          <w:ilvl w:val="0"/>
          <w:numId w:val="11"/>
        </w:numPr>
        <w:spacing w:after="80" w:line="300" w:lineRule="auto"/>
      </w:pPr>
      <w:r>
        <w:t>Caster une voix marquante pour NARRATOR/MC, l’héroïne et l’antagoniste, puis générer sur OmniVoice CUDA.</w:t>
      </w:r>
    </w:p>
    <w:p>
      <w:pPr>
        <w:numPr>
          <w:ilvl w:val="0"/>
          <w:numId w:val="11"/>
        </w:numPr>
        <w:spacing w:after="80" w:line="300" w:lineRule="auto"/>
      </w:pPr>
      <w:r>
        <w:t>Synchroniser, écouter des points riches en SFX et exporter la vidéo finale.</w:t>
      </w:r>
    </w:p>
    <w:tbl>
      <w:tblPr>
        <w:tblStyle w:val="TableGrid"/>
        <w:tblW w:type="dxa" w:w="9360"/>
        <w:tblLayout w:type="fixed"/>
        <w:tblLook w:firstColumn="1" w:firstRow="1" w:lastColumn="0" w:lastRow="0" w:noHBand="0" w:noVBand="1" w:val="04A0"/>
        <w:tblInd w:w="120" w:type="dxa"/>
      </w:tblPr>
      <w:tblGrid>
        <w:gridCol w:w="9360"/>
      </w:tblGrid>
      <w:tr>
        <w:trPr>
          <w:trHeight w:hRule="atLeast"/>
          <w:tblHeader w:val="true"/>
          <w:cantSplit/>
        </w:trPr>
        <w:tc>
          <w:tcPr>
            <w:tcW w:type="dxa" w:w="9360"/>
            <w:shd w:fill="E7F4EA"/>
            <w:vAlign w:val="center"/>
            <w:tcMar>
              <w:top w:w="80" w:type="dxa"/>
              <w:start w:w="120" w:type="dxa"/>
              <w:bottom w:w="80" w:type="dxa"/>
              <w:end w:w="120" w:type="dxa"/>
            </w:tcMar>
          </w:tcPr>
          <w:p>
            <w:pPr>
              <w:spacing w:after="60"/>
            </w:pPr>
            <w:r>
              <w:rPr>
                <w:rFonts w:ascii="Calibri" w:hAnsi="Calibri"/>
                <w:b/>
                <w:color w:val="1F4D78"/>
                <w:sz w:val="21"/>
              </w:rPr>
              <w:t>Critère de réussite</w:t>
            </w:r>
          </w:p>
          <w:p>
            <w:pPr>
              <w:spacing w:after="0" w:line="276" w:lineRule="auto"/>
            </w:pPr>
            <w:r>
              <w:t>Une vidéo de 15 à 20 minutes où le narrateur reste distinct du MC, chaque personnage garde sa voix, les événements expressifs sont naturels, aucun dialogue n’est muet et les SFX restent audibles.</w:t>
            </w:r>
          </w:p>
        </w:tc>
      </w:tr>
    </w:tbl>
    <w:p>
      <w:pPr>
        <w:spacing w:after="0"/>
      </w:pPr>
    </w:p>
    <w:p>
      <w:pPr>
        <w:pStyle w:val="Heading1"/>
      </w:pPr>
      <w:r>
        <w:t>11. Emplacements de livraison</w:t>
      </w:r>
    </w:p>
    <w:tbl>
      <w:tblPr>
        <w:tblStyle w:val="TableGrid"/>
        <w:tblW w:type="dxa" w:w="9360"/>
        <w:tblLayout w:type="fixed"/>
        <w:tblLook w:firstColumn="1" w:firstRow="1" w:lastColumn="0" w:lastRow="0" w:noHBand="0" w:noVBand="1" w:val="04A0"/>
        <w:tblInd w:w="120" w:type="dxa"/>
      </w:tblPr>
      <w:tblGrid>
        <w:gridCol w:w="6500"/>
        <w:gridCol w:w="2860"/>
      </w:tblGrid>
      <w:tr>
        <w:trPr>
          <w:trHeight w:hRule="atLeast"/>
          <w:tblHeader w:val="true"/>
          <w:cantSplit/>
        </w:trPr>
        <w:tc>
          <w:tcPr>
            <w:tcW w:type="dxa" w:w="6500"/>
            <w:shd w:fill="E8EEF5"/>
            <w:vAlign w:val="center"/>
            <w:tcMar>
              <w:top w:w="80" w:type="dxa"/>
              <w:start w:w="120" w:type="dxa"/>
              <w:bottom w:w="80" w:type="dxa"/>
              <w:end w:w="120" w:type="dxa"/>
            </w:tcMar>
          </w:tcPr>
          <w:p>
            <w:pPr>
              <w:spacing w:after="0"/>
            </w:pPr>
            <w:r>
              <w:rPr>
                <w:rFonts w:ascii="Calibri" w:hAnsi="Calibri"/>
                <w:b/>
                <w:color w:val="1F4D78"/>
                <w:sz w:val="17"/>
              </w:rPr>
              <w:t>Chemin</w:t>
            </w:r>
          </w:p>
        </w:tc>
        <w:tc>
          <w:tcPr>
            <w:tcW w:type="dxa" w:w="2860"/>
            <w:shd w:fill="E8EEF5"/>
            <w:vAlign w:val="center"/>
            <w:tcMar>
              <w:top w:w="80" w:type="dxa"/>
              <w:start w:w="120" w:type="dxa"/>
              <w:bottom w:w="80" w:type="dxa"/>
              <w:end w:w="120" w:type="dxa"/>
            </w:tcMar>
          </w:tcPr>
          <w:p>
            <w:pPr>
              <w:spacing w:after="0"/>
            </w:pPr>
            <w:r>
              <w:rPr>
                <w:rFonts w:ascii="Calibri" w:hAnsi="Calibri"/>
                <w:b/>
                <w:color w:val="1F4D78"/>
                <w:sz w:val="17"/>
              </w:rPr>
              <w:t>Contenu</w:t>
            </w:r>
          </w:p>
        </w:tc>
      </w:tr>
      <w:tr>
        <w:trPr>
          <w:trHeight w:hRule="atLeast"/>
          <w:cantSplit/>
        </w:trPr>
        <w:tc>
          <w:tcPr>
            <w:tcW w:type="dxa" w:w="6500"/>
            <w:vAlign w:val="center"/>
            <w:tcMar>
              <w:top w:w="80" w:type="dxa"/>
              <w:start w:w="120" w:type="dxa"/>
              <w:bottom w:w="80" w:type="dxa"/>
              <w:end w:w="120" w:type="dxa"/>
            </w:tcMar>
          </w:tcPr>
          <w:p>
            <w:pPr>
              <w:spacing w:after="0" w:line="252" w:lineRule="auto"/>
            </w:pPr>
            <w:r>
              <w:rPr>
                <w:rFonts w:ascii="Consolas" w:hAnsi="Consolas"/>
                <w:color w:val="1F2937"/>
                <w:sz w:val="14"/>
              </w:rPr>
              <w:t>D:\manhwa studio\anime_manga_manhua_dubbing_app\docs\DubRoom_Compte_Rendu_Complet_MultiSpeaker_GPT_SFX_2026-08-09.docx</w:t>
            </w:r>
          </w:p>
        </w:tc>
        <w:tc>
          <w:tcPr>
            <w:tcW w:type="dxa" w:w="2860"/>
            <w:vAlign w:val="center"/>
            <w:tcMar>
              <w:top w:w="80" w:type="dxa"/>
              <w:start w:w="120" w:type="dxa"/>
              <w:bottom w:w="80" w:type="dxa"/>
              <w:end w:w="120" w:type="dxa"/>
            </w:tcMar>
          </w:tcPr>
          <w:p>
            <w:pPr>
              <w:spacing w:after="0" w:line="252" w:lineRule="auto"/>
            </w:pPr>
            <w:r>
              <w:rPr>
                <w:rFonts w:ascii="Calibri" w:hAnsi="Calibri"/>
                <w:color w:val="1F2937"/>
                <w:sz w:val="16"/>
              </w:rPr>
              <w:t>Présent compte rendu Word.</w:t>
            </w:r>
          </w:p>
        </w:tc>
      </w:tr>
      <w:tr>
        <w:trPr>
          <w:trHeight w:hRule="atLeast"/>
          <w:cantSplit/>
        </w:trPr>
        <w:tc>
          <w:tcPr>
            <w:tcW w:type="dxa" w:w="6500"/>
            <w:vAlign w:val="center"/>
            <w:tcMar>
              <w:top w:w="80" w:type="dxa"/>
              <w:start w:w="120" w:type="dxa"/>
              <w:bottom w:w="80" w:type="dxa"/>
              <w:end w:w="120" w:type="dxa"/>
            </w:tcMar>
          </w:tcPr>
          <w:p>
            <w:pPr>
              <w:spacing w:after="0" w:line="252" w:lineRule="auto"/>
            </w:pPr>
            <w:r>
              <w:rPr>
                <w:rFonts w:ascii="Consolas" w:hAnsi="Consolas"/>
                <w:color w:val="1F2937"/>
                <w:sz w:val="14"/>
              </w:rPr>
              <w:t>D:\manhwa studio\anime_manga_manhua_dubbing_app\projects\sss-first-15min-v3\analysis\exchange\export-20260809-172248-manifest</w:t>
            </w:r>
          </w:p>
        </w:tc>
        <w:tc>
          <w:tcPr>
            <w:tcW w:type="dxa" w:w="2860"/>
            <w:vAlign w:val="center"/>
            <w:tcMar>
              <w:top w:w="80" w:type="dxa"/>
              <w:start w:w="120" w:type="dxa"/>
              <w:bottom w:w="80" w:type="dxa"/>
              <w:end w:w="120" w:type="dxa"/>
            </w:tcMar>
          </w:tcPr>
          <w:p>
            <w:pPr>
              <w:spacing w:after="0" w:line="252" w:lineRule="auto"/>
            </w:pPr>
            <w:r>
              <w:rPr>
                <w:rFonts w:ascii="Calibri" w:hAnsi="Calibri"/>
                <w:color w:val="1F2937"/>
                <w:sz w:val="16"/>
              </w:rPr>
              <w:t>Kit GPT R3 fraîchement produit par DubRoom.</w:t>
            </w:r>
          </w:p>
        </w:tc>
      </w:tr>
      <w:tr>
        <w:trPr>
          <w:trHeight w:hRule="atLeast"/>
          <w:cantSplit/>
        </w:trPr>
        <w:tc>
          <w:tcPr>
            <w:tcW w:type="dxa" w:w="6500"/>
            <w:vAlign w:val="center"/>
            <w:tcMar>
              <w:top w:w="80" w:type="dxa"/>
              <w:start w:w="120" w:type="dxa"/>
              <w:bottom w:w="80" w:type="dxa"/>
              <w:end w:w="120" w:type="dxa"/>
            </w:tcMar>
          </w:tcPr>
          <w:p>
            <w:pPr>
              <w:spacing w:after="0" w:line="252" w:lineRule="auto"/>
            </w:pPr>
            <w:r>
              <w:rPr>
                <w:rFonts w:ascii="Consolas" w:hAnsi="Consolas"/>
                <w:color w:val="1F2937"/>
                <w:sz w:val="14"/>
              </w:rPr>
              <w:t>D:\manhwa studio\anime_manga_manhua_dubbing_app\exports\SSS Sacrificial Mage - test 15 min Multi-Speaker V3-20260809-170507</w:t>
            </w:r>
          </w:p>
        </w:tc>
        <w:tc>
          <w:tcPr>
            <w:tcW w:type="dxa" w:w="2860"/>
            <w:vAlign w:val="center"/>
            <w:tcMar>
              <w:top w:w="80" w:type="dxa"/>
              <w:start w:w="120" w:type="dxa"/>
              <w:bottom w:w="80" w:type="dxa"/>
              <w:end w:w="120" w:type="dxa"/>
            </w:tcMar>
          </w:tcPr>
          <w:p>
            <w:pPr>
              <w:spacing w:after="0" w:line="252" w:lineRule="auto"/>
            </w:pPr>
            <w:r>
              <w:rPr>
                <w:rFonts w:ascii="Calibri" w:hAnsi="Calibri"/>
                <w:color w:val="1F2937"/>
                <w:sz w:val="16"/>
              </w:rPr>
              <w:t>Dernier export vidéo 15 min avec SFX rétablis.</w:t>
            </w:r>
          </w:p>
        </w:tc>
      </w:tr>
      <w:tr>
        <w:trPr>
          <w:trHeight w:hRule="atLeast"/>
          <w:cantSplit/>
        </w:trPr>
        <w:tc>
          <w:tcPr>
            <w:tcW w:type="dxa" w:w="6500"/>
            <w:vAlign w:val="center"/>
            <w:tcMar>
              <w:top w:w="80" w:type="dxa"/>
              <w:start w:w="120" w:type="dxa"/>
              <w:bottom w:w="80" w:type="dxa"/>
              <w:end w:w="120" w:type="dxa"/>
            </w:tcMar>
          </w:tcPr>
          <w:p>
            <w:pPr>
              <w:spacing w:after="0" w:line="252" w:lineRule="auto"/>
            </w:pPr>
            <w:r>
              <w:rPr>
                <w:rFonts w:ascii="Consolas" w:hAnsi="Consolas"/>
                <w:color w:val="1F2937"/>
                <w:sz w:val="14"/>
              </w:rPr>
              <w:t>D:\manhwa studio\anime_manga_manhua_dubbing_app\data\environments\asr-funasr-zh\ready.json</w:t>
            </w:r>
          </w:p>
        </w:tc>
        <w:tc>
          <w:tcPr>
            <w:tcW w:type="dxa" w:w="2860"/>
            <w:vAlign w:val="center"/>
            <w:tcMar>
              <w:top w:w="80" w:type="dxa"/>
              <w:start w:w="120" w:type="dxa"/>
              <w:bottom w:w="80" w:type="dxa"/>
              <w:end w:w="120" w:type="dxa"/>
            </w:tcMar>
          </w:tcPr>
          <w:p>
            <w:pPr>
              <w:spacing w:after="0" w:line="252" w:lineRule="auto"/>
            </w:pPr>
            <w:r>
              <w:rPr>
                <w:rFonts w:ascii="Calibri" w:hAnsi="Calibri"/>
                <w:color w:val="1F2937"/>
                <w:sz w:val="16"/>
              </w:rPr>
              <w:t>Preuve d’installation FunASR CUDA.</w:t>
            </w:r>
          </w:p>
        </w:tc>
      </w:tr>
      <w:tr>
        <w:trPr>
          <w:trHeight w:hRule="atLeast"/>
          <w:cantSplit/>
        </w:trPr>
        <w:tc>
          <w:tcPr>
            <w:tcW w:type="dxa" w:w="6500"/>
            <w:vAlign w:val="center"/>
            <w:tcMar>
              <w:top w:w="80" w:type="dxa"/>
              <w:start w:w="120" w:type="dxa"/>
              <w:bottom w:w="80" w:type="dxa"/>
              <w:end w:w="120" w:type="dxa"/>
            </w:tcMar>
          </w:tcPr>
          <w:p>
            <w:pPr>
              <w:spacing w:after="0" w:line="252" w:lineRule="auto"/>
            </w:pPr>
            <w:r>
              <w:rPr>
                <w:rFonts w:ascii="Consolas" w:hAnsi="Consolas"/>
                <w:color w:val="1F2937"/>
                <w:sz w:val="14"/>
              </w:rPr>
              <w:t>D:\manhwa studio\anime_manga_manhua_dubbing_app\data\tts\audio\1df19e8a4a174015a294490013315ac8.wav</w:t>
            </w:r>
          </w:p>
        </w:tc>
        <w:tc>
          <w:tcPr>
            <w:tcW w:type="dxa" w:w="2860"/>
            <w:vAlign w:val="center"/>
            <w:tcMar>
              <w:top w:w="80" w:type="dxa"/>
              <w:start w:w="120" w:type="dxa"/>
              <w:bottom w:w="80" w:type="dxa"/>
              <w:end w:w="120" w:type="dxa"/>
            </w:tcMar>
          </w:tcPr>
          <w:p>
            <w:pPr>
              <w:spacing w:after="0" w:line="252" w:lineRule="auto"/>
            </w:pPr>
            <w:r>
              <w:rPr>
                <w:rFonts w:ascii="Calibri" w:hAnsi="Calibri"/>
                <w:color w:val="1F2937"/>
                <w:sz w:val="16"/>
              </w:rPr>
              <w:t>Échantillon de génération OmniVoice CUDA.</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5"/>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tblLayout w:type="fixed"/>
      <w:tblLook w:firstColumn="1" w:firstRow="1" w:lastColumn="0" w:lastRow="0" w:noHBand="0" w:noVBand="1" w:val="04A0"/>
      <w:tblInd w:w="120" w:type="dxa"/>
    </w:tblPr>
    <w:tblGrid>
      <w:gridCol w:w="6500"/>
      <w:gridCol w:w="2860"/>
    </w:tblGrid>
    <w:tr>
      <w:trPr>
        <w:trHeight w:hRule="atLeast"/>
        <w:tblHeader w:val="true"/>
        <w:cantSplit/>
      </w:trPr>
      <w:tc>
        <w:tcPr>
          <w:tcW w:type="dxa" w:w="6500"/>
          <w:vAlign w:val="center"/>
          <w:tcMar>
            <w:top w:w="80" w:type="dxa"/>
            <w:start w:w="120" w:type="dxa"/>
            <w:bottom w:w="80" w:type="dxa"/>
            <w:end w:w="120" w:type="dxa"/>
          </w:tcMar>
        </w:tcPr>
        <w:p>
          <w:pPr>
            <w:spacing w:after="0"/>
          </w:pPr>
          <w:r>
            <w:rPr>
              <w:rFonts w:ascii="Calibri" w:hAnsi="Calibri"/>
              <w:b/>
              <w:color w:val="1F4D78"/>
              <w:sz w:val="16"/>
            </w:rPr>
            <w:t>DUBROOM  /  RAPPORT D’INTÉGRATION</w:t>
          </w:r>
        </w:p>
      </w:tc>
      <w:tc>
        <w:tcPr>
          <w:tcW w:type="dxa" w:w="2860"/>
          <w:vAlign w:val="center"/>
          <w:tcMar>
            <w:top w:w="80" w:type="dxa"/>
            <w:start w:w="120" w:type="dxa"/>
            <w:bottom w:w="80" w:type="dxa"/>
            <w:end w:w="120" w:type="dxa"/>
          </w:tcMar>
        </w:tcPr>
        <w:p>
          <w:pPr>
            <w:spacing w:after="0"/>
            <w:jc w:val="right"/>
          </w:pPr>
          <w:r>
            <w:rPr>
              <w:rFonts w:ascii="Calibri" w:hAnsi="Calibri"/>
              <w:color w:val="5C6775"/>
              <w:sz w:val="16"/>
            </w:rPr>
            <w:t>09 AOÛT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DubRoom — compte rendu complet Multi-Speaker, GPT et SFX</dc:title>
  <dc:subject>État de l’intégration au 9 août 2026</dc:subject>
  <dc:creator>DubRoom / Codex</dc:creator>
  <cp:keywords>DubRoom, Multi-Speaker, GPT R3, OmniVoice, FunASR, SFX, synchronisation</cp:keywords>
  <dc:description>generated by python-docx</dc:description>
  <cp:lastModifiedBy/>
  <cp:revision>1</cp:revision>
  <dcterms:created xsi:type="dcterms:W3CDTF">2013-12-23T23:15:00Z</dcterms:created>
  <dcterms:modified xsi:type="dcterms:W3CDTF">2013-12-23T23:15:00Z</dcterms:modified>
  <cp:category/>
</cp:coreProperties>
</file>