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D4E" w:rsidRPr="00A343C5" w:rsidRDefault="00590D4E" w:rsidP="00A343C5">
      <w:pPr>
        <w:pStyle w:val="IgnoredSpacing"/>
        <w:jc w:val="center"/>
      </w:pPr>
      <w:bookmarkStart w:id="0" w:name="_GoBack"/>
      <w:bookmarkEnd w:id="0"/>
      <w:r>
        <w:rPr>
          <w:b/>
        </w:rPr>
        <w:t>DATED</w:t>
      </w:r>
    </w:p>
    <w:p w:rsidR="00590D4E" w:rsidRDefault="00590D4E">
      <w:pPr>
        <w:pStyle w:val="CoversheetStaticText"/>
        <w:rPr>
          <w:b/>
        </w:rPr>
      </w:pPr>
      <w:r>
        <w:t>------------</w:t>
      </w:r>
    </w:p>
    <w:p w:rsidR="00590D4E" w:rsidRDefault="00590D4E">
      <w:pPr>
        <w:pStyle w:val="CoversheetTitle"/>
      </w:pPr>
      <w:r>
        <w:t>Consultant's collateral warranty</w:t>
      </w:r>
    </w:p>
    <w:p w:rsidR="00590D4E" w:rsidRDefault="00590D4E">
      <w:pPr>
        <w:pStyle w:val="CoversheetIntro"/>
      </w:pPr>
      <w:r>
        <w:t>relating to a project at</w:t>
      </w:r>
    </w:p>
    <w:p w:rsidR="00590D4E" w:rsidRDefault="00590D4E">
      <w:pPr>
        <w:pStyle w:val="IgnoredSpacing"/>
      </w:pPr>
      <w:r>
        <w:br w:type="page"/>
      </w:r>
    </w:p>
    <w:p w:rsidR="00590D4E" w:rsidRDefault="00590D4E">
      <w:pPr>
        <w:pStyle w:val="HeadingLevel2"/>
      </w:pPr>
      <w:r>
        <w:t>CONTENTS</w:t>
      </w:r>
    </w:p>
    <w:p w:rsidR="00590D4E" w:rsidRDefault="00590D4E">
      <w:pPr>
        <w:pStyle w:val="HeadingLevel2"/>
      </w:pPr>
      <w:r>
        <w:t>____________________________________________________________</w:t>
      </w:r>
    </w:p>
    <w:p w:rsidR="00590D4E" w:rsidRDefault="00590D4E">
      <w:pPr>
        <w:pStyle w:val="HeadingLevel2"/>
      </w:pPr>
      <w:r>
        <w:t>CLAUSE</w:t>
      </w:r>
    </w:p>
    <w:p w:rsidR="003E44FF" w:rsidRPr="003E44FF" w:rsidRDefault="00590D4E">
      <w:pPr>
        <w:pStyle w:val="TOC1"/>
        <w:tabs>
          <w:tab w:val="left" w:pos="440"/>
          <w:tab w:val="right" w:leader="dot" w:pos="9350"/>
        </w:tabs>
        <w:rPr>
          <w:noProof/>
          <w:color w:val="auto"/>
        </w:rPr>
      </w:pPr>
      <w:r>
        <w:fldChar w:fldCharType="begin"/>
      </w:r>
      <w:r>
        <w:instrText>TOC \t "Title Clause, 1" \h</w:instrText>
      </w:r>
      <w:r>
        <w:fldChar w:fldCharType="separate"/>
      </w:r>
      <w:hyperlink w:anchor="_Toc475631324" w:history="1">
        <w:r w:rsidR="003E44FF" w:rsidRPr="00C54D46">
          <w:rPr>
            <w:rStyle w:val="Hyperlink"/>
            <w:caps/>
            <w:noProof/>
          </w:rPr>
          <w:t>1.</w:t>
        </w:r>
        <w:r w:rsidR="003E44FF" w:rsidRPr="003E44FF">
          <w:rPr>
            <w:noProof/>
            <w:color w:val="auto"/>
          </w:rPr>
          <w:tab/>
        </w:r>
        <w:r w:rsidR="003E44FF" w:rsidRPr="00C54D46">
          <w:rPr>
            <w:rStyle w:val="Hyperlink"/>
            <w:noProof/>
          </w:rPr>
          <w:t>Interpretation</w:t>
        </w:r>
        <w:r w:rsidR="003E44FF">
          <w:rPr>
            <w:noProof/>
          </w:rPr>
          <w:tab/>
        </w:r>
        <w:r w:rsidR="003E44FF">
          <w:rPr>
            <w:noProof/>
          </w:rPr>
          <w:fldChar w:fldCharType="begin"/>
        </w:r>
        <w:r w:rsidR="003E44FF">
          <w:rPr>
            <w:noProof/>
          </w:rPr>
          <w:instrText xml:space="preserve"> PAGEREF _Toc475631324 \h </w:instrText>
        </w:r>
        <w:r w:rsidR="003E44FF">
          <w:rPr>
            <w:noProof/>
          </w:rPr>
        </w:r>
        <w:r w:rsidR="003E44FF">
          <w:rPr>
            <w:noProof/>
          </w:rPr>
          <w:fldChar w:fldCharType="separate"/>
        </w:r>
        <w:r w:rsidR="00FB3C0C">
          <w:rPr>
            <w:noProof/>
          </w:rPr>
          <w:t>3</w:t>
        </w:r>
        <w:r w:rsidR="003E44FF">
          <w:rPr>
            <w:noProof/>
          </w:rPr>
          <w:fldChar w:fldCharType="end"/>
        </w:r>
      </w:hyperlink>
    </w:p>
    <w:p w:rsidR="003E44FF" w:rsidRPr="003E44FF" w:rsidRDefault="003E44FF">
      <w:pPr>
        <w:pStyle w:val="TOC1"/>
        <w:tabs>
          <w:tab w:val="left" w:pos="440"/>
          <w:tab w:val="right" w:leader="dot" w:pos="9350"/>
        </w:tabs>
        <w:rPr>
          <w:noProof/>
          <w:color w:val="auto"/>
        </w:rPr>
      </w:pPr>
      <w:hyperlink w:anchor="_Toc475631325" w:history="1">
        <w:r w:rsidRPr="00C54D46">
          <w:rPr>
            <w:rStyle w:val="Hyperlink"/>
            <w:caps/>
            <w:noProof/>
          </w:rPr>
          <w:t>2.</w:t>
        </w:r>
        <w:r w:rsidRPr="003E44FF">
          <w:rPr>
            <w:noProof/>
            <w:color w:val="auto"/>
          </w:rPr>
          <w:tab/>
        </w:r>
        <w:r w:rsidRPr="00C54D46">
          <w:rPr>
            <w:rStyle w:val="Hyperlink"/>
            <w:noProof/>
          </w:rPr>
          <w:t>Comply with Professional Appointment</w:t>
        </w:r>
        <w:r>
          <w:rPr>
            <w:noProof/>
          </w:rPr>
          <w:tab/>
        </w:r>
        <w:r>
          <w:rPr>
            <w:noProof/>
          </w:rPr>
          <w:fldChar w:fldCharType="begin"/>
        </w:r>
        <w:r>
          <w:rPr>
            <w:noProof/>
          </w:rPr>
          <w:instrText xml:space="preserve"> PAGEREF _Toc475631325 \h </w:instrText>
        </w:r>
        <w:r>
          <w:rPr>
            <w:noProof/>
          </w:rPr>
        </w:r>
        <w:r>
          <w:rPr>
            <w:noProof/>
          </w:rPr>
          <w:fldChar w:fldCharType="separate"/>
        </w:r>
        <w:r w:rsidR="00FB3C0C">
          <w:rPr>
            <w:noProof/>
          </w:rPr>
          <w:t>6</w:t>
        </w:r>
        <w:r>
          <w:rPr>
            <w:noProof/>
          </w:rPr>
          <w:fldChar w:fldCharType="end"/>
        </w:r>
      </w:hyperlink>
    </w:p>
    <w:p w:rsidR="003E44FF" w:rsidRPr="003E44FF" w:rsidRDefault="003E44FF">
      <w:pPr>
        <w:pStyle w:val="TOC1"/>
        <w:tabs>
          <w:tab w:val="left" w:pos="440"/>
          <w:tab w:val="right" w:leader="dot" w:pos="9350"/>
        </w:tabs>
        <w:rPr>
          <w:noProof/>
          <w:color w:val="auto"/>
        </w:rPr>
      </w:pPr>
      <w:hyperlink w:anchor="_Toc475631326" w:history="1">
        <w:r w:rsidRPr="00C54D46">
          <w:rPr>
            <w:rStyle w:val="Hyperlink"/>
            <w:caps/>
            <w:noProof/>
          </w:rPr>
          <w:t>3.</w:t>
        </w:r>
        <w:r w:rsidRPr="00C54D46">
          <w:rPr>
            <w:rStyle w:val="Hyperlink"/>
            <w:noProof/>
          </w:rPr>
          <w:fldChar w:fldCharType="begin"/>
        </w:r>
        <w:r w:rsidRPr="00C54D46">
          <w:rPr>
            <w:rStyle w:val="Hyperlink"/>
            <w:noProof/>
          </w:rPr>
          <w:fldChar w:fldCharType="end"/>
        </w:r>
        <w:r w:rsidRPr="003E44FF">
          <w:rPr>
            <w:noProof/>
            <w:color w:val="auto"/>
          </w:rPr>
          <w:tab/>
        </w:r>
        <w:r w:rsidRPr="00C54D46">
          <w:rPr>
            <w:rStyle w:val="Hyperlink"/>
            <w:noProof/>
          </w:rPr>
          <w:t>Step-in rights: Consultant may not terminate or discontinue</w:t>
        </w:r>
        <w:r>
          <w:rPr>
            <w:noProof/>
          </w:rPr>
          <w:tab/>
        </w:r>
        <w:r>
          <w:rPr>
            <w:noProof/>
          </w:rPr>
          <w:fldChar w:fldCharType="begin"/>
        </w:r>
        <w:r>
          <w:rPr>
            <w:noProof/>
          </w:rPr>
          <w:instrText xml:space="preserve"> PAGEREF _Toc475631326 \h </w:instrText>
        </w:r>
        <w:r>
          <w:rPr>
            <w:noProof/>
          </w:rPr>
        </w:r>
        <w:r>
          <w:rPr>
            <w:noProof/>
          </w:rPr>
          <w:fldChar w:fldCharType="separate"/>
        </w:r>
        <w:r w:rsidR="00FB3C0C">
          <w:rPr>
            <w:noProof/>
          </w:rPr>
          <w:t>8</w:t>
        </w:r>
        <w:r>
          <w:rPr>
            <w:noProof/>
          </w:rPr>
          <w:fldChar w:fldCharType="end"/>
        </w:r>
      </w:hyperlink>
    </w:p>
    <w:p w:rsidR="003E44FF" w:rsidRPr="003E44FF" w:rsidRDefault="003E44FF">
      <w:pPr>
        <w:pStyle w:val="TOC1"/>
        <w:tabs>
          <w:tab w:val="left" w:pos="440"/>
          <w:tab w:val="right" w:leader="dot" w:pos="9350"/>
        </w:tabs>
        <w:rPr>
          <w:noProof/>
          <w:color w:val="auto"/>
        </w:rPr>
      </w:pPr>
      <w:hyperlink w:anchor="_Toc475631327" w:history="1">
        <w:r w:rsidRPr="00C54D46">
          <w:rPr>
            <w:rStyle w:val="Hyperlink"/>
            <w:caps/>
            <w:noProof/>
          </w:rPr>
          <w:t>4.</w:t>
        </w:r>
        <w:r w:rsidRPr="00C54D46">
          <w:rPr>
            <w:rStyle w:val="Hyperlink"/>
            <w:noProof/>
          </w:rPr>
          <w:fldChar w:fldCharType="begin"/>
        </w:r>
        <w:r w:rsidRPr="00C54D46">
          <w:rPr>
            <w:rStyle w:val="Hyperlink"/>
            <w:noProof/>
          </w:rPr>
          <w:fldChar w:fldCharType="end"/>
        </w:r>
        <w:r w:rsidRPr="003E44FF">
          <w:rPr>
            <w:noProof/>
            <w:color w:val="auto"/>
          </w:rPr>
          <w:tab/>
        </w:r>
        <w:r w:rsidRPr="00C54D46">
          <w:rPr>
            <w:rStyle w:val="Hyperlink"/>
            <w:noProof/>
          </w:rPr>
          <w:t xml:space="preserve">Step-in </w:t>
        </w:r>
        <w:r>
          <w:rPr>
            <w:rStyle w:val="Hyperlink"/>
            <w:noProof/>
          </w:rPr>
          <w:t>rights: Beneficiary may step-in</w:t>
        </w:r>
        <w:r>
          <w:rPr>
            <w:noProof/>
          </w:rPr>
          <w:tab/>
        </w:r>
        <w:r>
          <w:rPr>
            <w:noProof/>
          </w:rPr>
          <w:fldChar w:fldCharType="begin"/>
        </w:r>
        <w:r>
          <w:rPr>
            <w:noProof/>
          </w:rPr>
          <w:instrText xml:space="preserve"> PAGEREF _Toc475631327 \h </w:instrText>
        </w:r>
        <w:r>
          <w:rPr>
            <w:noProof/>
          </w:rPr>
        </w:r>
        <w:r>
          <w:rPr>
            <w:noProof/>
          </w:rPr>
          <w:fldChar w:fldCharType="separate"/>
        </w:r>
        <w:r w:rsidR="00FB3C0C">
          <w:rPr>
            <w:noProof/>
          </w:rPr>
          <w:t>9</w:t>
        </w:r>
        <w:r>
          <w:rPr>
            <w:noProof/>
          </w:rPr>
          <w:fldChar w:fldCharType="end"/>
        </w:r>
      </w:hyperlink>
    </w:p>
    <w:p w:rsidR="003E44FF" w:rsidRPr="003E44FF" w:rsidRDefault="003E44FF">
      <w:pPr>
        <w:pStyle w:val="TOC1"/>
        <w:tabs>
          <w:tab w:val="left" w:pos="440"/>
          <w:tab w:val="right" w:leader="dot" w:pos="9350"/>
        </w:tabs>
        <w:rPr>
          <w:noProof/>
          <w:color w:val="auto"/>
        </w:rPr>
      </w:pPr>
      <w:hyperlink w:anchor="_Toc475631328" w:history="1">
        <w:r w:rsidRPr="00C54D46">
          <w:rPr>
            <w:rStyle w:val="Hyperlink"/>
            <w:caps/>
            <w:noProof/>
          </w:rPr>
          <w:t>5.</w:t>
        </w:r>
        <w:r w:rsidRPr="00C54D46">
          <w:rPr>
            <w:rStyle w:val="Hyperlink"/>
            <w:noProof/>
          </w:rPr>
          <w:fldChar w:fldCharType="begin"/>
        </w:r>
        <w:r w:rsidRPr="00C54D46">
          <w:rPr>
            <w:rStyle w:val="Hyperlink"/>
            <w:noProof/>
          </w:rPr>
          <w:fldChar w:fldCharType="end"/>
        </w:r>
        <w:r w:rsidRPr="003E44FF">
          <w:rPr>
            <w:noProof/>
            <w:color w:val="auto"/>
          </w:rPr>
          <w:tab/>
        </w:r>
        <w:r w:rsidRPr="00C54D46">
          <w:rPr>
            <w:rStyle w:val="Hyperlink"/>
            <w:noProof/>
          </w:rPr>
          <w:t>Step-in rights: Consultant's position and Client's consent</w:t>
        </w:r>
        <w:r>
          <w:rPr>
            <w:noProof/>
          </w:rPr>
          <w:tab/>
        </w:r>
        <w:r>
          <w:rPr>
            <w:noProof/>
          </w:rPr>
          <w:fldChar w:fldCharType="begin"/>
        </w:r>
        <w:r>
          <w:rPr>
            <w:noProof/>
          </w:rPr>
          <w:instrText xml:space="preserve"> PAGEREF _Toc475631328 \h </w:instrText>
        </w:r>
        <w:r>
          <w:rPr>
            <w:noProof/>
          </w:rPr>
        </w:r>
        <w:r>
          <w:rPr>
            <w:noProof/>
          </w:rPr>
          <w:fldChar w:fldCharType="separate"/>
        </w:r>
        <w:r w:rsidR="00FB3C0C">
          <w:rPr>
            <w:noProof/>
          </w:rPr>
          <w:t>9</w:t>
        </w:r>
        <w:r>
          <w:rPr>
            <w:noProof/>
          </w:rPr>
          <w:fldChar w:fldCharType="end"/>
        </w:r>
      </w:hyperlink>
    </w:p>
    <w:p w:rsidR="003E44FF" w:rsidRPr="003E44FF" w:rsidRDefault="003E44FF">
      <w:pPr>
        <w:pStyle w:val="TOC1"/>
        <w:tabs>
          <w:tab w:val="left" w:pos="440"/>
          <w:tab w:val="right" w:leader="dot" w:pos="9350"/>
        </w:tabs>
        <w:rPr>
          <w:noProof/>
          <w:color w:val="auto"/>
        </w:rPr>
      </w:pPr>
      <w:hyperlink w:anchor="_Toc475631329" w:history="1">
        <w:r w:rsidRPr="00C54D46">
          <w:rPr>
            <w:rStyle w:val="Hyperlink"/>
            <w:caps/>
            <w:noProof/>
          </w:rPr>
          <w:t>6.</w:t>
        </w:r>
        <w:r w:rsidRPr="003E44FF">
          <w:rPr>
            <w:noProof/>
            <w:color w:val="auto"/>
          </w:rPr>
          <w:tab/>
        </w:r>
        <w:r w:rsidRPr="00C54D46">
          <w:rPr>
            <w:rStyle w:val="Hyperlink"/>
            <w:noProof/>
          </w:rPr>
          <w:t>No instructions to Consultant by Beneficiary</w:t>
        </w:r>
        <w:r>
          <w:rPr>
            <w:noProof/>
          </w:rPr>
          <w:tab/>
        </w:r>
        <w:r>
          <w:rPr>
            <w:noProof/>
          </w:rPr>
          <w:fldChar w:fldCharType="begin"/>
        </w:r>
        <w:r>
          <w:rPr>
            <w:noProof/>
          </w:rPr>
          <w:instrText xml:space="preserve"> PAGEREF _Toc475631329 \h </w:instrText>
        </w:r>
        <w:r>
          <w:rPr>
            <w:noProof/>
          </w:rPr>
        </w:r>
        <w:r>
          <w:rPr>
            <w:noProof/>
          </w:rPr>
          <w:fldChar w:fldCharType="separate"/>
        </w:r>
        <w:r w:rsidR="00FB3C0C">
          <w:rPr>
            <w:noProof/>
          </w:rPr>
          <w:t>10</w:t>
        </w:r>
        <w:r>
          <w:rPr>
            <w:noProof/>
          </w:rPr>
          <w:fldChar w:fldCharType="end"/>
        </w:r>
      </w:hyperlink>
    </w:p>
    <w:p w:rsidR="003E44FF" w:rsidRPr="003E44FF" w:rsidRDefault="003E44FF">
      <w:pPr>
        <w:pStyle w:val="TOC1"/>
        <w:tabs>
          <w:tab w:val="left" w:pos="440"/>
          <w:tab w:val="right" w:leader="dot" w:pos="9350"/>
        </w:tabs>
        <w:rPr>
          <w:noProof/>
          <w:color w:val="auto"/>
        </w:rPr>
      </w:pPr>
      <w:hyperlink w:anchor="_Toc475631330" w:history="1">
        <w:r w:rsidRPr="00C54D46">
          <w:rPr>
            <w:rStyle w:val="Hyperlink"/>
            <w:caps/>
            <w:noProof/>
          </w:rPr>
          <w:t>7.</w:t>
        </w:r>
        <w:r w:rsidRPr="003E44FF">
          <w:rPr>
            <w:noProof/>
            <w:color w:val="auto"/>
          </w:rPr>
          <w:tab/>
        </w:r>
        <w:r w:rsidRPr="00C54D46">
          <w:rPr>
            <w:rStyle w:val="Hyperlink"/>
            <w:noProof/>
          </w:rPr>
          <w:t>Copyright</w:t>
        </w:r>
        <w:r>
          <w:rPr>
            <w:noProof/>
          </w:rPr>
          <w:tab/>
        </w:r>
        <w:r>
          <w:rPr>
            <w:noProof/>
          </w:rPr>
          <w:fldChar w:fldCharType="begin"/>
        </w:r>
        <w:r>
          <w:rPr>
            <w:noProof/>
          </w:rPr>
          <w:instrText xml:space="preserve"> PAGEREF _Toc475631330 \h </w:instrText>
        </w:r>
        <w:r>
          <w:rPr>
            <w:noProof/>
          </w:rPr>
        </w:r>
        <w:r>
          <w:rPr>
            <w:noProof/>
          </w:rPr>
          <w:fldChar w:fldCharType="separate"/>
        </w:r>
        <w:r w:rsidR="00FB3C0C">
          <w:rPr>
            <w:noProof/>
          </w:rPr>
          <w:t>10</w:t>
        </w:r>
        <w:r>
          <w:rPr>
            <w:noProof/>
          </w:rPr>
          <w:fldChar w:fldCharType="end"/>
        </w:r>
      </w:hyperlink>
    </w:p>
    <w:p w:rsidR="003E44FF" w:rsidRPr="003E44FF" w:rsidRDefault="003E44FF">
      <w:pPr>
        <w:pStyle w:val="TOC1"/>
        <w:tabs>
          <w:tab w:val="left" w:pos="440"/>
          <w:tab w:val="right" w:leader="dot" w:pos="9350"/>
        </w:tabs>
        <w:rPr>
          <w:noProof/>
          <w:color w:val="auto"/>
        </w:rPr>
      </w:pPr>
      <w:hyperlink w:anchor="_Toc475631331" w:history="1">
        <w:r w:rsidRPr="00C54D46">
          <w:rPr>
            <w:rStyle w:val="Hyperlink"/>
            <w:caps/>
            <w:noProof/>
          </w:rPr>
          <w:t>8.</w:t>
        </w:r>
        <w:r w:rsidRPr="003E44FF">
          <w:rPr>
            <w:noProof/>
            <w:color w:val="auto"/>
          </w:rPr>
          <w:tab/>
        </w:r>
        <w:r w:rsidRPr="00C54D46">
          <w:rPr>
            <w:rStyle w:val="Hyperlink"/>
            <w:noProof/>
          </w:rPr>
          <w:t>Professional indemnity insurance</w:t>
        </w:r>
        <w:r>
          <w:rPr>
            <w:noProof/>
          </w:rPr>
          <w:tab/>
        </w:r>
        <w:r>
          <w:rPr>
            <w:noProof/>
          </w:rPr>
          <w:fldChar w:fldCharType="begin"/>
        </w:r>
        <w:r>
          <w:rPr>
            <w:noProof/>
          </w:rPr>
          <w:instrText xml:space="preserve"> PAGEREF _Toc475631331 \h </w:instrText>
        </w:r>
        <w:r>
          <w:rPr>
            <w:noProof/>
          </w:rPr>
        </w:r>
        <w:r>
          <w:rPr>
            <w:noProof/>
          </w:rPr>
          <w:fldChar w:fldCharType="separate"/>
        </w:r>
        <w:r w:rsidR="00FB3C0C">
          <w:rPr>
            <w:noProof/>
          </w:rPr>
          <w:t>10</w:t>
        </w:r>
        <w:r>
          <w:rPr>
            <w:noProof/>
          </w:rPr>
          <w:fldChar w:fldCharType="end"/>
        </w:r>
      </w:hyperlink>
    </w:p>
    <w:p w:rsidR="003E44FF" w:rsidRPr="003E44FF" w:rsidRDefault="003E44FF">
      <w:pPr>
        <w:pStyle w:val="TOC1"/>
        <w:tabs>
          <w:tab w:val="left" w:pos="440"/>
          <w:tab w:val="right" w:leader="dot" w:pos="9350"/>
        </w:tabs>
        <w:rPr>
          <w:noProof/>
          <w:color w:val="auto"/>
        </w:rPr>
      </w:pPr>
      <w:hyperlink w:anchor="_Toc475631332" w:history="1">
        <w:r w:rsidRPr="00C54D46">
          <w:rPr>
            <w:rStyle w:val="Hyperlink"/>
            <w:caps/>
            <w:noProof/>
          </w:rPr>
          <w:t>9.</w:t>
        </w:r>
        <w:r w:rsidRPr="003E44FF">
          <w:rPr>
            <w:noProof/>
            <w:color w:val="auto"/>
          </w:rPr>
          <w:tab/>
        </w:r>
        <w:r w:rsidRPr="00C54D46">
          <w:rPr>
            <w:rStyle w:val="Hyperlink"/>
            <w:noProof/>
          </w:rPr>
          <w:t>Liability period</w:t>
        </w:r>
        <w:r>
          <w:rPr>
            <w:noProof/>
          </w:rPr>
          <w:tab/>
        </w:r>
        <w:r>
          <w:rPr>
            <w:noProof/>
          </w:rPr>
          <w:fldChar w:fldCharType="begin"/>
        </w:r>
        <w:r>
          <w:rPr>
            <w:noProof/>
          </w:rPr>
          <w:instrText xml:space="preserve"> PAGEREF _Toc475631332 \h </w:instrText>
        </w:r>
        <w:r>
          <w:rPr>
            <w:noProof/>
          </w:rPr>
        </w:r>
        <w:r>
          <w:rPr>
            <w:noProof/>
          </w:rPr>
          <w:fldChar w:fldCharType="separate"/>
        </w:r>
        <w:r w:rsidR="00FB3C0C">
          <w:rPr>
            <w:noProof/>
          </w:rPr>
          <w:t>11</w:t>
        </w:r>
        <w:r>
          <w:rPr>
            <w:noProof/>
          </w:rPr>
          <w:fldChar w:fldCharType="end"/>
        </w:r>
      </w:hyperlink>
    </w:p>
    <w:p w:rsidR="003E44FF" w:rsidRPr="003E44FF" w:rsidRDefault="003E44FF">
      <w:pPr>
        <w:pStyle w:val="TOC1"/>
        <w:tabs>
          <w:tab w:val="left" w:pos="660"/>
          <w:tab w:val="right" w:leader="dot" w:pos="9350"/>
        </w:tabs>
        <w:rPr>
          <w:noProof/>
          <w:color w:val="auto"/>
        </w:rPr>
      </w:pPr>
      <w:hyperlink w:anchor="_Toc475631333" w:history="1">
        <w:r w:rsidRPr="00C54D46">
          <w:rPr>
            <w:rStyle w:val="Hyperlink"/>
            <w:caps/>
            <w:noProof/>
          </w:rPr>
          <w:t>10.</w:t>
        </w:r>
        <w:r w:rsidRPr="003E44FF">
          <w:rPr>
            <w:noProof/>
            <w:color w:val="auto"/>
          </w:rPr>
          <w:tab/>
        </w:r>
        <w:r w:rsidRPr="00C54D46">
          <w:rPr>
            <w:rStyle w:val="Hyperlink"/>
            <w:noProof/>
          </w:rPr>
          <w:t>Assignment</w:t>
        </w:r>
        <w:r>
          <w:rPr>
            <w:noProof/>
          </w:rPr>
          <w:tab/>
        </w:r>
        <w:r>
          <w:rPr>
            <w:noProof/>
          </w:rPr>
          <w:fldChar w:fldCharType="begin"/>
        </w:r>
        <w:r>
          <w:rPr>
            <w:noProof/>
          </w:rPr>
          <w:instrText xml:space="preserve"> PAGEREF _Toc475631333 \h </w:instrText>
        </w:r>
        <w:r>
          <w:rPr>
            <w:noProof/>
          </w:rPr>
        </w:r>
        <w:r>
          <w:rPr>
            <w:noProof/>
          </w:rPr>
          <w:fldChar w:fldCharType="separate"/>
        </w:r>
        <w:r w:rsidR="00FB3C0C">
          <w:rPr>
            <w:noProof/>
          </w:rPr>
          <w:t>12</w:t>
        </w:r>
        <w:r>
          <w:rPr>
            <w:noProof/>
          </w:rPr>
          <w:fldChar w:fldCharType="end"/>
        </w:r>
      </w:hyperlink>
    </w:p>
    <w:p w:rsidR="003E44FF" w:rsidRPr="003E44FF" w:rsidRDefault="003E44FF">
      <w:pPr>
        <w:pStyle w:val="TOC1"/>
        <w:tabs>
          <w:tab w:val="left" w:pos="660"/>
          <w:tab w:val="right" w:leader="dot" w:pos="9350"/>
        </w:tabs>
        <w:rPr>
          <w:noProof/>
          <w:color w:val="auto"/>
        </w:rPr>
      </w:pPr>
      <w:hyperlink w:anchor="_Toc475631334" w:history="1">
        <w:r w:rsidRPr="00C54D46">
          <w:rPr>
            <w:rStyle w:val="Hyperlink"/>
            <w:caps/>
            <w:noProof/>
          </w:rPr>
          <w:t>11.</w:t>
        </w:r>
        <w:r w:rsidRPr="003E44FF">
          <w:rPr>
            <w:noProof/>
            <w:color w:val="auto"/>
          </w:rPr>
          <w:tab/>
        </w:r>
        <w:r w:rsidRPr="00C54D46">
          <w:rPr>
            <w:rStyle w:val="Hyperlink"/>
            <w:noProof/>
          </w:rPr>
          <w:t>Notices</w:t>
        </w:r>
        <w:r>
          <w:rPr>
            <w:noProof/>
          </w:rPr>
          <w:tab/>
        </w:r>
        <w:r>
          <w:rPr>
            <w:noProof/>
          </w:rPr>
          <w:fldChar w:fldCharType="begin"/>
        </w:r>
        <w:r>
          <w:rPr>
            <w:noProof/>
          </w:rPr>
          <w:instrText xml:space="preserve"> PAGEREF _Toc475631334 \h </w:instrText>
        </w:r>
        <w:r>
          <w:rPr>
            <w:noProof/>
          </w:rPr>
        </w:r>
        <w:r>
          <w:rPr>
            <w:noProof/>
          </w:rPr>
          <w:fldChar w:fldCharType="separate"/>
        </w:r>
        <w:r w:rsidR="00FB3C0C">
          <w:rPr>
            <w:noProof/>
          </w:rPr>
          <w:t>12</w:t>
        </w:r>
        <w:r>
          <w:rPr>
            <w:noProof/>
          </w:rPr>
          <w:fldChar w:fldCharType="end"/>
        </w:r>
      </w:hyperlink>
    </w:p>
    <w:p w:rsidR="003E44FF" w:rsidRPr="003E44FF" w:rsidRDefault="003E44FF">
      <w:pPr>
        <w:pStyle w:val="TOC1"/>
        <w:tabs>
          <w:tab w:val="left" w:pos="660"/>
          <w:tab w:val="right" w:leader="dot" w:pos="9350"/>
        </w:tabs>
        <w:rPr>
          <w:noProof/>
          <w:color w:val="auto"/>
        </w:rPr>
      </w:pPr>
      <w:hyperlink w:anchor="_Toc475631335" w:history="1">
        <w:r w:rsidRPr="00C54D46">
          <w:rPr>
            <w:rStyle w:val="Hyperlink"/>
            <w:caps/>
            <w:noProof/>
          </w:rPr>
          <w:t>12.</w:t>
        </w:r>
        <w:r w:rsidRPr="003E44FF">
          <w:rPr>
            <w:noProof/>
            <w:color w:val="auto"/>
          </w:rPr>
          <w:tab/>
        </w:r>
        <w:r w:rsidRPr="00C54D46">
          <w:rPr>
            <w:rStyle w:val="Hyperlink"/>
            <w:noProof/>
          </w:rPr>
          <w:t>Third party rights</w:t>
        </w:r>
        <w:r>
          <w:rPr>
            <w:noProof/>
          </w:rPr>
          <w:tab/>
        </w:r>
        <w:r>
          <w:rPr>
            <w:noProof/>
          </w:rPr>
          <w:fldChar w:fldCharType="begin"/>
        </w:r>
        <w:r>
          <w:rPr>
            <w:noProof/>
          </w:rPr>
          <w:instrText xml:space="preserve"> PAGEREF _Toc475631335 \h </w:instrText>
        </w:r>
        <w:r>
          <w:rPr>
            <w:noProof/>
          </w:rPr>
        </w:r>
        <w:r>
          <w:rPr>
            <w:noProof/>
          </w:rPr>
          <w:fldChar w:fldCharType="separate"/>
        </w:r>
        <w:r w:rsidR="00FB3C0C">
          <w:rPr>
            <w:noProof/>
          </w:rPr>
          <w:t>14</w:t>
        </w:r>
        <w:r>
          <w:rPr>
            <w:noProof/>
          </w:rPr>
          <w:fldChar w:fldCharType="end"/>
        </w:r>
      </w:hyperlink>
    </w:p>
    <w:p w:rsidR="003E44FF" w:rsidRPr="003E44FF" w:rsidRDefault="003E44FF">
      <w:pPr>
        <w:pStyle w:val="TOC1"/>
        <w:tabs>
          <w:tab w:val="left" w:pos="660"/>
          <w:tab w:val="right" w:leader="dot" w:pos="9350"/>
        </w:tabs>
        <w:rPr>
          <w:noProof/>
          <w:color w:val="auto"/>
        </w:rPr>
      </w:pPr>
      <w:hyperlink w:anchor="_Toc475631336" w:history="1">
        <w:r w:rsidRPr="00C54D46">
          <w:rPr>
            <w:rStyle w:val="Hyperlink"/>
            <w:caps/>
            <w:noProof/>
          </w:rPr>
          <w:t>13.</w:t>
        </w:r>
        <w:r w:rsidRPr="003E44FF">
          <w:rPr>
            <w:noProof/>
            <w:color w:val="auto"/>
          </w:rPr>
          <w:tab/>
        </w:r>
        <w:r w:rsidRPr="00C54D46">
          <w:rPr>
            <w:rStyle w:val="Hyperlink"/>
            <w:noProof/>
          </w:rPr>
          <w:t>Governing law</w:t>
        </w:r>
        <w:r>
          <w:rPr>
            <w:noProof/>
          </w:rPr>
          <w:tab/>
        </w:r>
        <w:r>
          <w:rPr>
            <w:noProof/>
          </w:rPr>
          <w:fldChar w:fldCharType="begin"/>
        </w:r>
        <w:r>
          <w:rPr>
            <w:noProof/>
          </w:rPr>
          <w:instrText xml:space="preserve"> PAGEREF _Toc475631336 \h </w:instrText>
        </w:r>
        <w:r>
          <w:rPr>
            <w:noProof/>
          </w:rPr>
        </w:r>
        <w:r>
          <w:rPr>
            <w:noProof/>
          </w:rPr>
          <w:fldChar w:fldCharType="separate"/>
        </w:r>
        <w:r w:rsidR="00FB3C0C">
          <w:rPr>
            <w:noProof/>
          </w:rPr>
          <w:t>14</w:t>
        </w:r>
        <w:r>
          <w:rPr>
            <w:noProof/>
          </w:rPr>
          <w:fldChar w:fldCharType="end"/>
        </w:r>
      </w:hyperlink>
    </w:p>
    <w:p w:rsidR="003E44FF" w:rsidRPr="003E44FF" w:rsidRDefault="003E44FF">
      <w:pPr>
        <w:pStyle w:val="TOC1"/>
        <w:tabs>
          <w:tab w:val="left" w:pos="660"/>
          <w:tab w:val="right" w:leader="dot" w:pos="9350"/>
        </w:tabs>
        <w:rPr>
          <w:noProof/>
          <w:color w:val="auto"/>
        </w:rPr>
      </w:pPr>
      <w:hyperlink w:anchor="_Toc475631337" w:history="1">
        <w:r w:rsidRPr="00C54D46">
          <w:rPr>
            <w:rStyle w:val="Hyperlink"/>
            <w:caps/>
            <w:noProof/>
          </w:rPr>
          <w:t>14.</w:t>
        </w:r>
        <w:r w:rsidRPr="003E44FF">
          <w:rPr>
            <w:noProof/>
            <w:color w:val="auto"/>
          </w:rPr>
          <w:tab/>
        </w:r>
        <w:r w:rsidRPr="00C54D46">
          <w:rPr>
            <w:rStyle w:val="Hyperlink"/>
            <w:noProof/>
          </w:rPr>
          <w:t>Jurisdiction</w:t>
        </w:r>
        <w:r>
          <w:rPr>
            <w:noProof/>
          </w:rPr>
          <w:tab/>
        </w:r>
        <w:r>
          <w:rPr>
            <w:noProof/>
          </w:rPr>
          <w:fldChar w:fldCharType="begin"/>
        </w:r>
        <w:r>
          <w:rPr>
            <w:noProof/>
          </w:rPr>
          <w:instrText xml:space="preserve"> PAGEREF _Toc475631337 \h </w:instrText>
        </w:r>
        <w:r>
          <w:rPr>
            <w:noProof/>
          </w:rPr>
        </w:r>
        <w:r>
          <w:rPr>
            <w:noProof/>
          </w:rPr>
          <w:fldChar w:fldCharType="separate"/>
        </w:r>
        <w:r w:rsidR="00FB3C0C">
          <w:rPr>
            <w:noProof/>
          </w:rPr>
          <w:t>14</w:t>
        </w:r>
        <w:r>
          <w:rPr>
            <w:noProof/>
          </w:rPr>
          <w:fldChar w:fldCharType="end"/>
        </w:r>
      </w:hyperlink>
    </w:p>
    <w:p w:rsidR="00590D4E" w:rsidRDefault="00590D4E">
      <w:pPr>
        <w:pStyle w:val="HeadingLevel2"/>
      </w:pPr>
      <w:r>
        <w:fldChar w:fldCharType="end"/>
      </w:r>
    </w:p>
    <w:p w:rsidR="00590D4E" w:rsidRDefault="00590D4E">
      <w:pPr>
        <w:pStyle w:val="HeadingLevel2"/>
      </w:pPr>
      <w:r>
        <w:br w:type="page"/>
      </w:r>
    </w:p>
    <w:p w:rsidR="00590D4E" w:rsidRDefault="00590D4E">
      <w:pPr>
        <w:pStyle w:val="IgnoredSpacing"/>
      </w:pPr>
    </w:p>
    <w:p w:rsidR="00590D4E" w:rsidRDefault="00590D4E" w:rsidP="00590D4E">
      <w:pPr>
        <w:pStyle w:val="IntroDefault"/>
      </w:pPr>
      <w:r>
        <w:t>This deed is dated [DATE]</w:t>
      </w:r>
    </w:p>
    <w:p w:rsidR="00590D4E" w:rsidRDefault="00590D4E">
      <w:pPr>
        <w:pStyle w:val="IgnoredSpacing"/>
      </w:pPr>
    </w:p>
    <w:p w:rsidR="00590D4E" w:rsidRDefault="00590D4E">
      <w:pPr>
        <w:pStyle w:val="DescriptiveHeading"/>
      </w:pPr>
      <w:r>
        <w:t>BACKGROUND</w:t>
      </w:r>
    </w:p>
    <w:p w:rsidR="00590D4E" w:rsidRDefault="00590D4E">
      <w:pPr>
        <w:pStyle w:val="Background"/>
      </w:pPr>
      <w:bookmarkStart w:id="1" w:name="a80893"/>
      <w:r>
        <w:t>The Client has engaged the Consultant to perform the Services in relation to the Project.</w:t>
      </w:r>
      <w:bookmarkEnd w:id="1"/>
    </w:p>
    <w:p w:rsidR="00590D4E" w:rsidRDefault="00D86967">
      <w:pPr>
        <w:pStyle w:val="Background"/>
      </w:pPr>
      <w:bookmarkStart w:id="2" w:name="a347926"/>
      <w:r>
        <w:t>The Beneficiary, as Main Contractor</w:t>
      </w:r>
      <w:r w:rsidR="00590D4E">
        <w:t>, has an interest in the Project.</w:t>
      </w:r>
      <w:bookmarkEnd w:id="2"/>
    </w:p>
    <w:p w:rsidR="00590D4E" w:rsidRDefault="00590D4E">
      <w:pPr>
        <w:pStyle w:val="IgnoredSpacing"/>
      </w:pPr>
    </w:p>
    <w:p w:rsidR="00590D4E" w:rsidRDefault="00590D4E">
      <w:pPr>
        <w:pStyle w:val="IgnoredSpacing"/>
      </w:pPr>
    </w:p>
    <w:p w:rsidR="00590D4E" w:rsidRDefault="00590D4E">
      <w:pPr>
        <w:pStyle w:val="Background"/>
      </w:pPr>
      <w:bookmarkStart w:id="3" w:name="a503787"/>
      <w:r>
        <w:t>The Client requires the Consultant to enter into a collateral warranty in favour of the Beneficiary.</w:t>
      </w:r>
      <w:bookmarkEnd w:id="3"/>
    </w:p>
    <w:p w:rsidR="00590D4E" w:rsidRDefault="00590D4E" w:rsidP="00C442DC">
      <w:pPr>
        <w:pStyle w:val="Background"/>
      </w:pPr>
      <w:bookmarkStart w:id="4" w:name="a898996"/>
      <w:r>
        <w:t>The Consultant has agree</w:t>
      </w:r>
      <w:r w:rsidR="00C442DC">
        <w:t>d to enter into this agreement with the Client and</w:t>
      </w:r>
      <w:r>
        <w:t xml:space="preserve"> the Beneficiary, for the benefit of the Beneficiary.</w:t>
      </w:r>
      <w:bookmarkEnd w:id="4"/>
    </w:p>
    <w:p w:rsidR="00590D4E" w:rsidRDefault="00590D4E">
      <w:pPr>
        <w:pStyle w:val="Background"/>
      </w:pPr>
      <w:r>
        <w:fldChar w:fldCharType="begin"/>
      </w:r>
      <w:r>
        <w:fldChar w:fldCharType="end"/>
      </w:r>
      <w:bookmarkStart w:id="5" w:name="a713368"/>
      <w:r>
        <w:t>The Beneficiary</w:t>
      </w:r>
      <w:r w:rsidR="00C442DC">
        <w:t xml:space="preserve"> has paid £1 to the Consultant and the Client </w:t>
      </w:r>
      <w:r>
        <w:t>as consideration under this agreement.</w:t>
      </w:r>
      <w:bookmarkEnd w:id="5"/>
    </w:p>
    <w:p w:rsidR="00590D4E" w:rsidRDefault="00590D4E">
      <w:pPr>
        <w:pStyle w:val="IgnoredSpacing"/>
      </w:pPr>
    </w:p>
    <w:p w:rsidR="00590D4E" w:rsidRDefault="00590D4E">
      <w:pPr>
        <w:pStyle w:val="IgnoredSpacing"/>
      </w:pPr>
    </w:p>
    <w:p w:rsidR="00590D4E" w:rsidRDefault="00590D4E">
      <w:pPr>
        <w:pStyle w:val="DescriptiveHeading"/>
      </w:pPr>
      <w:r>
        <w:t>Agreed terms</w:t>
      </w:r>
    </w:p>
    <w:p w:rsidR="00590D4E" w:rsidRDefault="00590D4E">
      <w:pPr>
        <w:pStyle w:val="TitleClause"/>
      </w:pPr>
      <w:r>
        <w:fldChar w:fldCharType="begin"/>
      </w:r>
      <w:r>
        <w:instrText>TC "1. Interpretation" \l 1</w:instrText>
      </w:r>
      <w:r>
        <w:fldChar w:fldCharType="end"/>
      </w:r>
      <w:bookmarkStart w:id="6" w:name="a343281"/>
      <w:bookmarkStart w:id="7" w:name="_Toc475631324"/>
      <w:r>
        <w:t>Interpretation</w:t>
      </w:r>
      <w:bookmarkEnd w:id="6"/>
      <w:bookmarkEnd w:id="7"/>
    </w:p>
    <w:p w:rsidR="00590D4E" w:rsidRDefault="00590D4E">
      <w:pPr>
        <w:pStyle w:val="ParaClause"/>
      </w:pPr>
      <w:r>
        <w:t>The following definitions and rules of interpretation apply in this agreement.</w:t>
      </w:r>
    </w:p>
    <w:p w:rsidR="00590D4E" w:rsidRDefault="00590D4E">
      <w:pPr>
        <w:pStyle w:val="Untitledsubclause1"/>
      </w:pPr>
      <w:bookmarkStart w:id="8" w:name="a260422"/>
      <w:r>
        <w:t>Definitions:</w:t>
      </w:r>
      <w:bookmarkEnd w:id="8"/>
    </w:p>
    <w:p w:rsidR="00590D4E" w:rsidRDefault="00590D4E">
      <w:pPr>
        <w:pStyle w:val="DefinedTermPara"/>
        <w:rPr>
          <w:rStyle w:val="DefTerm"/>
        </w:rPr>
      </w:pPr>
      <w:r>
        <w:rPr>
          <w:rStyle w:val="DefTerm"/>
        </w:rPr>
        <w:t>Business Day</w:t>
      </w:r>
      <w:r>
        <w:t>: a day other than a Saturday, Sunday or public holi</w:t>
      </w:r>
      <w:r w:rsidR="00C442DC">
        <w:t>day in England when banks in London</w:t>
      </w:r>
      <w:r>
        <w:t xml:space="preserve"> are open for business.</w:t>
      </w:r>
    </w:p>
    <w:p w:rsidR="00590D4E" w:rsidRDefault="00590D4E">
      <w:pPr>
        <w:pStyle w:val="IgnoredSpacing"/>
      </w:pPr>
    </w:p>
    <w:p w:rsidR="00590D4E" w:rsidRDefault="00590D4E">
      <w:pPr>
        <w:pStyle w:val="DefinedTermPara"/>
        <w:rPr>
          <w:rStyle w:val="DefTerm"/>
        </w:rPr>
      </w:pPr>
      <w:r>
        <w:rPr>
          <w:rStyle w:val="DefTerm"/>
        </w:rPr>
        <w:t>CDM Regulations</w:t>
      </w:r>
      <w:r>
        <w:t>: the Construction (Design and Management) Regulations 2015 (SI 2015/51).</w:t>
      </w:r>
    </w:p>
    <w:p w:rsidR="00590D4E" w:rsidRDefault="00590D4E">
      <w:pPr>
        <w:pStyle w:val="IgnoredSpacing"/>
      </w:pPr>
    </w:p>
    <w:p w:rsidR="00590D4E" w:rsidRDefault="00590D4E">
      <w:pPr>
        <w:pStyle w:val="DefinedTermPara"/>
        <w:rPr>
          <w:rStyle w:val="DefTerm"/>
        </w:rPr>
      </w:pPr>
      <w:r>
        <w:rPr>
          <w:rStyle w:val="DefTerm"/>
        </w:rPr>
        <w:t>Client</w:t>
      </w:r>
      <w:r>
        <w:rPr>
          <w:rStyle w:val="DefTerm"/>
        </w:rPr>
        <w:fldChar w:fldCharType="begin"/>
      </w:r>
      <w:r>
        <w:rPr>
          <w:rStyle w:val="DefTerm"/>
        </w:rPr>
        <w:instrText xml:space="preserve"> MACROBUTTON optional </w:instrText>
      </w:r>
      <w:r>
        <w:rPr>
          <w:rStyle w:val="DefTerm"/>
        </w:rPr>
        <w:fldChar w:fldCharType="end"/>
      </w:r>
      <w:r w:rsidR="00D86967">
        <w:t xml:space="preserve">: </w:t>
      </w:r>
    </w:p>
    <w:p w:rsidR="00590D4E" w:rsidRDefault="00590D4E">
      <w:pPr>
        <w:pStyle w:val="IgnoredSpacing"/>
      </w:pPr>
    </w:p>
    <w:p w:rsidR="00590D4E" w:rsidRDefault="00590D4E">
      <w:pPr>
        <w:pStyle w:val="IgnoredSpacing"/>
      </w:pPr>
    </w:p>
    <w:p w:rsidR="00590D4E" w:rsidRDefault="00590D4E">
      <w:pPr>
        <w:pStyle w:val="DefinedTermPara"/>
        <w:rPr>
          <w:rStyle w:val="DefTerm"/>
        </w:rPr>
      </w:pPr>
      <w:r>
        <w:rPr>
          <w:rStyle w:val="DefTerm"/>
        </w:rPr>
        <w:lastRenderedPageBreak/>
        <w:t>Construction Products Regulations</w:t>
      </w:r>
      <w:r>
        <w:t>: the Construction Products Regulations 2013 (SI 2013/1387), the Construction Products Regulation (305/2011/EU), the Construction Products Regulations 1991 (SI 1991/1620) and the Construction Products Directive (89/109/EC).</w:t>
      </w:r>
    </w:p>
    <w:p w:rsidR="00590D4E" w:rsidRDefault="00590D4E">
      <w:pPr>
        <w:pStyle w:val="IgnoredSpacing"/>
      </w:pPr>
    </w:p>
    <w:p w:rsidR="00590D4E" w:rsidRDefault="00590D4E">
      <w:pPr>
        <w:pStyle w:val="DefinedTermPara"/>
        <w:rPr>
          <w:rStyle w:val="DefTerm"/>
        </w:rPr>
      </w:pPr>
      <w:r>
        <w:rPr>
          <w:rStyle w:val="DefTerm"/>
        </w:rPr>
        <w:t>Deleterious</w:t>
      </w:r>
      <w:r>
        <w:t xml:space="preserve">: materials, equipment, products or kits that are generally accepted, or generally suspected, in the construction industry at the </w:t>
      </w:r>
      <w:r w:rsidRPr="00D94E9E">
        <w:rPr>
          <w:highlight w:val="yellow"/>
        </w:rPr>
        <w:t>relevant time as:</w:t>
      </w:r>
    </w:p>
    <w:p w:rsidR="00590D4E" w:rsidRDefault="00590D4E">
      <w:pPr>
        <w:pStyle w:val="DefinedTermNumber"/>
        <w:numPr>
          <w:ilvl w:val="0"/>
          <w:numId w:val="37"/>
        </w:numPr>
      </w:pPr>
      <w:r>
        <w:t>posing a threat to the health and safety of any person; or</w:t>
      </w:r>
    </w:p>
    <w:p w:rsidR="00590D4E" w:rsidRDefault="00590D4E">
      <w:pPr>
        <w:pStyle w:val="DefinedTermNumber"/>
        <w:numPr>
          <w:ilvl w:val="0"/>
          <w:numId w:val="37"/>
        </w:numPr>
      </w:pPr>
      <w:r>
        <w:t>posing a threat to the structural stability, performance or physical integrity of the Project or any part or component of the Project; or</w:t>
      </w:r>
    </w:p>
    <w:p w:rsidR="00590D4E" w:rsidRDefault="00590D4E">
      <w:pPr>
        <w:pStyle w:val="DefinedTermNumber"/>
        <w:numPr>
          <w:ilvl w:val="0"/>
          <w:numId w:val="37"/>
        </w:numPr>
      </w:pPr>
      <w:r>
        <w:t>reducing, or possibly reducing, the normal life expectancy of the Project or any part or component of the Project; or</w:t>
      </w:r>
    </w:p>
    <w:p w:rsidR="00590D4E" w:rsidRDefault="00590D4E">
      <w:pPr>
        <w:pStyle w:val="DefinedTermNumber"/>
        <w:numPr>
          <w:ilvl w:val="0"/>
          <w:numId w:val="37"/>
        </w:numPr>
      </w:pPr>
      <w:r>
        <w:t xml:space="preserve">not being in accordance with any relevant British Standard, relevant code of practice, </w:t>
      </w:r>
      <w:r w:rsidRPr="00D94E9E">
        <w:rPr>
          <w:highlight w:val="yellow"/>
        </w:rPr>
        <w:t>good building practice</w:t>
      </w:r>
      <w:r>
        <w:t xml:space="preserve"> or any applicable agrément certificate issued by the British Board of Agrément; or</w:t>
      </w:r>
    </w:p>
    <w:p w:rsidR="00590D4E" w:rsidRPr="00D94E9E" w:rsidRDefault="00590D4E" w:rsidP="00C442DC">
      <w:pPr>
        <w:pStyle w:val="DefinedTermNumber"/>
        <w:numPr>
          <w:ilvl w:val="0"/>
          <w:numId w:val="37"/>
        </w:numPr>
        <w:rPr>
          <w:highlight w:val="yellow"/>
        </w:rPr>
      </w:pPr>
      <w:r w:rsidRPr="00D94E9E">
        <w:rPr>
          <w:highlight w:val="yellow"/>
        </w:rPr>
        <w:t>having been supplied or placed on the market in breach of the Construction Products Regulations.</w:t>
      </w:r>
    </w:p>
    <w:p w:rsidR="00C442DC" w:rsidRDefault="00C442DC" w:rsidP="00C442DC">
      <w:pPr>
        <w:pStyle w:val="DefinedTermNumber"/>
        <w:numPr>
          <w:ilvl w:val="0"/>
          <w:numId w:val="0"/>
        </w:numPr>
        <w:ind w:left="1440"/>
      </w:pPr>
    </w:p>
    <w:p w:rsidR="00590D4E" w:rsidRDefault="00590D4E">
      <w:pPr>
        <w:pStyle w:val="DefinedTermPara"/>
        <w:rPr>
          <w:rStyle w:val="DefTerm"/>
        </w:rPr>
      </w:pPr>
      <w:r w:rsidRPr="00D94E9E">
        <w:rPr>
          <w:rStyle w:val="DefTerm"/>
          <w:highlight w:val="yellow"/>
        </w:rPr>
        <w:t>Material</w:t>
      </w:r>
      <w:r w:rsidRPr="00D94E9E">
        <w:rPr>
          <w:highlight w:val="yellow"/>
        </w:rPr>
        <w:t>:</w:t>
      </w:r>
      <w:r>
        <w:t xml:space="preserve"> all designs, drawings, models, plans, specifications, design details, photographs, brochures, reports, notes of meetings, CAD materials, calculations, data, databases, schedules, programmes, bills of quantities, budgets and any other materials provided in connection with the Project and all updates, amendments, additions and revisions to them and any works, designs, or inventions incorporated or referred to in them for any purpose relating to the Project.</w:t>
      </w:r>
    </w:p>
    <w:p w:rsidR="00590D4E" w:rsidRDefault="00590D4E">
      <w:pPr>
        <w:pStyle w:val="IgnoredSpacing"/>
      </w:pPr>
    </w:p>
    <w:p w:rsidR="00590D4E" w:rsidRDefault="00590D4E">
      <w:pPr>
        <w:pStyle w:val="DefinedTermPara"/>
        <w:rPr>
          <w:rStyle w:val="DefTerm"/>
        </w:rPr>
      </w:pPr>
      <w:r>
        <w:rPr>
          <w:rStyle w:val="DefTerm"/>
        </w:rPr>
        <w:t>Permitted Uses</w:t>
      </w:r>
      <w:r>
        <w:t xml:space="preserve">: the design, construction, completion, reconstruction, modification, refurbishment, development, maintenance, facilities management, funding, disposal, letting, fitting-out, advertisement, decommissioning, demolition, reinstatement[, </w:t>
      </w:r>
      <w:r w:rsidRPr="00D94E9E">
        <w:rPr>
          <w:highlight w:val="yellow"/>
        </w:rPr>
        <w:t>extension</w:t>
      </w:r>
      <w:r>
        <w:t>], building information modelling and repair of the Property and the Project.</w:t>
      </w:r>
    </w:p>
    <w:p w:rsidR="00590D4E" w:rsidRDefault="00590D4E">
      <w:pPr>
        <w:pStyle w:val="IgnoredSpacing"/>
      </w:pPr>
    </w:p>
    <w:p w:rsidR="00590D4E" w:rsidRDefault="00590D4E">
      <w:pPr>
        <w:pStyle w:val="DefinedTermPara"/>
        <w:rPr>
          <w:rStyle w:val="DefTerm"/>
        </w:rPr>
      </w:pPr>
      <w:r>
        <w:rPr>
          <w:rStyle w:val="DefTerm"/>
        </w:rPr>
        <w:t>Professional Appointment</w:t>
      </w:r>
      <w:r>
        <w:t>: an agreement in writing dated [</w:t>
      </w:r>
      <w:r w:rsidRPr="004963E1">
        <w:rPr>
          <w:highlight w:val="yellow"/>
        </w:rPr>
        <w:t>DA</w:t>
      </w:r>
      <w:r w:rsidR="00C442DC" w:rsidRPr="004963E1">
        <w:rPr>
          <w:highlight w:val="yellow"/>
        </w:rPr>
        <w:t>TE]</w:t>
      </w:r>
      <w:r w:rsidR="00C442DC">
        <w:t xml:space="preserve"> between the Consultant and </w:t>
      </w:r>
      <w:r>
        <w:t>the Client.</w:t>
      </w:r>
    </w:p>
    <w:p w:rsidR="00590D4E" w:rsidRDefault="00590D4E">
      <w:pPr>
        <w:pStyle w:val="IgnoredSpacing"/>
      </w:pPr>
    </w:p>
    <w:p w:rsidR="00590D4E" w:rsidRDefault="00590D4E">
      <w:pPr>
        <w:pStyle w:val="DefinedTermPara"/>
        <w:rPr>
          <w:rStyle w:val="DefTerm"/>
        </w:rPr>
      </w:pPr>
      <w:r>
        <w:rPr>
          <w:rStyle w:val="DefTerm"/>
        </w:rPr>
        <w:t>Programme</w:t>
      </w:r>
      <w:r>
        <w:t>: the programme, as defined in the Professional Appointment.</w:t>
      </w:r>
    </w:p>
    <w:p w:rsidR="00590D4E" w:rsidRDefault="00590D4E">
      <w:pPr>
        <w:pStyle w:val="DefinedTermPara"/>
        <w:rPr>
          <w:rStyle w:val="DefTerm"/>
        </w:rPr>
      </w:pPr>
      <w:r>
        <w:rPr>
          <w:rStyle w:val="DefTerm"/>
        </w:rPr>
        <w:t>Project</w:t>
      </w:r>
      <w:r w:rsidR="004963E1">
        <w:t>: Wellington Barracks</w:t>
      </w:r>
      <w:r>
        <w:t>.</w:t>
      </w:r>
    </w:p>
    <w:p w:rsidR="00590D4E" w:rsidRDefault="00590D4E">
      <w:pPr>
        <w:pStyle w:val="DefinedTermPara"/>
        <w:rPr>
          <w:rStyle w:val="DefTerm"/>
        </w:rPr>
      </w:pPr>
      <w:r>
        <w:rPr>
          <w:rStyle w:val="DefTerm"/>
        </w:rPr>
        <w:t>Property</w:t>
      </w:r>
      <w:r w:rsidR="004963E1">
        <w:t>: Blocks 5 and 7</w:t>
      </w:r>
      <w:r>
        <w:t>.</w:t>
      </w:r>
    </w:p>
    <w:p w:rsidR="00590D4E" w:rsidRDefault="00590D4E">
      <w:pPr>
        <w:pStyle w:val="IgnoredSpacing"/>
      </w:pPr>
    </w:p>
    <w:p w:rsidR="00590D4E" w:rsidRDefault="00590D4E">
      <w:pPr>
        <w:pStyle w:val="DefinedTermPara"/>
        <w:rPr>
          <w:rStyle w:val="DefTerm"/>
        </w:rPr>
      </w:pPr>
      <w:r>
        <w:rPr>
          <w:rStyle w:val="DefTerm"/>
        </w:rPr>
        <w:t>Required Standard</w:t>
      </w:r>
      <w:r>
        <w:t xml:space="preserve">: </w:t>
      </w:r>
      <w:r w:rsidRPr="00280220">
        <w:rPr>
          <w:highlight w:val="yellow"/>
        </w:rPr>
        <w:t>all</w:t>
      </w:r>
      <w:r>
        <w:t xml:space="preserve"> the reasonable skill, care and diligence to be expected of a </w:t>
      </w:r>
      <w:r w:rsidRPr="00280220">
        <w:rPr>
          <w:highlight w:val="yellow"/>
        </w:rPr>
        <w:t>qualified and experienced member of the Consultant's profession</w:t>
      </w:r>
      <w:r>
        <w:t xml:space="preserve"> undertaking the Services on works similar in scope and character to the Project.</w:t>
      </w:r>
    </w:p>
    <w:p w:rsidR="00590D4E" w:rsidRDefault="00590D4E">
      <w:pPr>
        <w:pStyle w:val="IgnoredSpacing"/>
      </w:pPr>
    </w:p>
    <w:p w:rsidR="00590D4E" w:rsidRDefault="00590D4E">
      <w:pPr>
        <w:pStyle w:val="DefinedTermPara"/>
        <w:rPr>
          <w:rStyle w:val="DefTerm"/>
        </w:rPr>
      </w:pPr>
      <w:r>
        <w:rPr>
          <w:rStyle w:val="DefTerm"/>
        </w:rPr>
        <w:t>Services</w:t>
      </w:r>
      <w:r>
        <w:t>: the services referred to in the Professional Appointment, performed by or on behalf of the Consultant under the Professional Appointment.</w:t>
      </w:r>
    </w:p>
    <w:p w:rsidR="00590D4E" w:rsidRDefault="00590D4E">
      <w:pPr>
        <w:pStyle w:val="DefinedTermPara"/>
        <w:rPr>
          <w:rStyle w:val="DefTerm"/>
        </w:rPr>
      </w:pPr>
      <w:r>
        <w:rPr>
          <w:rStyle w:val="DefTerm"/>
        </w:rPr>
        <w:t>Third Party Agreement</w:t>
      </w:r>
      <w:r>
        <w:t>: any agreement between the Client and a third party relating to the Project and of which:</w:t>
      </w:r>
    </w:p>
    <w:p w:rsidR="00590D4E" w:rsidRDefault="00590D4E">
      <w:pPr>
        <w:pStyle w:val="DefinedTermNumber"/>
        <w:numPr>
          <w:ilvl w:val="0"/>
          <w:numId w:val="39"/>
        </w:numPr>
      </w:pPr>
      <w:r>
        <w:t>a copy, or re</w:t>
      </w:r>
      <w:r w:rsidR="004963E1">
        <w:t>levant extract, is attached</w:t>
      </w:r>
      <w:r>
        <w:t xml:space="preserve"> to the Professional Appointment; or</w:t>
      </w:r>
    </w:p>
    <w:p w:rsidR="00590D4E" w:rsidRDefault="00590D4E">
      <w:pPr>
        <w:pStyle w:val="DefinedTermNumber"/>
        <w:numPr>
          <w:ilvl w:val="0"/>
          <w:numId w:val="39"/>
        </w:numPr>
      </w:pPr>
      <w:r>
        <w:t>the Client notifies the Consultant in writing after the date o</w:t>
      </w:r>
      <w:r w:rsidR="004963E1">
        <w:t xml:space="preserve">f the Professional Appointment </w:t>
      </w:r>
      <w:r>
        <w:t>enclos</w:t>
      </w:r>
      <w:r w:rsidR="00C442DC">
        <w:t>ing a copy or relevant extracts</w:t>
      </w:r>
      <w:r>
        <w:t>.</w:t>
      </w:r>
    </w:p>
    <w:p w:rsidR="00590D4E" w:rsidRDefault="00590D4E">
      <w:pPr>
        <w:pStyle w:val="IgnoredSpacing"/>
      </w:pPr>
    </w:p>
    <w:p w:rsidR="00590D4E" w:rsidRDefault="00590D4E">
      <w:pPr>
        <w:pStyle w:val="Untitledsubclause1"/>
      </w:pPr>
      <w:bookmarkStart w:id="9" w:name="a785293"/>
      <w:r>
        <w:t>Clause headings shall not affect the interpretation of this agreement.</w:t>
      </w:r>
      <w:bookmarkEnd w:id="9"/>
    </w:p>
    <w:p w:rsidR="00590D4E" w:rsidRDefault="00590D4E" w:rsidP="00280220">
      <w:pPr>
        <w:pStyle w:val="Untitledsubclause1"/>
      </w:pPr>
      <w:bookmarkStart w:id="10" w:name="a44345"/>
      <w:r>
        <w:t xml:space="preserve">A </w:t>
      </w:r>
      <w:r>
        <w:rPr>
          <w:rStyle w:val="DefTerm"/>
        </w:rPr>
        <w:t>person</w:t>
      </w:r>
      <w:r>
        <w:t xml:space="preserve"> includes a natural person, corporate or unincorporated body (whether or not having separate legal personality).</w:t>
      </w:r>
      <w:bookmarkEnd w:id="10"/>
    </w:p>
    <w:p w:rsidR="00590D4E" w:rsidRDefault="00590D4E">
      <w:pPr>
        <w:pStyle w:val="Untitledsubclause1"/>
      </w:pPr>
      <w:bookmarkStart w:id="11" w:name="a419854"/>
      <w:r>
        <w:t xml:space="preserve">A reference to a </w:t>
      </w:r>
      <w:r>
        <w:rPr>
          <w:rStyle w:val="DefTerm"/>
        </w:rPr>
        <w:t>company</w:t>
      </w:r>
      <w:r>
        <w:t xml:space="preserve"> includes any company, corporation or other body corporate, wherever and however incorporated or established.</w:t>
      </w:r>
      <w:bookmarkEnd w:id="11"/>
    </w:p>
    <w:p w:rsidR="00590D4E" w:rsidRDefault="00590D4E">
      <w:pPr>
        <w:pStyle w:val="Untitledsubclause1"/>
      </w:pPr>
      <w:bookmarkStart w:id="12" w:name="a251282"/>
      <w:r>
        <w:t>Unless the context otherwise requires, words in the singular shall include the plural and in the plural include the singular.</w:t>
      </w:r>
      <w:bookmarkEnd w:id="12"/>
    </w:p>
    <w:p w:rsidR="00590D4E" w:rsidRDefault="00590D4E">
      <w:pPr>
        <w:pStyle w:val="Untitledsubclause1"/>
      </w:pPr>
      <w:bookmarkStart w:id="13" w:name="a1003337"/>
      <w:r>
        <w:t>Unless the context otherwise requires, a reference to one gender shall include a reference to the other genders.</w:t>
      </w:r>
      <w:bookmarkEnd w:id="13"/>
    </w:p>
    <w:p w:rsidR="00590D4E" w:rsidRDefault="00590D4E">
      <w:pPr>
        <w:pStyle w:val="Untitledsubclause1"/>
      </w:pPr>
      <w:bookmarkStart w:id="14" w:name="a169606"/>
      <w:r>
        <w:t xml:space="preserve">This agreement shall be binding on, and enure to the benefit of, the parties to this agreement and their respective personal representatives, </w:t>
      </w:r>
      <w:r w:rsidRPr="00280220">
        <w:rPr>
          <w:highlight w:val="yellow"/>
        </w:rPr>
        <w:t>successors</w:t>
      </w:r>
      <w:r>
        <w:t xml:space="preserve"> and permitted assigns, and references to any party shall include that party's personal representatives, </w:t>
      </w:r>
      <w:r w:rsidRPr="00280220">
        <w:rPr>
          <w:highlight w:val="yellow"/>
        </w:rPr>
        <w:t>successors</w:t>
      </w:r>
      <w:r>
        <w:t xml:space="preserve"> and permitted assigns.</w:t>
      </w:r>
      <w:bookmarkEnd w:id="14"/>
    </w:p>
    <w:p w:rsidR="00590D4E" w:rsidRDefault="00590D4E">
      <w:pPr>
        <w:pStyle w:val="Untitledsubclause1"/>
      </w:pPr>
      <w:bookmarkStart w:id="15" w:name="a742538"/>
      <w:r>
        <w:t>A reference to a statute or statutory provision is a reference to it as amended, extended or re-enacted from time to time.</w:t>
      </w:r>
      <w:bookmarkEnd w:id="15"/>
    </w:p>
    <w:p w:rsidR="00590D4E" w:rsidRDefault="00590D4E">
      <w:pPr>
        <w:pStyle w:val="Untitledsubclause1"/>
      </w:pPr>
      <w:bookmarkStart w:id="16" w:name="a714949"/>
      <w:r>
        <w:t>A reference to a statute or statutory provision shall include all subordinate legislation made from time to time under that statute or statutory provision.</w:t>
      </w:r>
      <w:bookmarkEnd w:id="16"/>
    </w:p>
    <w:p w:rsidR="00590D4E" w:rsidRDefault="00590D4E">
      <w:pPr>
        <w:pStyle w:val="Untitledsubclause1"/>
      </w:pPr>
      <w:bookmarkStart w:id="17" w:name="a167100"/>
      <w:r w:rsidRPr="00280220">
        <w:rPr>
          <w:highlight w:val="yellow"/>
        </w:rPr>
        <w:t>Any obligation on a party not to do something includes an obligation not to allow that thing to be done</w:t>
      </w:r>
      <w:r>
        <w:t>.</w:t>
      </w:r>
      <w:bookmarkEnd w:id="17"/>
    </w:p>
    <w:p w:rsidR="00590D4E" w:rsidRDefault="00590D4E" w:rsidP="00280220">
      <w:pPr>
        <w:pStyle w:val="Untitledsubclause1"/>
      </w:pPr>
      <w:bookmarkStart w:id="18" w:name="a1030515"/>
      <w:r>
        <w:lastRenderedPageBreak/>
        <w:t xml:space="preserve">A reference to </w:t>
      </w:r>
      <w:r>
        <w:rPr>
          <w:rStyle w:val="DefTerm"/>
        </w:rPr>
        <w:t>writing</w:t>
      </w:r>
      <w:r>
        <w:t xml:space="preserve"> or </w:t>
      </w:r>
      <w:r>
        <w:rPr>
          <w:rStyle w:val="DefTerm"/>
        </w:rPr>
        <w:t>written</w:t>
      </w:r>
      <w:r w:rsidR="00C442DC">
        <w:t xml:space="preserve"> includes fax</w:t>
      </w:r>
      <w:r>
        <w:t xml:space="preserve"> and email</w:t>
      </w:r>
      <w:bookmarkEnd w:id="18"/>
      <w:r w:rsidR="00C442DC">
        <w:t>.</w:t>
      </w:r>
    </w:p>
    <w:p w:rsidR="00590D4E" w:rsidRDefault="00590D4E">
      <w:pPr>
        <w:pStyle w:val="Untitledsubclause1"/>
      </w:pPr>
      <w:r>
        <w:fldChar w:fldCharType="begin"/>
      </w:r>
      <w:r>
        <w:fldChar w:fldCharType="end"/>
      </w:r>
      <w:bookmarkStart w:id="19" w:name="a272196"/>
      <w:r>
        <w:t>A reference to a document is a reference to that document as varied or novated (in each case, other than in breach of this agreement) at any time.</w:t>
      </w:r>
      <w:bookmarkEnd w:id="19"/>
    </w:p>
    <w:p w:rsidR="00590D4E" w:rsidRDefault="00590D4E" w:rsidP="00C442DC">
      <w:pPr>
        <w:pStyle w:val="Untitledsubclause1"/>
      </w:pPr>
      <w:bookmarkStart w:id="20" w:name="a203243"/>
      <w:r>
        <w:t>References to clauses are to the clauses of this agreement.</w:t>
      </w:r>
      <w:bookmarkEnd w:id="20"/>
    </w:p>
    <w:p w:rsidR="00590D4E" w:rsidRDefault="00590D4E">
      <w:pPr>
        <w:pStyle w:val="Untitledsubclause1"/>
      </w:pPr>
      <w:bookmarkStart w:id="21" w:name="a959398"/>
      <w:r>
        <w:t xml:space="preserve">Any words following the terms </w:t>
      </w:r>
      <w:r>
        <w:rPr>
          <w:rStyle w:val="DefTerm"/>
        </w:rPr>
        <w:t>including</w:t>
      </w:r>
      <w:r>
        <w:t xml:space="preserve">, </w:t>
      </w:r>
      <w:r>
        <w:rPr>
          <w:rStyle w:val="DefTerm"/>
        </w:rPr>
        <w:t>include</w:t>
      </w:r>
      <w:r>
        <w:t xml:space="preserve">, </w:t>
      </w:r>
      <w:r>
        <w:rPr>
          <w:rStyle w:val="DefTerm"/>
        </w:rPr>
        <w:t>in particular</w:t>
      </w:r>
      <w:r>
        <w:t xml:space="preserve">, </w:t>
      </w:r>
      <w:r>
        <w:rPr>
          <w:rStyle w:val="DefTerm"/>
        </w:rPr>
        <w:t>for example</w:t>
      </w:r>
      <w:r>
        <w:t xml:space="preserve"> or any similar expression shall be construed as illustrative and shall not limit the sense of the words, description, definition, phrase or term preceding those terms.</w:t>
      </w:r>
      <w:bookmarkEnd w:id="21"/>
    </w:p>
    <w:p w:rsidR="00590D4E" w:rsidRDefault="00590D4E" w:rsidP="00C442DC">
      <w:pPr>
        <w:pStyle w:val="TitleClause"/>
      </w:pPr>
      <w:r>
        <w:fldChar w:fldCharType="begin"/>
      </w:r>
      <w:r>
        <w:instrText>TC "2. Comply with Professional Appointment" \l 1</w:instrText>
      </w:r>
      <w:r>
        <w:fldChar w:fldCharType="end"/>
      </w:r>
      <w:bookmarkStart w:id="22" w:name="a1040158"/>
      <w:bookmarkStart w:id="23" w:name="_Toc475631325"/>
      <w:r>
        <w:t>Comply with Professional Appointment</w:t>
      </w:r>
      <w:bookmarkEnd w:id="22"/>
      <w:bookmarkEnd w:id="23"/>
    </w:p>
    <w:p w:rsidR="00590D4E" w:rsidRDefault="00590D4E">
      <w:pPr>
        <w:pStyle w:val="Untitledsubclause1"/>
      </w:pPr>
      <w:bookmarkStart w:id="24" w:name="a435368"/>
      <w:r>
        <w:t>The Consultant warrants to the Beneficiary that:</w:t>
      </w:r>
      <w:bookmarkEnd w:id="24"/>
    </w:p>
    <w:p w:rsidR="00590D4E" w:rsidRDefault="00590D4E">
      <w:pPr>
        <w:pStyle w:val="Untitledsubclause2"/>
      </w:pPr>
      <w:bookmarkStart w:id="25" w:name="a1054114"/>
      <w:r w:rsidRPr="00280220">
        <w:rPr>
          <w:highlight w:val="yellow"/>
        </w:rPr>
        <w:t>it has</w:t>
      </w:r>
      <w:r>
        <w:t xml:space="preserve"> complied, and shall continue to comply, with its obligations under the Professional Appointment, including its obligations to:</w:t>
      </w:r>
      <w:bookmarkEnd w:id="25"/>
    </w:p>
    <w:p w:rsidR="00590D4E" w:rsidRDefault="00590D4E">
      <w:pPr>
        <w:pStyle w:val="Untitledsubclause3"/>
      </w:pPr>
      <w:bookmarkStart w:id="26" w:name="a971254"/>
      <w:r>
        <w:t>carry out and fulfil, in all respects, the duties of a d</w:t>
      </w:r>
      <w:r w:rsidR="004963E1">
        <w:t>esigner</w:t>
      </w:r>
      <w:r>
        <w:t xml:space="preserve"> under the CDM Regulations;</w:t>
      </w:r>
      <w:bookmarkEnd w:id="26"/>
    </w:p>
    <w:p w:rsidR="00590D4E" w:rsidRDefault="00590D4E">
      <w:pPr>
        <w:pStyle w:val="Untitledsubclause3"/>
      </w:pPr>
      <w:bookmarkStart w:id="27" w:name="a750991"/>
      <w:r>
        <w:t>not, without the Client's written consent, make any material change to the designs or specifications for the Project after they have been settled or approved; and</w:t>
      </w:r>
      <w:bookmarkEnd w:id="27"/>
    </w:p>
    <w:p w:rsidR="00590D4E" w:rsidRDefault="00590D4E">
      <w:pPr>
        <w:pStyle w:val="Untitledsubclause3"/>
      </w:pPr>
      <w:bookmarkStart w:id="28" w:name="a146201"/>
      <w:r>
        <w:t>act fairly and impartially when exercising its power to issue certificates and award extensions of time under any building contract relating to the Project.</w:t>
      </w:r>
      <w:bookmarkEnd w:id="28"/>
    </w:p>
    <w:p w:rsidR="00590D4E" w:rsidRDefault="00590D4E">
      <w:pPr>
        <w:pStyle w:val="Untitledsubclause2"/>
      </w:pPr>
      <w:bookmarkStart w:id="29" w:name="a960573"/>
      <w:r>
        <w:t>it has exercised and shall continue to exercise the Required Standard:</w:t>
      </w:r>
      <w:bookmarkEnd w:id="29"/>
    </w:p>
    <w:p w:rsidR="00590D4E" w:rsidRDefault="00590D4E">
      <w:pPr>
        <w:pStyle w:val="Untitledsubclause3"/>
      </w:pPr>
      <w:bookmarkStart w:id="30" w:name="a517457"/>
      <w:r>
        <w:t>when performing the Services;</w:t>
      </w:r>
      <w:bookmarkEnd w:id="30"/>
    </w:p>
    <w:p w:rsidR="00590D4E" w:rsidRDefault="00590D4E">
      <w:pPr>
        <w:pStyle w:val="Untitledsubclause3"/>
      </w:pPr>
      <w:bookmarkStart w:id="31" w:name="a784490"/>
      <w:r>
        <w:t xml:space="preserve">not to specify for use anything in the Project, which is Deleterious at the time of specification </w:t>
      </w:r>
      <w:r w:rsidRPr="00280220">
        <w:rPr>
          <w:highlight w:val="yellow"/>
        </w:rPr>
        <w:t>or use</w:t>
      </w:r>
      <w:r>
        <w:t>;</w:t>
      </w:r>
      <w:bookmarkEnd w:id="31"/>
    </w:p>
    <w:p w:rsidR="00590D4E" w:rsidRDefault="00590D4E">
      <w:pPr>
        <w:pStyle w:val="Untitledsubclause3"/>
      </w:pPr>
      <w:bookmarkStart w:id="32" w:name="a983389"/>
      <w:r>
        <w:t xml:space="preserve">to comply with </w:t>
      </w:r>
      <w:r w:rsidRPr="00280220">
        <w:rPr>
          <w:highlight w:val="yellow"/>
        </w:rPr>
        <w:t>(and ensure the completed Project complies with</w:t>
      </w:r>
      <w:r>
        <w:t>) any Act of Parliament and any instrument, rule or order made under any Act of Parliament;</w:t>
      </w:r>
      <w:bookmarkEnd w:id="32"/>
    </w:p>
    <w:p w:rsidR="00590D4E" w:rsidRDefault="00590D4E">
      <w:pPr>
        <w:pStyle w:val="Untitledsubclause3"/>
      </w:pPr>
      <w:bookmarkStart w:id="33" w:name="a287117"/>
      <w:r>
        <w:t>to comply with (</w:t>
      </w:r>
      <w:r w:rsidRPr="00280220">
        <w:rPr>
          <w:highlight w:val="yellow"/>
        </w:rPr>
        <w:t>and ensure the completed Project complies with</w:t>
      </w:r>
      <w:r>
        <w:t>) any regulation or bye-law of any local authority, statutory undertaker or public or private utility or undertaking that has any jurisdiction over the Project or with whose systems or property the Project is or will be connected;</w:t>
      </w:r>
      <w:bookmarkEnd w:id="33"/>
    </w:p>
    <w:p w:rsidR="00590D4E" w:rsidRPr="00280220" w:rsidRDefault="00590D4E">
      <w:pPr>
        <w:pStyle w:val="Untitledsubclause3"/>
        <w:rPr>
          <w:highlight w:val="yellow"/>
        </w:rPr>
      </w:pPr>
      <w:bookmarkStart w:id="34" w:name="a1042481"/>
      <w:r>
        <w:t xml:space="preserve">to perform the Services and prepare all Material for those elements of the Project for which the Consultant is responsible according to the </w:t>
      </w:r>
      <w:r>
        <w:lastRenderedPageBreak/>
        <w:t>Programme or, in the absence of a Programme</w:t>
      </w:r>
      <w:r w:rsidRPr="00280220">
        <w:t>, in sufficient time to facilitate the efficient progress of the Project;</w:t>
      </w:r>
      <w:bookmarkEnd w:id="34"/>
    </w:p>
    <w:p w:rsidR="00590D4E" w:rsidRPr="00280220" w:rsidRDefault="00590D4E">
      <w:pPr>
        <w:pStyle w:val="Untitledsubclause3"/>
        <w:rPr>
          <w:highlight w:val="yellow"/>
        </w:rPr>
      </w:pPr>
      <w:bookmarkStart w:id="35" w:name="a770266"/>
      <w:r w:rsidRPr="00280220">
        <w:rPr>
          <w:highlight w:val="yellow"/>
        </w:rPr>
        <w:t>to ensure that the Project complies with all planning agreements, permissions and conditions; and</w:t>
      </w:r>
      <w:bookmarkEnd w:id="35"/>
    </w:p>
    <w:p w:rsidR="00590D4E" w:rsidRPr="000C2EDD" w:rsidRDefault="00590D4E">
      <w:pPr>
        <w:pStyle w:val="Untitledsubclause3"/>
        <w:rPr>
          <w:highlight w:val="yellow"/>
        </w:rPr>
      </w:pPr>
      <w:bookmarkStart w:id="36" w:name="a524596"/>
      <w:r w:rsidRPr="000C2EDD">
        <w:rPr>
          <w:highlight w:val="yellow"/>
        </w:rPr>
        <w:t xml:space="preserve">not to cause or contribute to any breach by the Client of any Third Party Agreement provided that, where the Client notifies the Consultant of a Third Party Agreement after the date of the Professional Appointment, the Consultant is not required to act in any way that may increase its liability in excess of that which was reasonably foreseeable at the date of the Professional Appointment. </w:t>
      </w:r>
      <w:bookmarkEnd w:id="36"/>
    </w:p>
    <w:p w:rsidR="00590D4E" w:rsidRDefault="00590D4E">
      <w:pPr>
        <w:pStyle w:val="IgnoredSpacing"/>
      </w:pPr>
    </w:p>
    <w:p w:rsidR="00590D4E" w:rsidRDefault="00590D4E">
      <w:pPr>
        <w:pStyle w:val="Untitledsubclause1"/>
      </w:pPr>
      <w:bookmarkStart w:id="37" w:name="a62445"/>
      <w:r>
        <w:t xml:space="preserve">In proceedings for breach of this </w:t>
      </w:r>
      <w:r w:rsidRPr="004963E1">
        <w:t xml:space="preserve">clause </w:t>
      </w:r>
      <w:r w:rsidRPr="004963E1">
        <w:fldChar w:fldCharType="begin"/>
      </w:r>
      <w:r w:rsidRPr="004963E1">
        <w:instrText xml:space="preserve">REF a1040158 \h \w </w:instrText>
      </w:r>
      <w:r w:rsidR="004963E1">
        <w:instrText xml:space="preserve"> \* MERGEFORMAT </w:instrText>
      </w:r>
      <w:r w:rsidRPr="004963E1">
        <w:fldChar w:fldCharType="separate"/>
      </w:r>
      <w:r w:rsidR="00FB3C0C">
        <w:t>2</w:t>
      </w:r>
      <w:r w:rsidRPr="004963E1">
        <w:fldChar w:fldCharType="end"/>
      </w:r>
      <w:r w:rsidRPr="004963E1">
        <w:t>.,</w:t>
      </w:r>
      <w:r>
        <w:t xml:space="preserve"> the Consultant may:</w:t>
      </w:r>
      <w:bookmarkEnd w:id="37"/>
    </w:p>
    <w:p w:rsidR="00590D4E" w:rsidRDefault="00590D4E">
      <w:pPr>
        <w:pStyle w:val="Untitledsubclause2"/>
      </w:pPr>
      <w:bookmarkStart w:id="38" w:name="a191787"/>
      <w:r>
        <w:t>rely on any limit of liability or other term of the Professional Appointment; and</w:t>
      </w:r>
      <w:bookmarkEnd w:id="38"/>
    </w:p>
    <w:p w:rsidR="00590D4E" w:rsidRDefault="00590D4E">
      <w:pPr>
        <w:pStyle w:val="Untitledsubclause2"/>
      </w:pPr>
      <w:bookmarkStart w:id="39" w:name="a594080"/>
      <w:r>
        <w:t>raise equivalent rights of defence as it would have had if the Beneficiary had been named as a joint client, with the Client, unde</w:t>
      </w:r>
      <w:r w:rsidR="00C442DC">
        <w:t xml:space="preserve">r the Professional Appointment </w:t>
      </w:r>
      <w:r>
        <w:t>(for this purpose not taking into account any set-off or counterclaim against the actual client unde</w:t>
      </w:r>
      <w:r w:rsidR="00C442DC">
        <w:t>r the Professional Appointment)</w:t>
      </w:r>
      <w:r>
        <w:t>.</w:t>
      </w:r>
      <w:bookmarkEnd w:id="39"/>
    </w:p>
    <w:p w:rsidR="00590D4E" w:rsidRDefault="00590D4E">
      <w:pPr>
        <w:pStyle w:val="IgnoredSpacing"/>
      </w:pPr>
    </w:p>
    <w:p w:rsidR="00590D4E" w:rsidRDefault="00590D4E">
      <w:pPr>
        <w:pStyle w:val="Untitledsubclause1"/>
      </w:pPr>
      <w:bookmarkStart w:id="40" w:name="a1035864"/>
      <w:r>
        <w:t xml:space="preserve">The Consultant's </w:t>
      </w:r>
      <w:r w:rsidRPr="000C2EDD">
        <w:rPr>
          <w:highlight w:val="yellow"/>
        </w:rPr>
        <w:t>duties or liabilities</w:t>
      </w:r>
      <w:r>
        <w:t xml:space="preserve"> under this agreement shall not be negated or diminished by:</w:t>
      </w:r>
      <w:bookmarkEnd w:id="40"/>
    </w:p>
    <w:p w:rsidR="00590D4E" w:rsidRDefault="00590D4E">
      <w:pPr>
        <w:pStyle w:val="Untitledsubclause2"/>
      </w:pPr>
      <w:bookmarkStart w:id="41" w:name="a412406"/>
      <w:r>
        <w:t>any approval or inspection of:</w:t>
      </w:r>
      <w:bookmarkEnd w:id="41"/>
    </w:p>
    <w:p w:rsidR="00590D4E" w:rsidRDefault="00590D4E">
      <w:pPr>
        <w:pStyle w:val="Untitledsubclause3"/>
      </w:pPr>
      <w:bookmarkStart w:id="42" w:name="a678347"/>
      <w:r>
        <w:t>the Property; or</w:t>
      </w:r>
      <w:bookmarkEnd w:id="42"/>
    </w:p>
    <w:p w:rsidR="00590D4E" w:rsidRDefault="00590D4E">
      <w:pPr>
        <w:pStyle w:val="Untitledsubclause3"/>
      </w:pPr>
      <w:bookmarkStart w:id="43" w:name="a582718"/>
      <w:r>
        <w:t>the Project; or</w:t>
      </w:r>
      <w:bookmarkEnd w:id="43"/>
    </w:p>
    <w:p w:rsidR="00590D4E" w:rsidRDefault="00590D4E">
      <w:pPr>
        <w:pStyle w:val="Untitledsubclause3"/>
      </w:pPr>
      <w:bookmarkStart w:id="44" w:name="a931922"/>
      <w:r>
        <w:t>any designs or specifications for the Property or the Project; or</w:t>
      </w:r>
      <w:bookmarkEnd w:id="44"/>
    </w:p>
    <w:p w:rsidR="00590D4E" w:rsidRDefault="00590D4E">
      <w:pPr>
        <w:pStyle w:val="Untitledsubclause2"/>
      </w:pPr>
      <w:bookmarkStart w:id="45" w:name="a870928"/>
      <w:r>
        <w:t>any testing of any work, goods, materials, plant or equipment; or</w:t>
      </w:r>
      <w:bookmarkEnd w:id="45"/>
    </w:p>
    <w:p w:rsidR="00590D4E" w:rsidRDefault="00590D4E">
      <w:pPr>
        <w:pStyle w:val="Untitledsubclause2"/>
      </w:pPr>
      <w:bookmarkStart w:id="46" w:name="a991593"/>
      <w:r>
        <w:t>any omission to approve, inspect or test,</w:t>
      </w:r>
      <w:bookmarkEnd w:id="46"/>
    </w:p>
    <w:p w:rsidR="00590D4E" w:rsidRDefault="00590D4E">
      <w:pPr>
        <w:pStyle w:val="Parasubclause1"/>
      </w:pPr>
      <w:r>
        <w:t>by or on behalf of the Beneficiary or the Client.</w:t>
      </w:r>
    </w:p>
    <w:p w:rsidR="00590D4E" w:rsidRDefault="00590D4E">
      <w:pPr>
        <w:pStyle w:val="Untitledsubclause1"/>
      </w:pPr>
      <w:r>
        <w:fldChar w:fldCharType="begin"/>
      </w:r>
      <w:r>
        <w:fldChar w:fldCharType="end"/>
      </w:r>
      <w:bookmarkStart w:id="47" w:name="a77639"/>
      <w:r>
        <w:t>This agreement shall not negate or diminish any other duty or liability otherwise owed to the Beneficiary by the Consultant.</w:t>
      </w:r>
      <w:bookmarkEnd w:id="47"/>
    </w:p>
    <w:p w:rsidR="00590D4E" w:rsidRDefault="00590D4E">
      <w:pPr>
        <w:pStyle w:val="IgnoredSpacing"/>
      </w:pPr>
    </w:p>
    <w:p w:rsidR="00590D4E" w:rsidRDefault="00590D4E" w:rsidP="00C442DC">
      <w:pPr>
        <w:pStyle w:val="TitleClause"/>
      </w:pPr>
      <w:r>
        <w:fldChar w:fldCharType="begin"/>
      </w:r>
      <w:bookmarkStart w:id="48" w:name="_Toc475631326"/>
      <w:r>
        <w:fldChar w:fldCharType="end"/>
      </w:r>
      <w:r>
        <w:fldChar w:fldCharType="begin"/>
      </w:r>
      <w:r>
        <w:instrText>TC "3. Step-in rights: Consultant may not terminate or discontinue" \l 1</w:instrText>
      </w:r>
      <w:r>
        <w:fldChar w:fldCharType="end"/>
      </w:r>
      <w:bookmarkStart w:id="49" w:name="a171112"/>
      <w:r>
        <w:t>Step-in rights: Consultant may not terminate or discontinue</w:t>
      </w:r>
      <w:bookmarkEnd w:id="48"/>
      <w:bookmarkEnd w:id="49"/>
    </w:p>
    <w:p w:rsidR="00590D4E" w:rsidRDefault="00C442DC">
      <w:pPr>
        <w:pStyle w:val="Untitledsubclause1"/>
      </w:pPr>
      <w:bookmarkStart w:id="50" w:name="a725087"/>
      <w:r>
        <w:t>T</w:t>
      </w:r>
      <w:r w:rsidR="00590D4E">
        <w:t>he Consultant shall not exercise, or seek to exercise, any right to:</w:t>
      </w:r>
      <w:bookmarkEnd w:id="50"/>
    </w:p>
    <w:p w:rsidR="00590D4E" w:rsidRDefault="00590D4E">
      <w:pPr>
        <w:pStyle w:val="Untitledsubclause2"/>
      </w:pPr>
      <w:bookmarkStart w:id="51" w:name="a393966"/>
      <w:r>
        <w:lastRenderedPageBreak/>
        <w:t>terminate its employment under the Professional Appointment; or</w:t>
      </w:r>
      <w:bookmarkEnd w:id="51"/>
    </w:p>
    <w:p w:rsidR="00590D4E" w:rsidRDefault="00590D4E">
      <w:pPr>
        <w:pStyle w:val="Untitledsubclause2"/>
      </w:pPr>
      <w:bookmarkStart w:id="52" w:name="a387329"/>
      <w:r>
        <w:t>discontinue performance of the Services,</w:t>
      </w:r>
      <w:bookmarkEnd w:id="52"/>
    </w:p>
    <w:p w:rsidR="00590D4E" w:rsidRDefault="00590D4E">
      <w:pPr>
        <w:pStyle w:val="Parasubclause1"/>
      </w:pPr>
      <w:r>
        <w:t xml:space="preserve">for any reason (including any breach on the part of the Client) without giving the Beneficiary at least </w:t>
      </w:r>
      <w:r w:rsidR="00C442DC">
        <w:t>20</w:t>
      </w:r>
      <w:r>
        <w:t xml:space="preserve"> Business Days' written notice of its intention to do so. Any notice from the Consultant shall specify the grounds for the Consultant's proposed termination or discontinuance.</w:t>
      </w:r>
    </w:p>
    <w:p w:rsidR="00590D4E" w:rsidRDefault="00590D4E">
      <w:pPr>
        <w:pStyle w:val="IgnoredSpacing"/>
      </w:pPr>
    </w:p>
    <w:p w:rsidR="00590D4E" w:rsidRDefault="00590D4E">
      <w:pPr>
        <w:pStyle w:val="Untitledsubclause1"/>
      </w:pPr>
      <w:bookmarkStart w:id="53" w:name="a402056"/>
      <w:r>
        <w:t xml:space="preserve">If the Professional Appointment allows the Consultant a shorter notice period for the exercise of a right referred to in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w:t>
      </w:r>
      <w:r>
        <w:t xml:space="preserve"> the notice period in the Professional Appointment shall be extended to take account of the notice period required under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w:t>
      </w:r>
      <w:bookmarkEnd w:id="53"/>
    </w:p>
    <w:p w:rsidR="00590D4E" w:rsidRDefault="00590D4E">
      <w:pPr>
        <w:pStyle w:val="IgnoredSpacing"/>
      </w:pPr>
    </w:p>
    <w:p w:rsidR="00590D4E" w:rsidRDefault="00590D4E">
      <w:pPr>
        <w:pStyle w:val="Untitledsubclause1"/>
      </w:pPr>
      <w:bookmarkStart w:id="54" w:name="a831900"/>
      <w:r>
        <w:t xml:space="preserve">The Consultant's right to terminate its employment under the Professional Appointment, or to discontinue performance of the Services, shall cease if, within the period referred to in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 the</w:t>
      </w:r>
      <w:r>
        <w:t xml:space="preserve"> Beneficiary gives notice to the Consultant, copied to the Client:</w:t>
      </w:r>
      <w:bookmarkEnd w:id="54"/>
    </w:p>
    <w:p w:rsidR="00590D4E" w:rsidRDefault="00590D4E">
      <w:pPr>
        <w:pStyle w:val="Untitledsubclause2"/>
      </w:pPr>
      <w:bookmarkStart w:id="55" w:name="a73526"/>
      <w:r>
        <w:t>requiring the Consultant not to terminate its employment or not to discontinue performance of the Services under the Professional Appointment;</w:t>
      </w:r>
      <w:bookmarkEnd w:id="55"/>
    </w:p>
    <w:p w:rsidR="00590D4E" w:rsidRDefault="00590D4E">
      <w:pPr>
        <w:pStyle w:val="Untitledsubclause2"/>
      </w:pPr>
      <w:bookmarkStart w:id="56" w:name="a348649"/>
      <w:r>
        <w:t>acknowledging that the Beneficiary (or its nominee) will assume all the Client's obligations under the Professional Appointment; and</w:t>
      </w:r>
      <w:bookmarkEnd w:id="56"/>
    </w:p>
    <w:p w:rsidR="00590D4E" w:rsidRDefault="00590D4E">
      <w:pPr>
        <w:pStyle w:val="Untitledsubclause2"/>
      </w:pPr>
      <w:bookmarkStart w:id="57" w:name="a992120"/>
      <w:r>
        <w:t>undertaking that the Beneficiary or its nominee will pay to the Consultant:</w:t>
      </w:r>
      <w:bookmarkEnd w:id="57"/>
    </w:p>
    <w:p w:rsidR="00590D4E" w:rsidRDefault="00590D4E">
      <w:pPr>
        <w:pStyle w:val="Untitledsubclause3"/>
      </w:pPr>
      <w:bookmarkStart w:id="58" w:name="a327287"/>
      <w:r>
        <w:t>any sums due and payable to the Consultant under the Professional Appointment in future; and</w:t>
      </w:r>
      <w:bookmarkEnd w:id="58"/>
    </w:p>
    <w:p w:rsidR="00590D4E" w:rsidRDefault="00590D4E">
      <w:pPr>
        <w:pStyle w:val="Untitledsubclause3"/>
      </w:pPr>
      <w:bookmarkStart w:id="59" w:name="a56209"/>
      <w:r>
        <w:t>any sums then due and payable to the Consultant under the Professional Appointment that are unpaid.</w:t>
      </w:r>
      <w:bookmarkEnd w:id="59"/>
    </w:p>
    <w:p w:rsidR="00590D4E" w:rsidRDefault="00590D4E">
      <w:pPr>
        <w:pStyle w:val="Untitledsubclause1"/>
      </w:pPr>
      <w:bookmarkStart w:id="60" w:name="a135023"/>
      <w:r>
        <w:t xml:space="preserve">If the Beneficiary (or its nominee) serves notice on the Consultant under </w:t>
      </w:r>
      <w:r w:rsidRPr="004963E1">
        <w:t xml:space="preserve">clause </w:t>
      </w:r>
      <w:r w:rsidRPr="004963E1">
        <w:fldChar w:fldCharType="begin"/>
      </w:r>
      <w:r w:rsidRPr="004963E1">
        <w:instrText xml:space="preserve">REF a831900 \h \w </w:instrText>
      </w:r>
      <w:r w:rsidR="004963E1">
        <w:instrText xml:space="preserve"> \* MERGEFORMAT </w:instrText>
      </w:r>
      <w:r w:rsidRPr="004963E1">
        <w:fldChar w:fldCharType="separate"/>
      </w:r>
      <w:r w:rsidR="00FB3C0C">
        <w:t>3.3</w:t>
      </w:r>
      <w:r w:rsidRPr="004963E1">
        <w:fldChar w:fldCharType="end"/>
      </w:r>
      <w:r w:rsidRPr="004963E1">
        <w:t>,</w:t>
      </w:r>
      <w:r>
        <w:t xml:space="preserve"> then, from the date of service of the notice, the Professional Appointment shall continue in full force and effect, as if it had been entered into between the Consultant and the Beneficiary (to the exclusion of the Client).</w:t>
      </w:r>
      <w:bookmarkEnd w:id="60"/>
    </w:p>
    <w:p w:rsidR="00590D4E" w:rsidRDefault="00590D4E">
      <w:pPr>
        <w:pStyle w:val="Untitledsubclause1"/>
      </w:pPr>
      <w:bookmarkStart w:id="61" w:name="a633000"/>
      <w:r>
        <w:t xml:space="preserve">In complying with this </w:t>
      </w:r>
      <w:r w:rsidRPr="004963E1">
        <w:t xml:space="preserve">clause </w:t>
      </w:r>
      <w:r w:rsidRPr="004963E1">
        <w:fldChar w:fldCharType="begin"/>
      </w:r>
      <w:r w:rsidRPr="004963E1">
        <w:instrText xml:space="preserve">REF a171112 \h \w </w:instrText>
      </w:r>
      <w:r w:rsidR="004963E1">
        <w:instrText xml:space="preserve"> \* MERGEFORMAT </w:instrText>
      </w:r>
      <w:r w:rsidRPr="004963E1">
        <w:fldChar w:fldCharType="separate"/>
      </w:r>
      <w:r w:rsidR="00FB3C0C">
        <w:t>3</w:t>
      </w:r>
      <w:r w:rsidRPr="004963E1">
        <w:fldChar w:fldCharType="end"/>
      </w:r>
      <w:r w:rsidRPr="004963E1">
        <w:t>.,</w:t>
      </w:r>
      <w:r>
        <w:t xml:space="preserve"> the Consultant:</w:t>
      </w:r>
      <w:bookmarkEnd w:id="61"/>
    </w:p>
    <w:p w:rsidR="00590D4E" w:rsidRDefault="00590D4E">
      <w:pPr>
        <w:pStyle w:val="Untitledsubclause2"/>
      </w:pPr>
      <w:bookmarkStart w:id="62" w:name="a404647"/>
      <w:r>
        <w:t>does not waive any breach of the Professional Appointment or default under the Professional Appointment by the Client; and</w:t>
      </w:r>
      <w:bookmarkEnd w:id="62"/>
    </w:p>
    <w:p w:rsidR="00590D4E" w:rsidRDefault="00590D4E" w:rsidP="00C442DC">
      <w:pPr>
        <w:pStyle w:val="Untitledsubclause2"/>
      </w:pPr>
      <w:bookmarkStart w:id="63" w:name="a355285"/>
      <w:r>
        <w:t xml:space="preserve">may exercise its right to terminate its employment under the Professional Appointment, or discontinue performance of the Services, after the expiry of the </w:t>
      </w:r>
      <w:r>
        <w:lastRenderedPageBreak/>
        <w:t xml:space="preserve">notice period referred to in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 xml:space="preserve">, unless the Consultant's right to terminate or discontinue has ceased under clause </w:t>
      </w:r>
      <w:r w:rsidRPr="004963E1">
        <w:fldChar w:fldCharType="begin"/>
      </w:r>
      <w:r w:rsidRPr="004963E1">
        <w:instrText xml:space="preserve">REF a831900 \h \w </w:instrText>
      </w:r>
      <w:r w:rsidR="004963E1">
        <w:instrText xml:space="preserve"> \* MERGEFORMAT </w:instrText>
      </w:r>
      <w:r w:rsidRPr="004963E1">
        <w:fldChar w:fldCharType="separate"/>
      </w:r>
      <w:r w:rsidR="00FB3C0C">
        <w:t>3.3</w:t>
      </w:r>
      <w:r w:rsidRPr="004963E1">
        <w:fldChar w:fldCharType="end"/>
      </w:r>
      <w:r w:rsidRPr="004963E1">
        <w:t>.</w:t>
      </w:r>
      <w:bookmarkEnd w:id="63"/>
    </w:p>
    <w:p w:rsidR="00590D4E" w:rsidRDefault="00590D4E">
      <w:pPr>
        <w:pStyle w:val="TitleClause"/>
      </w:pPr>
      <w:r>
        <w:fldChar w:fldCharType="begin"/>
      </w:r>
      <w:bookmarkStart w:id="64" w:name="_Toc475631327"/>
      <w:r>
        <w:fldChar w:fldCharType="end"/>
      </w:r>
      <w:r>
        <w:fldChar w:fldCharType="begin"/>
      </w:r>
      <w:r>
        <w:instrText>TC "4. Step-in rights: Beneficiary may step-in" \l 1</w:instrText>
      </w:r>
      <w:r>
        <w:fldChar w:fldCharType="end"/>
      </w:r>
      <w:bookmarkStart w:id="65" w:name="a347313"/>
      <w:r>
        <w:t>Step-in rights: Beneficiary may step-in</w:t>
      </w:r>
      <w:bookmarkEnd w:id="64"/>
      <w:bookmarkEnd w:id="65"/>
    </w:p>
    <w:p w:rsidR="00590D4E" w:rsidRDefault="00590D4E">
      <w:pPr>
        <w:pStyle w:val="IgnoredSpacing"/>
      </w:pPr>
    </w:p>
    <w:p w:rsidR="00590D4E" w:rsidRDefault="00C442DC">
      <w:pPr>
        <w:pStyle w:val="Untitledsubclause1"/>
      </w:pPr>
      <w:bookmarkStart w:id="66" w:name="a314766"/>
      <w:r>
        <w:t>W</w:t>
      </w:r>
      <w:r w:rsidR="00590D4E">
        <w:t xml:space="preserve">ithout affecting </w:t>
      </w:r>
      <w:r w:rsidR="00590D4E" w:rsidRPr="001770C4">
        <w:t xml:space="preserve">clause </w:t>
      </w:r>
      <w:r w:rsidR="00590D4E" w:rsidRPr="001770C4">
        <w:fldChar w:fldCharType="begin"/>
      </w:r>
      <w:r w:rsidR="00590D4E" w:rsidRPr="001770C4">
        <w:instrText xml:space="preserve">REF a725087 \h \w </w:instrText>
      </w:r>
      <w:r w:rsidR="001770C4">
        <w:instrText xml:space="preserve"> \* MERGEFORMAT </w:instrText>
      </w:r>
      <w:r w:rsidR="00590D4E" w:rsidRPr="001770C4">
        <w:fldChar w:fldCharType="separate"/>
      </w:r>
      <w:r w:rsidR="00FB3C0C">
        <w:t>3.1</w:t>
      </w:r>
      <w:r w:rsidR="00590D4E" w:rsidRPr="001770C4">
        <w:fldChar w:fldCharType="end"/>
      </w:r>
      <w:r w:rsidR="00590D4E" w:rsidRPr="001770C4">
        <w:t>,</w:t>
      </w:r>
      <w:r w:rsidR="00590D4E">
        <w:t xml:space="preserve"> if the Beneficiary serves a notice on the Consultant, copied to the Client, that:</w:t>
      </w:r>
      <w:bookmarkEnd w:id="66"/>
    </w:p>
    <w:p w:rsidR="00590D4E" w:rsidRDefault="00590D4E">
      <w:pPr>
        <w:pStyle w:val="Untitledsubclause2"/>
      </w:pPr>
      <w:bookmarkStart w:id="67" w:name="a272854"/>
      <w:r>
        <w:t>confirms that the Beneficiary wishes to step-in to the Professional Appointment; and</w:t>
      </w:r>
      <w:bookmarkEnd w:id="67"/>
    </w:p>
    <w:p w:rsidR="00590D4E" w:rsidRDefault="00590D4E">
      <w:pPr>
        <w:pStyle w:val="Untitledsubclause2"/>
      </w:pPr>
      <w:bookmarkStart w:id="68" w:name="a539887"/>
      <w:r>
        <w:t xml:space="preserve">complies with the requirements for a Beneficiary's notice under </w:t>
      </w:r>
      <w:r w:rsidRPr="001770C4">
        <w:t xml:space="preserve">clause </w:t>
      </w:r>
      <w:r w:rsidRPr="001770C4">
        <w:fldChar w:fldCharType="begin"/>
      </w:r>
      <w:r w:rsidRPr="001770C4">
        <w:instrText xml:space="preserve">REF a831900 \h \w </w:instrText>
      </w:r>
      <w:r w:rsidR="001770C4">
        <w:instrText xml:space="preserve"> \* MERGEFORMAT </w:instrText>
      </w:r>
      <w:r w:rsidRPr="001770C4">
        <w:fldChar w:fldCharType="separate"/>
      </w:r>
      <w:r w:rsidR="00FB3C0C">
        <w:t>3.3</w:t>
      </w:r>
      <w:r w:rsidRPr="001770C4">
        <w:fldChar w:fldCharType="end"/>
      </w:r>
      <w:r w:rsidRPr="001770C4">
        <w:t>,</w:t>
      </w:r>
      <w:bookmarkEnd w:id="68"/>
    </w:p>
    <w:p w:rsidR="00590D4E" w:rsidRDefault="00590D4E">
      <w:pPr>
        <w:pStyle w:val="Parasubclause1"/>
      </w:pPr>
      <w:r>
        <w:t>then, from the date of service of the notice, the Professional Appointment shall continue in full force and effect, as if it had been entered into between the Consultant and the Beneficiary (or its nominee), to the exclusion of the Client.</w:t>
      </w:r>
    </w:p>
    <w:p w:rsidR="00590D4E" w:rsidRDefault="00590D4E">
      <w:pPr>
        <w:pStyle w:val="Untitledsubclause1"/>
      </w:pPr>
      <w:bookmarkStart w:id="69" w:name="a66822"/>
      <w:r>
        <w:t xml:space="preserve">The Consultant shall assume that, between the Client and the Beneficiary, the Beneficiary may give a notice under </w:t>
      </w:r>
      <w:r w:rsidRPr="001770C4">
        <w:t xml:space="preserve">clause </w:t>
      </w:r>
      <w:r w:rsidRPr="001770C4">
        <w:fldChar w:fldCharType="begin"/>
      </w:r>
      <w:r w:rsidRPr="001770C4">
        <w:instrText xml:space="preserve">REF a314766 \h \w </w:instrText>
      </w:r>
      <w:r w:rsidR="001770C4">
        <w:instrText xml:space="preserve"> \* MERGEFORMAT </w:instrText>
      </w:r>
      <w:r w:rsidRPr="001770C4">
        <w:fldChar w:fldCharType="separate"/>
      </w:r>
      <w:r w:rsidR="00FB3C0C">
        <w:t>4.1</w:t>
      </w:r>
      <w:r w:rsidRPr="001770C4">
        <w:fldChar w:fldCharType="end"/>
      </w:r>
      <w:r w:rsidRPr="001770C4">
        <w:t>.</w:t>
      </w:r>
      <w:r>
        <w:t xml:space="preserve"> The Consultant shall not enquire whether the Beneficiary may give that notice.</w:t>
      </w:r>
      <w:bookmarkEnd w:id="69"/>
    </w:p>
    <w:p w:rsidR="00590D4E" w:rsidRDefault="00590D4E">
      <w:pPr>
        <w:pStyle w:val="Untitledsubclause1"/>
      </w:pPr>
      <w:bookmarkStart w:id="70" w:name="a561388"/>
      <w:r>
        <w:t xml:space="preserve">In complying with this </w:t>
      </w:r>
      <w:r w:rsidRPr="001770C4">
        <w:t xml:space="preserve">clause </w:t>
      </w:r>
      <w:r w:rsidRPr="001770C4">
        <w:fldChar w:fldCharType="begin"/>
      </w:r>
      <w:r w:rsidRPr="001770C4">
        <w:instrText xml:space="preserve">REF a347313 \h \w </w:instrText>
      </w:r>
      <w:r w:rsidR="001770C4">
        <w:instrText xml:space="preserve"> \* MERGEFORMAT </w:instrText>
      </w:r>
      <w:r w:rsidRPr="001770C4">
        <w:fldChar w:fldCharType="separate"/>
      </w:r>
      <w:r w:rsidR="00FB3C0C">
        <w:t>4</w:t>
      </w:r>
      <w:r w:rsidRPr="001770C4">
        <w:fldChar w:fldCharType="end"/>
      </w:r>
      <w:r w:rsidRPr="001770C4">
        <w:t>. the</w:t>
      </w:r>
      <w:r>
        <w:t xml:space="preserve"> Consultant does not waive any breach of the Professional Appointment or default under the Professional Appointment by the Client.</w:t>
      </w:r>
      <w:bookmarkEnd w:id="70"/>
    </w:p>
    <w:p w:rsidR="00590D4E" w:rsidRDefault="00590D4E">
      <w:pPr>
        <w:pStyle w:val="TitleClause"/>
      </w:pPr>
      <w:r>
        <w:fldChar w:fldCharType="begin"/>
      </w:r>
      <w:bookmarkStart w:id="71" w:name="_Toc475631328"/>
      <w:r>
        <w:fldChar w:fldCharType="end"/>
      </w:r>
      <w:r>
        <w:fldChar w:fldCharType="begin"/>
      </w:r>
      <w:r>
        <w:instrText>TC "5. Step-in rights: Consultant's position and Client's consent" \l 1</w:instrText>
      </w:r>
      <w:r>
        <w:fldChar w:fldCharType="end"/>
      </w:r>
      <w:bookmarkStart w:id="72" w:name="a95513"/>
      <w:r>
        <w:t>Step-in rights: Consultant's position and Client's consent</w:t>
      </w:r>
      <w:bookmarkEnd w:id="71"/>
      <w:bookmarkEnd w:id="72"/>
    </w:p>
    <w:p w:rsidR="00590D4E" w:rsidRDefault="00590D4E">
      <w:pPr>
        <w:pStyle w:val="Untitledsubclause1"/>
      </w:pPr>
      <w:bookmarkStart w:id="73" w:name="a278233"/>
      <w:r>
        <w:t xml:space="preserve">The Consultant shall not incur any liability to the Client by acting in accordance with </w:t>
      </w:r>
      <w:r w:rsidRPr="001770C4">
        <w:t xml:space="preserve">clause </w:t>
      </w:r>
      <w:r w:rsidRPr="001770C4">
        <w:fldChar w:fldCharType="begin"/>
      </w:r>
      <w:r w:rsidRPr="001770C4">
        <w:instrText xml:space="preserve">REF a171112 \h \w </w:instrText>
      </w:r>
      <w:r w:rsidR="001770C4">
        <w:instrText xml:space="preserve"> \* MERGEFORMAT </w:instrText>
      </w:r>
      <w:r w:rsidRPr="001770C4">
        <w:fldChar w:fldCharType="separate"/>
      </w:r>
      <w:r w:rsidR="00FB3C0C">
        <w:t>3</w:t>
      </w:r>
      <w:r w:rsidRPr="001770C4">
        <w:fldChar w:fldCharType="end"/>
      </w:r>
      <w:r w:rsidRPr="001770C4">
        <w:t xml:space="preserve">. or clause </w:t>
      </w:r>
      <w:r w:rsidRPr="001770C4">
        <w:fldChar w:fldCharType="begin"/>
      </w:r>
      <w:r w:rsidRPr="001770C4">
        <w:instrText xml:space="preserve">REF a347313 \h \w </w:instrText>
      </w:r>
      <w:r w:rsidR="001770C4">
        <w:instrText xml:space="preserve"> \* MERGEFORMAT </w:instrText>
      </w:r>
      <w:r w:rsidRPr="001770C4">
        <w:fldChar w:fldCharType="separate"/>
      </w:r>
      <w:r w:rsidR="00FB3C0C">
        <w:t>4</w:t>
      </w:r>
      <w:r w:rsidRPr="001770C4">
        <w:fldChar w:fldCharType="end"/>
      </w:r>
      <w:r w:rsidRPr="001770C4">
        <w:t>.</w:t>
      </w:r>
      <w:bookmarkEnd w:id="73"/>
    </w:p>
    <w:p w:rsidR="00590D4E" w:rsidRDefault="00590D4E">
      <w:pPr>
        <w:pStyle w:val="Untitledsubclause1"/>
      </w:pPr>
      <w:bookmarkStart w:id="74" w:name="a57970"/>
      <w:r>
        <w:t>The Client has entered into this agreement to confirm its consent to the agreement.</w:t>
      </w:r>
      <w:bookmarkEnd w:id="74"/>
    </w:p>
    <w:p w:rsidR="00590D4E" w:rsidRDefault="00590D4E" w:rsidP="00C442DC">
      <w:pPr>
        <w:pStyle w:val="TitleClause"/>
      </w:pPr>
      <w:r>
        <w:fldChar w:fldCharType="begin"/>
      </w:r>
      <w:r>
        <w:instrText>TC "7. No instructions to Consultant by Beneficiary" \l 1</w:instrText>
      </w:r>
      <w:r>
        <w:fldChar w:fldCharType="end"/>
      </w:r>
      <w:bookmarkStart w:id="75" w:name="a867531"/>
      <w:bookmarkStart w:id="76" w:name="_Toc475631329"/>
      <w:r>
        <w:t>No instructions to Consultant by Beneficiary</w:t>
      </w:r>
      <w:bookmarkEnd w:id="75"/>
      <w:bookmarkEnd w:id="76"/>
    </w:p>
    <w:p w:rsidR="00590D4E" w:rsidRDefault="00590D4E" w:rsidP="00C442DC">
      <w:pPr>
        <w:pStyle w:val="NoNumUntitledsubclause1"/>
        <w:ind w:left="720" w:firstLine="0"/>
      </w:pPr>
      <w:bookmarkStart w:id="77" w:name="a202546"/>
      <w:r>
        <w:t xml:space="preserve">Unless the Beneficiary has stepped-in under </w:t>
      </w:r>
      <w:r w:rsidRPr="001770C4">
        <w:t xml:space="preserve">clause </w:t>
      </w:r>
      <w:r w:rsidRPr="001770C4">
        <w:fldChar w:fldCharType="begin"/>
      </w:r>
      <w:r w:rsidRPr="001770C4">
        <w:instrText xml:space="preserve">REF a171112 \h \w </w:instrText>
      </w:r>
      <w:r w:rsidR="001770C4">
        <w:instrText xml:space="preserve"> \* MERGEFORMAT </w:instrText>
      </w:r>
      <w:r w:rsidRPr="001770C4">
        <w:fldChar w:fldCharType="separate"/>
      </w:r>
      <w:r w:rsidR="00FB3C0C">
        <w:t>3</w:t>
      </w:r>
      <w:r w:rsidRPr="001770C4">
        <w:fldChar w:fldCharType="end"/>
      </w:r>
      <w:r w:rsidRPr="001770C4">
        <w:t xml:space="preserve">. or clause </w:t>
      </w:r>
      <w:r w:rsidRPr="001770C4">
        <w:fldChar w:fldCharType="begin"/>
      </w:r>
      <w:r w:rsidRPr="001770C4">
        <w:instrText xml:space="preserve">REF a347313 \h \w </w:instrText>
      </w:r>
      <w:r w:rsidR="001770C4">
        <w:instrText xml:space="preserve"> \* MERGEFORMAT </w:instrText>
      </w:r>
      <w:r w:rsidRPr="001770C4">
        <w:fldChar w:fldCharType="separate"/>
      </w:r>
      <w:r w:rsidR="00FB3C0C">
        <w:t>4</w:t>
      </w:r>
      <w:r w:rsidRPr="001770C4">
        <w:fldChar w:fldCharType="end"/>
      </w:r>
      <w:r w:rsidR="00C442DC" w:rsidRPr="001770C4">
        <w:t>.,</w:t>
      </w:r>
      <w:r>
        <w:t xml:space="preserve"> the Beneficiary may not give instructions to the Consultant under this agreement.</w:t>
      </w:r>
      <w:bookmarkEnd w:id="77"/>
    </w:p>
    <w:p w:rsidR="00590D4E" w:rsidRDefault="00590D4E" w:rsidP="00C442DC">
      <w:pPr>
        <w:pStyle w:val="TitleClause"/>
      </w:pPr>
      <w:r>
        <w:fldChar w:fldCharType="begin"/>
      </w:r>
      <w:r>
        <w:instrText>TC "8. Copyright" \l 1</w:instrText>
      </w:r>
      <w:r>
        <w:fldChar w:fldCharType="end"/>
      </w:r>
      <w:bookmarkStart w:id="78" w:name="a633969"/>
      <w:bookmarkStart w:id="79" w:name="_Toc475631330"/>
      <w:r>
        <w:t>Copyright</w:t>
      </w:r>
      <w:bookmarkEnd w:id="78"/>
      <w:bookmarkEnd w:id="79"/>
    </w:p>
    <w:p w:rsidR="00590D4E" w:rsidRDefault="00590D4E">
      <w:pPr>
        <w:pStyle w:val="Untitledsubclause1"/>
      </w:pPr>
      <w:bookmarkStart w:id="80" w:name="a162275"/>
      <w:r>
        <w:t>The Consultant grants to the Beneficiary, with immediate effect, an irrevocable, non-exclusive, non-terminable, royalty-free licence to copy and make full use of any Material prepared by, or on behalf of, the Consultant for any purpose relating to the Project and the Property, including any of the Permitted Uses.</w:t>
      </w:r>
      <w:bookmarkEnd w:id="80"/>
    </w:p>
    <w:p w:rsidR="00590D4E" w:rsidRDefault="00590D4E" w:rsidP="00C442DC">
      <w:pPr>
        <w:pStyle w:val="Untitledsubclause1"/>
      </w:pPr>
      <w:bookmarkStart w:id="81" w:name="a674475"/>
      <w:r>
        <w:lastRenderedPageBreak/>
        <w:t xml:space="preserve">This licence carries </w:t>
      </w:r>
      <w:r w:rsidR="00C442DC">
        <w:t>the right to grant sub-licences</w:t>
      </w:r>
      <w:r>
        <w:t xml:space="preserve"> and is transferable to third parties withou</w:t>
      </w:r>
      <w:r w:rsidR="00C442DC">
        <w:t>t the consent of the Consultant</w:t>
      </w:r>
      <w:r>
        <w:t xml:space="preserve">.  </w:t>
      </w:r>
      <w:bookmarkEnd w:id="81"/>
    </w:p>
    <w:p w:rsidR="00590D4E" w:rsidRDefault="00590D4E">
      <w:pPr>
        <w:pStyle w:val="Untitledsubclause1"/>
      </w:pPr>
      <w:bookmarkStart w:id="82" w:name="a941508"/>
      <w:r>
        <w:t>The Consultant shall not be liable for use of the Material for any purpose other than that for which it was prepared and/or provided.</w:t>
      </w:r>
      <w:bookmarkEnd w:id="82"/>
    </w:p>
    <w:p w:rsidR="00590D4E" w:rsidRDefault="00590D4E">
      <w:pPr>
        <w:pStyle w:val="Untitledsubclause1"/>
      </w:pPr>
      <w:bookmarkStart w:id="83" w:name="a78092"/>
      <w:r>
        <w:t>The Beneficiary may request a copy (or copies) of some or all of the Material from the Consultant. On the Beneficiary's payment of the Consultant's reasonable charges for providing the copy (or copies), the Consultant shall provide the copy (or copies) to the Beneficiary.</w:t>
      </w:r>
      <w:bookmarkEnd w:id="83"/>
    </w:p>
    <w:p w:rsidR="00590D4E" w:rsidRDefault="00590D4E">
      <w:pPr>
        <w:pStyle w:val="TitleClause"/>
      </w:pPr>
      <w:r>
        <w:fldChar w:fldCharType="begin"/>
      </w:r>
      <w:r>
        <w:instrText>TC "9. Professional indemnity insurance" \l 1</w:instrText>
      </w:r>
      <w:r>
        <w:fldChar w:fldCharType="end"/>
      </w:r>
      <w:bookmarkStart w:id="84" w:name="a496637"/>
      <w:bookmarkStart w:id="85" w:name="_Toc475631331"/>
      <w:r>
        <w:t>Professional indemnity insurance</w:t>
      </w:r>
      <w:bookmarkEnd w:id="84"/>
      <w:bookmarkEnd w:id="85"/>
    </w:p>
    <w:p w:rsidR="00590D4E" w:rsidRDefault="00590D4E">
      <w:pPr>
        <w:pStyle w:val="IgnoredSpacing"/>
      </w:pPr>
    </w:p>
    <w:p w:rsidR="00590D4E" w:rsidRDefault="00590D4E">
      <w:pPr>
        <w:pStyle w:val="Untitledsubclause1"/>
      </w:pPr>
      <w:bookmarkStart w:id="86" w:name="a464090"/>
      <w:r>
        <w:t>The Consultant shall maintain professional indemnity insurance for an amount of at least £[</w:t>
      </w:r>
      <w:r w:rsidRPr="00461B91">
        <w:rPr>
          <w:highlight w:val="yellow"/>
        </w:rPr>
        <w:t>SUM]</w:t>
      </w:r>
      <w:r>
        <w:t xml:space="preserve"> [for any one occurrence, or series of occurrences, arising out of any one event for a </w:t>
      </w:r>
      <w:r w:rsidRPr="000C2EDD">
        <w:rPr>
          <w:highlight w:val="yellow"/>
        </w:rPr>
        <w:t xml:space="preserve">period beginning on the date of this agreement and ending </w:t>
      </w:r>
      <w:r w:rsidR="00C442DC" w:rsidRPr="000C2EDD">
        <w:rPr>
          <w:highlight w:val="yellow"/>
        </w:rPr>
        <w:t>12</w:t>
      </w:r>
      <w:r w:rsidRPr="000C2EDD">
        <w:rPr>
          <w:highlight w:val="yellow"/>
        </w:rPr>
        <w:t xml:space="preserve"> years after the date of </w:t>
      </w:r>
      <w:r w:rsidR="00C442DC" w:rsidRPr="000C2EDD">
        <w:rPr>
          <w:highlight w:val="yellow"/>
        </w:rPr>
        <w:t>making good of defects</w:t>
      </w:r>
      <w:r w:rsidRPr="000C2EDD">
        <w:rPr>
          <w:highlight w:val="yellow"/>
        </w:rPr>
        <w:t xml:space="preserve"> of the Project</w:t>
      </w:r>
      <w:r>
        <w:t>, provided that such insurance is available at</w:t>
      </w:r>
      <w:r w:rsidR="00C442DC">
        <w:t xml:space="preserve"> commercially reasonable rates and terms</w:t>
      </w:r>
      <w:r>
        <w:t>. The Consultant shall maintain that professional indemnity insurance:</w:t>
      </w:r>
      <w:bookmarkEnd w:id="86"/>
    </w:p>
    <w:p w:rsidR="00590D4E" w:rsidRDefault="00590D4E">
      <w:pPr>
        <w:pStyle w:val="Untitledsubclause2"/>
      </w:pPr>
      <w:bookmarkStart w:id="87" w:name="a652364"/>
      <w:r>
        <w:t>with reputable insurers lawfully carryin</w:t>
      </w:r>
      <w:r w:rsidR="00C442DC">
        <w:t>g on insurance business in the UK or EU</w:t>
      </w:r>
      <w:r>
        <w:t>;</w:t>
      </w:r>
      <w:bookmarkEnd w:id="87"/>
    </w:p>
    <w:p w:rsidR="00590D4E" w:rsidRDefault="00590D4E">
      <w:pPr>
        <w:pStyle w:val="Untitledsubclause2"/>
      </w:pPr>
      <w:bookmarkStart w:id="88" w:name="a412509"/>
      <w:r w:rsidRPr="000C2EDD">
        <w:rPr>
          <w:highlight w:val="yellow"/>
        </w:rPr>
        <w:t>on customary and usual terms and conditions prevailing for the time being in the insurance market</w:t>
      </w:r>
      <w:r>
        <w:t>; and</w:t>
      </w:r>
      <w:bookmarkEnd w:id="88"/>
    </w:p>
    <w:p w:rsidR="00590D4E" w:rsidRDefault="00590D4E">
      <w:pPr>
        <w:pStyle w:val="Untitledsubclause2"/>
      </w:pPr>
      <w:bookmarkStart w:id="89" w:name="a679542"/>
      <w:r>
        <w:t>on terms that:</w:t>
      </w:r>
      <w:bookmarkEnd w:id="89"/>
    </w:p>
    <w:p w:rsidR="00590D4E" w:rsidRPr="000C2EDD" w:rsidRDefault="00590D4E">
      <w:pPr>
        <w:pStyle w:val="Untitledsubclause3"/>
        <w:rPr>
          <w:highlight w:val="yellow"/>
        </w:rPr>
      </w:pPr>
      <w:bookmarkStart w:id="90" w:name="a243555"/>
      <w:r w:rsidRPr="000C2EDD">
        <w:rPr>
          <w:highlight w:val="yellow"/>
        </w:rPr>
        <w:t>do not require the Consultant to discharge any liability before being entitled to recover from the insurers; and</w:t>
      </w:r>
      <w:bookmarkEnd w:id="90"/>
    </w:p>
    <w:p w:rsidR="00590D4E" w:rsidRPr="000C2EDD" w:rsidRDefault="00590D4E">
      <w:pPr>
        <w:pStyle w:val="Untitledsubclause3"/>
        <w:rPr>
          <w:highlight w:val="yellow"/>
        </w:rPr>
      </w:pPr>
      <w:bookmarkStart w:id="91" w:name="a850117"/>
      <w:r w:rsidRPr="000C2EDD">
        <w:rPr>
          <w:highlight w:val="yellow"/>
        </w:rPr>
        <w:t>would not adversely affect the rights of any person to recover from the insurers under the Third Parties (Rights Against Insurers) Act 2010.</w:t>
      </w:r>
      <w:bookmarkEnd w:id="91"/>
    </w:p>
    <w:p w:rsidR="00590D4E" w:rsidRDefault="00590D4E">
      <w:pPr>
        <w:pStyle w:val="Untitledsubclause1"/>
      </w:pPr>
      <w:bookmarkStart w:id="92" w:name="a781164"/>
      <w:r>
        <w:t>Any increased or additional premium required by insurers because of the Consultant's claims record or other acts, omissions, matters or things particular to the Consultant shall be deemed to be within commercially reasonable rates.</w:t>
      </w:r>
      <w:bookmarkEnd w:id="92"/>
    </w:p>
    <w:p w:rsidR="00590D4E" w:rsidRPr="000C2EDD" w:rsidRDefault="00590D4E">
      <w:pPr>
        <w:pStyle w:val="Untitledsubclause1"/>
        <w:rPr>
          <w:highlight w:val="yellow"/>
        </w:rPr>
      </w:pPr>
      <w:bookmarkStart w:id="93" w:name="a847077"/>
      <w:r w:rsidRPr="000C2EDD">
        <w:rPr>
          <w:highlight w:val="yellow"/>
        </w:rPr>
        <w:t>The Consultant shall not, without the Beneficiary's written consent:</w:t>
      </w:r>
      <w:bookmarkEnd w:id="93"/>
    </w:p>
    <w:p w:rsidR="00590D4E" w:rsidRPr="000C2EDD" w:rsidRDefault="00590D4E">
      <w:pPr>
        <w:pStyle w:val="Untitledsubclause2"/>
        <w:rPr>
          <w:highlight w:val="yellow"/>
        </w:rPr>
      </w:pPr>
      <w:bookmarkStart w:id="94" w:name="a898603"/>
      <w:r w:rsidRPr="000C2EDD">
        <w:rPr>
          <w:highlight w:val="yellow"/>
        </w:rPr>
        <w:t>settle or compromise any claim with the insurers that relates to a claim by the Beneficiary against the Consultant; or</w:t>
      </w:r>
      <w:bookmarkEnd w:id="94"/>
    </w:p>
    <w:p w:rsidR="00590D4E" w:rsidRPr="000C2EDD" w:rsidRDefault="00590D4E">
      <w:pPr>
        <w:pStyle w:val="Untitledsubclause2"/>
        <w:rPr>
          <w:highlight w:val="yellow"/>
        </w:rPr>
      </w:pPr>
      <w:bookmarkStart w:id="95" w:name="a297355"/>
      <w:r w:rsidRPr="000C2EDD">
        <w:rPr>
          <w:highlight w:val="yellow"/>
        </w:rPr>
        <w:t>by any act or omission lose or affect the Consultant's right to make, or proceed with, that claim against the insurers.</w:t>
      </w:r>
      <w:bookmarkEnd w:id="95"/>
    </w:p>
    <w:p w:rsidR="00590D4E" w:rsidRDefault="00590D4E">
      <w:pPr>
        <w:pStyle w:val="Untitledsubclause1"/>
      </w:pPr>
      <w:bookmarkStart w:id="96" w:name="a101101"/>
      <w:r>
        <w:lastRenderedPageBreak/>
        <w:t>The Consultant shall immediately inform the Beneficiary if the Consultant's required professional indemnity insurance ceases to be available at commercially reasonable rates [and terms], so that the Consultant and the Beneficiary can discuss how best to protect the respective positions of the Beneficiary and the Consultant regarding the Project and the Property, without that insurance.</w:t>
      </w:r>
      <w:bookmarkEnd w:id="96"/>
    </w:p>
    <w:p w:rsidR="00590D4E" w:rsidRPr="00085023" w:rsidRDefault="00590D4E">
      <w:pPr>
        <w:pStyle w:val="Untitledsubclause1"/>
      </w:pPr>
      <w:r>
        <w:fldChar w:fldCharType="begin"/>
      </w:r>
      <w:r>
        <w:fldChar w:fldCharType="end"/>
      </w:r>
      <w:bookmarkStart w:id="97" w:name="a218093"/>
      <w:r w:rsidRPr="00085023">
        <w:t>The Consultant shall fully co-operate with any measures reasonably required by the Beneficiary, including:</w:t>
      </w:r>
      <w:bookmarkEnd w:id="97"/>
    </w:p>
    <w:p w:rsidR="00590D4E" w:rsidRPr="00085023" w:rsidRDefault="00590D4E">
      <w:pPr>
        <w:pStyle w:val="Untitledsubclause2"/>
      </w:pPr>
      <w:bookmarkStart w:id="98" w:name="a807730"/>
      <w:r w:rsidRPr="00085023">
        <w:t>completing any proposals for insurance and associated documents; or</w:t>
      </w:r>
      <w:bookmarkEnd w:id="98"/>
    </w:p>
    <w:p w:rsidR="00590D4E" w:rsidRPr="00085023" w:rsidRDefault="00590D4E">
      <w:pPr>
        <w:pStyle w:val="Untitledsubclause2"/>
      </w:pPr>
      <w:bookmarkStart w:id="99" w:name="a326568"/>
      <w:r w:rsidRPr="00085023">
        <w:t>maintaining insurance at rates above commercially reasonable rates, if the Beneficiary reimburses the Consultant for the net cost of that insurance above commercially reasonable rates.</w:t>
      </w:r>
      <w:bookmarkEnd w:id="99"/>
    </w:p>
    <w:p w:rsidR="00590D4E" w:rsidRDefault="00590D4E">
      <w:pPr>
        <w:pStyle w:val="IgnoredSpacing"/>
      </w:pPr>
    </w:p>
    <w:p w:rsidR="00590D4E" w:rsidRDefault="00590D4E">
      <w:pPr>
        <w:pStyle w:val="Untitledsubclause1"/>
      </w:pPr>
      <w:bookmarkStart w:id="100" w:name="a1033251"/>
      <w:r>
        <w:t>Whenever the Beneficiary reasonably requests, the Consultant shall send the Beneficiary evidence that the Consultant's professional indemnity insurance is in force, including, if required by the Beneficiary, an original letter from the Consultant's insurers or brokers confirming:</w:t>
      </w:r>
      <w:bookmarkEnd w:id="100"/>
    </w:p>
    <w:p w:rsidR="00590D4E" w:rsidRPr="000C2EDD" w:rsidRDefault="00590D4E">
      <w:pPr>
        <w:pStyle w:val="Untitledsubclause2"/>
      </w:pPr>
      <w:bookmarkStart w:id="101" w:name="a905130"/>
      <w:r w:rsidRPr="000C2EDD">
        <w:t>the Consultant's then current professional indemnity insurance; and</w:t>
      </w:r>
      <w:bookmarkEnd w:id="101"/>
    </w:p>
    <w:p w:rsidR="00590D4E" w:rsidRDefault="00590D4E">
      <w:pPr>
        <w:pStyle w:val="Untitledsubclause2"/>
      </w:pPr>
      <w:bookmarkStart w:id="102" w:name="a552143"/>
      <w:r>
        <w:t>that the premiums for that insurance have been paid in full at the date of that letter.</w:t>
      </w:r>
      <w:bookmarkEnd w:id="102"/>
    </w:p>
    <w:p w:rsidR="00590D4E" w:rsidRDefault="00590D4E" w:rsidP="000C2EDD">
      <w:pPr>
        <w:pStyle w:val="TitleClause"/>
      </w:pPr>
      <w:r>
        <w:fldChar w:fldCharType="begin"/>
      </w:r>
      <w:r>
        <w:instrText>TC "10. Liability period" \l 1</w:instrText>
      </w:r>
      <w:r>
        <w:fldChar w:fldCharType="end"/>
      </w:r>
      <w:bookmarkStart w:id="103" w:name="a829016"/>
      <w:bookmarkStart w:id="104" w:name="_Toc475631332"/>
      <w:r>
        <w:t>Liability period</w:t>
      </w:r>
      <w:bookmarkEnd w:id="103"/>
      <w:bookmarkEnd w:id="104"/>
    </w:p>
    <w:p w:rsidR="00590D4E" w:rsidRDefault="00590D4E" w:rsidP="00C442DC">
      <w:pPr>
        <w:pStyle w:val="NoNumUntitledsubclause1"/>
        <w:ind w:left="720" w:firstLine="0"/>
      </w:pPr>
      <w:bookmarkStart w:id="105" w:name="a131188"/>
      <w:r w:rsidRPr="000C2EDD">
        <w:rPr>
          <w:highlight w:val="yellow"/>
        </w:rPr>
        <w:t xml:space="preserve">The Beneficiary may not commence any legal action against the Consultant under this agreement after </w:t>
      </w:r>
      <w:r w:rsidR="00C442DC" w:rsidRPr="000C2EDD">
        <w:rPr>
          <w:highlight w:val="yellow"/>
        </w:rPr>
        <w:t>12</w:t>
      </w:r>
      <w:r w:rsidRPr="000C2EDD">
        <w:rPr>
          <w:highlight w:val="yellow"/>
        </w:rPr>
        <w:t xml:space="preserve"> years from the date of </w:t>
      </w:r>
      <w:r w:rsidR="00C442DC" w:rsidRPr="000C2EDD">
        <w:rPr>
          <w:highlight w:val="yellow"/>
        </w:rPr>
        <w:t>making good of defects</w:t>
      </w:r>
      <w:r w:rsidRPr="000C2EDD">
        <w:rPr>
          <w:highlight w:val="yellow"/>
        </w:rPr>
        <w:t xml:space="preserve"> of all of the Project.</w:t>
      </w:r>
      <w:bookmarkEnd w:id="105"/>
    </w:p>
    <w:p w:rsidR="00590D4E" w:rsidRDefault="00590D4E">
      <w:pPr>
        <w:pStyle w:val="TitleClause"/>
      </w:pPr>
      <w:r>
        <w:fldChar w:fldCharType="begin"/>
      </w:r>
      <w:r>
        <w:instrText>TC "11. Assignment" \l 1</w:instrText>
      </w:r>
      <w:r>
        <w:fldChar w:fldCharType="end"/>
      </w:r>
      <w:bookmarkStart w:id="106" w:name="a484961"/>
      <w:bookmarkStart w:id="107" w:name="_Toc475631333"/>
      <w:r>
        <w:t>Assignment</w:t>
      </w:r>
      <w:bookmarkEnd w:id="106"/>
      <w:bookmarkEnd w:id="107"/>
    </w:p>
    <w:p w:rsidR="00590D4E" w:rsidRDefault="00590D4E">
      <w:pPr>
        <w:pStyle w:val="IgnoredSpacing"/>
      </w:pPr>
    </w:p>
    <w:p w:rsidR="00590D4E" w:rsidRPr="000C2EDD" w:rsidRDefault="00590D4E">
      <w:pPr>
        <w:pStyle w:val="Untitledsubclause1"/>
        <w:rPr>
          <w:highlight w:val="yellow"/>
        </w:rPr>
      </w:pPr>
      <w:bookmarkStart w:id="108" w:name="a953878"/>
      <w:r w:rsidRPr="000C2EDD">
        <w:rPr>
          <w:highlight w:val="yellow"/>
        </w:rPr>
        <w:t>The Beneficiary may assign the benefit of this agreement:</w:t>
      </w:r>
      <w:bookmarkEnd w:id="108"/>
    </w:p>
    <w:p w:rsidR="00590D4E" w:rsidRPr="000C2EDD" w:rsidRDefault="00590D4E">
      <w:pPr>
        <w:pStyle w:val="Untitledsubclause2"/>
        <w:rPr>
          <w:highlight w:val="yellow"/>
        </w:rPr>
      </w:pPr>
      <w:bookmarkStart w:id="109" w:name="a830568"/>
      <w:r w:rsidRPr="000C2EDD">
        <w:rPr>
          <w:highlight w:val="yellow"/>
        </w:rPr>
        <w:t>on two occasions to any person [with an interest in the Project]; and</w:t>
      </w:r>
      <w:bookmarkEnd w:id="109"/>
    </w:p>
    <w:p w:rsidR="00590D4E" w:rsidRPr="000C2EDD" w:rsidRDefault="00590D4E" w:rsidP="00C442DC">
      <w:pPr>
        <w:pStyle w:val="Untitledsubclause2"/>
        <w:rPr>
          <w:highlight w:val="yellow"/>
        </w:rPr>
      </w:pPr>
      <w:bookmarkStart w:id="110" w:name="a653030"/>
      <w:r w:rsidRPr="000C2EDD">
        <w:rPr>
          <w:highlight w:val="yellow"/>
        </w:rPr>
        <w:t xml:space="preserve">without counting as an assignment under clause </w:t>
      </w:r>
      <w:r w:rsidRPr="000C2EDD">
        <w:rPr>
          <w:highlight w:val="yellow"/>
        </w:rPr>
        <w:fldChar w:fldCharType="begin"/>
      </w:r>
      <w:r w:rsidRPr="000C2EDD">
        <w:rPr>
          <w:highlight w:val="yellow"/>
        </w:rPr>
        <w:instrText xml:space="preserve">REF a830568 \h \w </w:instrText>
      </w:r>
      <w:r w:rsidRPr="000C2EDD">
        <w:rPr>
          <w:highlight w:val="yellow"/>
        </w:rPr>
      </w:r>
      <w:r w:rsidR="001770C4" w:rsidRPr="000C2EDD">
        <w:rPr>
          <w:highlight w:val="yellow"/>
        </w:rPr>
        <w:instrText xml:space="preserve"> \* MERGEFORMAT </w:instrText>
      </w:r>
      <w:r w:rsidRPr="000C2EDD">
        <w:rPr>
          <w:highlight w:val="yellow"/>
        </w:rPr>
        <w:fldChar w:fldCharType="separate"/>
      </w:r>
      <w:r w:rsidR="00FB3C0C" w:rsidRPr="000C2EDD">
        <w:rPr>
          <w:highlight w:val="yellow"/>
        </w:rPr>
        <w:t>10.1(a)</w:t>
      </w:r>
      <w:r w:rsidRPr="000C2EDD">
        <w:rPr>
          <w:highlight w:val="yellow"/>
        </w:rPr>
        <w:fldChar w:fldCharType="end"/>
      </w:r>
      <w:bookmarkStart w:id="111" w:name="a594256"/>
      <w:bookmarkEnd w:id="110"/>
      <w:r w:rsidR="00C442DC" w:rsidRPr="000C2EDD">
        <w:rPr>
          <w:highlight w:val="yellow"/>
        </w:rPr>
        <w:t xml:space="preserve"> </w:t>
      </w:r>
      <w:r w:rsidRPr="000C2EDD">
        <w:rPr>
          <w:highlight w:val="yellow"/>
        </w:rPr>
        <w:t>to and from subsidiary or other associated companies within the same group o</w:t>
      </w:r>
      <w:r w:rsidR="00C442DC" w:rsidRPr="000C2EDD">
        <w:rPr>
          <w:highlight w:val="yellow"/>
        </w:rPr>
        <w:t xml:space="preserve">f companies as the Beneficiary </w:t>
      </w:r>
      <w:r w:rsidRPr="000C2EDD">
        <w:rPr>
          <w:highlight w:val="yellow"/>
        </w:rPr>
        <w:t xml:space="preserve">so long as that assignee company remains within the same group </w:t>
      </w:r>
      <w:r w:rsidR="00C442DC" w:rsidRPr="000C2EDD">
        <w:rPr>
          <w:highlight w:val="yellow"/>
        </w:rPr>
        <w:t>of companies as the Beneficiary</w:t>
      </w:r>
      <w:r w:rsidRPr="000C2EDD">
        <w:rPr>
          <w:highlight w:val="yellow"/>
        </w:rPr>
        <w:t>.</w:t>
      </w:r>
      <w:bookmarkEnd w:id="111"/>
    </w:p>
    <w:p w:rsidR="00590D4E" w:rsidRDefault="00590D4E">
      <w:pPr>
        <w:pStyle w:val="IgnoredSpacing"/>
      </w:pPr>
    </w:p>
    <w:p w:rsidR="00590D4E" w:rsidRDefault="00590D4E">
      <w:pPr>
        <w:pStyle w:val="Untitledsubclause1"/>
      </w:pPr>
      <w:bookmarkStart w:id="112" w:name="a671299"/>
      <w:r>
        <w:t>The Beneficiary shall notify the Consultant of any assignment. If the Beneficiary fails to do this, the assignment shall still be valid.</w:t>
      </w:r>
      <w:bookmarkEnd w:id="112"/>
    </w:p>
    <w:p w:rsidR="00590D4E" w:rsidRDefault="00590D4E">
      <w:pPr>
        <w:pStyle w:val="IgnoredSpacing"/>
      </w:pPr>
    </w:p>
    <w:p w:rsidR="00590D4E" w:rsidRDefault="00590D4E">
      <w:pPr>
        <w:pStyle w:val="Untitledsubclause1"/>
      </w:pPr>
      <w:bookmarkStart w:id="113" w:name="a549894"/>
      <w:r>
        <w:t xml:space="preserve">The Consultant shall not contend that any person to whom the benefit of this agreement is assigned under </w:t>
      </w:r>
      <w:r w:rsidRPr="001770C4">
        <w:t xml:space="preserve">clause </w:t>
      </w:r>
      <w:r w:rsidRPr="001770C4">
        <w:fldChar w:fldCharType="begin"/>
      </w:r>
      <w:r w:rsidRPr="001770C4">
        <w:instrText xml:space="preserve">REF a953878 \h \w </w:instrText>
      </w:r>
      <w:r w:rsidR="001770C4">
        <w:instrText xml:space="preserve"> \* MERGEFORMAT </w:instrText>
      </w:r>
      <w:r w:rsidRPr="001770C4">
        <w:fldChar w:fldCharType="separate"/>
      </w:r>
      <w:r w:rsidR="00FB3C0C">
        <w:t>10.1</w:t>
      </w:r>
      <w:r w:rsidRPr="001770C4">
        <w:fldChar w:fldCharType="end"/>
      </w:r>
      <w:r>
        <w:t xml:space="preserve"> may not recover any sum under this agreement because that person is an assignee and not a named party to this agreement.</w:t>
      </w:r>
      <w:bookmarkEnd w:id="113"/>
    </w:p>
    <w:p w:rsidR="00590D4E" w:rsidRDefault="00590D4E" w:rsidP="00C442DC">
      <w:pPr>
        <w:pStyle w:val="TitleClause"/>
      </w:pPr>
      <w:r>
        <w:fldChar w:fldCharType="begin"/>
      </w:r>
      <w:r>
        <w:instrText>TC "12. Notices" \l 1</w:instrText>
      </w:r>
      <w:r>
        <w:fldChar w:fldCharType="end"/>
      </w:r>
      <w:bookmarkStart w:id="114" w:name="a484509"/>
      <w:bookmarkStart w:id="115" w:name="_Toc475631334"/>
      <w:r>
        <w:t>Notices</w:t>
      </w:r>
      <w:bookmarkEnd w:id="114"/>
      <w:bookmarkEnd w:id="115"/>
    </w:p>
    <w:p w:rsidR="00590D4E" w:rsidRDefault="00590D4E">
      <w:pPr>
        <w:pStyle w:val="Untitledsubclause1"/>
      </w:pPr>
      <w:r>
        <w:fldChar w:fldCharType="begin"/>
      </w:r>
      <w:r>
        <w:fldChar w:fldCharType="end"/>
      </w:r>
      <w:bookmarkStart w:id="116" w:name="a153388"/>
      <w:r>
        <w:t xml:space="preserve">For the purposes of this clause, but subject to </w:t>
      </w:r>
      <w:r w:rsidRPr="001770C4">
        <w:t xml:space="preserve">clause </w:t>
      </w:r>
      <w:r w:rsidRPr="001770C4">
        <w:fldChar w:fldCharType="begin"/>
      </w:r>
      <w:r w:rsidRPr="001770C4">
        <w:instrText xml:space="preserve">REF a255920 \h \w </w:instrText>
      </w:r>
      <w:r w:rsidR="001770C4">
        <w:instrText xml:space="preserve"> \* MERGEFORMAT </w:instrText>
      </w:r>
      <w:r w:rsidRPr="001770C4">
        <w:fldChar w:fldCharType="separate"/>
      </w:r>
      <w:r w:rsidR="00FB3C0C">
        <w:t>11.7</w:t>
      </w:r>
      <w:r w:rsidRPr="001770C4">
        <w:fldChar w:fldCharType="end"/>
      </w:r>
      <w:r w:rsidRPr="001770C4">
        <w:t>,</w:t>
      </w:r>
      <w:r>
        <w:t xml:space="preserve"> notice includes any other communication.</w:t>
      </w:r>
      <w:bookmarkEnd w:id="116"/>
    </w:p>
    <w:p w:rsidR="00590D4E" w:rsidRDefault="00590D4E">
      <w:pPr>
        <w:pStyle w:val="Untitledsubclause1"/>
      </w:pPr>
      <w:bookmarkStart w:id="117" w:name="a748179"/>
      <w:r>
        <w:t>A notice given to a party under or in connection with this agreement:</w:t>
      </w:r>
      <w:bookmarkEnd w:id="117"/>
    </w:p>
    <w:p w:rsidR="00590D4E" w:rsidRDefault="00C442DC">
      <w:pPr>
        <w:pStyle w:val="Untitledsubclause2"/>
      </w:pPr>
      <w:bookmarkStart w:id="118" w:name="a852270"/>
      <w:r>
        <w:t xml:space="preserve">shall be in writing </w:t>
      </w:r>
      <w:r w:rsidR="00590D4E">
        <w:t>and in English;</w:t>
      </w:r>
      <w:bookmarkEnd w:id="118"/>
    </w:p>
    <w:p w:rsidR="00590D4E" w:rsidRDefault="00590D4E">
      <w:pPr>
        <w:pStyle w:val="Untitledsubclause2"/>
      </w:pPr>
      <w:bookmarkStart w:id="119" w:name="a632007"/>
      <w:r>
        <w:t>shall be signed by or on behalf of the party giving it;</w:t>
      </w:r>
      <w:bookmarkEnd w:id="119"/>
    </w:p>
    <w:p w:rsidR="00590D4E" w:rsidRPr="001770C4" w:rsidRDefault="00590D4E">
      <w:pPr>
        <w:pStyle w:val="Untitledsubclause2"/>
      </w:pPr>
      <w:bookmarkStart w:id="120" w:name="a964899"/>
      <w:r>
        <w:t xml:space="preserve">shall be </w:t>
      </w:r>
      <w:r w:rsidRPr="001770C4">
        <w:t>sent to the party for the attention o</w:t>
      </w:r>
      <w:r w:rsidR="00C442DC" w:rsidRPr="001770C4">
        <w:t>f the contact and at the address</w:t>
      </w:r>
      <w:r w:rsidRPr="001770C4">
        <w:t xml:space="preserve">, fax listed in clause </w:t>
      </w:r>
      <w:r w:rsidRPr="001770C4">
        <w:fldChar w:fldCharType="begin"/>
      </w:r>
      <w:r w:rsidRPr="001770C4">
        <w:instrText xml:space="preserve">REF a779272 \h \w </w:instrText>
      </w:r>
      <w:r w:rsidR="001770C4">
        <w:instrText xml:space="preserve"> \* MERGEFORMAT </w:instrText>
      </w:r>
      <w:r w:rsidRPr="001770C4">
        <w:fldChar w:fldCharType="separate"/>
      </w:r>
      <w:r w:rsidR="00FB3C0C">
        <w:t>11.3</w:t>
      </w:r>
      <w:r w:rsidRPr="001770C4">
        <w:fldChar w:fldCharType="end"/>
      </w:r>
      <w:r w:rsidRPr="001770C4">
        <w:t>;</w:t>
      </w:r>
      <w:bookmarkEnd w:id="120"/>
    </w:p>
    <w:p w:rsidR="00590D4E" w:rsidRPr="001770C4" w:rsidRDefault="00590D4E">
      <w:pPr>
        <w:pStyle w:val="Untitledsubclause2"/>
      </w:pPr>
      <w:bookmarkStart w:id="121" w:name="a993993"/>
      <w:r w:rsidRPr="001770C4">
        <w:t xml:space="preserve">shall be sent by a method listed in clause </w:t>
      </w:r>
      <w:r w:rsidRPr="001770C4">
        <w:fldChar w:fldCharType="begin"/>
      </w:r>
      <w:r w:rsidRPr="001770C4">
        <w:instrText xml:space="preserve">REF a868091 \h \w </w:instrText>
      </w:r>
      <w:r w:rsidR="001770C4">
        <w:instrText xml:space="preserve"> \* MERGEFORMAT </w:instrText>
      </w:r>
      <w:r w:rsidRPr="001770C4">
        <w:fldChar w:fldCharType="separate"/>
      </w:r>
      <w:r w:rsidR="00FB3C0C">
        <w:t>11.5</w:t>
      </w:r>
      <w:r w:rsidRPr="001770C4">
        <w:fldChar w:fldCharType="end"/>
      </w:r>
      <w:r w:rsidRPr="001770C4">
        <w:t>; and</w:t>
      </w:r>
      <w:bookmarkEnd w:id="121"/>
    </w:p>
    <w:p w:rsidR="00590D4E" w:rsidRDefault="00590D4E">
      <w:pPr>
        <w:pStyle w:val="Untitledsubclause2"/>
      </w:pPr>
      <w:bookmarkStart w:id="122" w:name="a836047"/>
      <w:r w:rsidRPr="001770C4">
        <w:t xml:space="preserve">is deemed received as set out in clause </w:t>
      </w:r>
      <w:r w:rsidRPr="001770C4">
        <w:fldChar w:fldCharType="begin"/>
      </w:r>
      <w:r w:rsidRPr="001770C4">
        <w:instrText xml:space="preserve">REF a868091 \h \w </w:instrText>
      </w:r>
      <w:r w:rsidR="001770C4">
        <w:instrText xml:space="preserve"> \* MERGEFORMAT </w:instrText>
      </w:r>
      <w:r w:rsidRPr="001770C4">
        <w:fldChar w:fldCharType="separate"/>
      </w:r>
      <w:r w:rsidR="00FB3C0C">
        <w:t>11.5</w:t>
      </w:r>
      <w:r w:rsidRPr="001770C4">
        <w:fldChar w:fldCharType="end"/>
      </w:r>
      <w:r w:rsidRPr="001770C4">
        <w:t xml:space="preserve"> if prepared</w:t>
      </w:r>
      <w:r>
        <w:t xml:space="preserve"> and sent in accordance with this clause.</w:t>
      </w:r>
      <w:bookmarkEnd w:id="122"/>
    </w:p>
    <w:p w:rsidR="00590D4E" w:rsidRDefault="00590D4E">
      <w:pPr>
        <w:pStyle w:val="Untitledsubclause1"/>
      </w:pPr>
      <w:bookmarkStart w:id="123" w:name="a779272"/>
      <w:r>
        <w:t xml:space="preserve">The parties' addresses and contacts are as set out in this table: </w:t>
      </w:r>
      <w:bookmarkEnd w:id="123"/>
    </w:p>
    <w:tbl>
      <w:tblPr>
        <w:tblW w:w="49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54"/>
        <w:gridCol w:w="1674"/>
        <w:gridCol w:w="2651"/>
        <w:gridCol w:w="3684"/>
      </w:tblGrid>
      <w:tr w:rsidR="001770C4" w:rsidTr="001770C4">
        <w:trPr>
          <w:trHeight w:val="571"/>
        </w:trPr>
        <w:tc>
          <w:tcPr>
            <w:tcW w:w="813" w:type="pct"/>
          </w:tcPr>
          <w:p w:rsidR="00B07D41" w:rsidRDefault="00B07D41">
            <w:pPr>
              <w:pStyle w:val="Paragraph"/>
              <w:jc w:val="left"/>
              <w:rPr>
                <w:b/>
              </w:rPr>
            </w:pPr>
          </w:p>
        </w:tc>
        <w:tc>
          <w:tcPr>
            <w:tcW w:w="875" w:type="pct"/>
          </w:tcPr>
          <w:p w:rsidR="00B07D41" w:rsidRDefault="00B07D41">
            <w:pPr>
              <w:pStyle w:val="Paragraph"/>
              <w:jc w:val="left"/>
              <w:rPr>
                <w:b/>
              </w:rPr>
            </w:pPr>
          </w:p>
        </w:tc>
        <w:tc>
          <w:tcPr>
            <w:tcW w:w="1386" w:type="pct"/>
          </w:tcPr>
          <w:p w:rsidR="00B07D41" w:rsidRDefault="00B07D41">
            <w:pPr>
              <w:pStyle w:val="Paragraph"/>
              <w:jc w:val="left"/>
              <w:rPr>
                <w:b/>
              </w:rPr>
            </w:pPr>
          </w:p>
        </w:tc>
        <w:tc>
          <w:tcPr>
            <w:tcW w:w="1927" w:type="pct"/>
          </w:tcPr>
          <w:p w:rsidR="00B07D41" w:rsidRDefault="00B07D41">
            <w:pPr>
              <w:pStyle w:val="Paragraph"/>
              <w:jc w:val="left"/>
              <w:rPr>
                <w:b/>
              </w:rPr>
            </w:pPr>
          </w:p>
        </w:tc>
      </w:tr>
      <w:tr w:rsidR="001770C4" w:rsidTr="00D22EAE">
        <w:trPr>
          <w:trHeight w:val="592"/>
        </w:trPr>
        <w:tc>
          <w:tcPr>
            <w:tcW w:w="813" w:type="pct"/>
          </w:tcPr>
          <w:p w:rsidR="00B07D41" w:rsidRDefault="00B07D41">
            <w:pPr>
              <w:pStyle w:val="Paragraph"/>
              <w:jc w:val="left"/>
            </w:pPr>
          </w:p>
        </w:tc>
        <w:tc>
          <w:tcPr>
            <w:tcW w:w="875" w:type="pct"/>
            <w:shd w:val="clear" w:color="auto" w:fill="FFFF00"/>
          </w:tcPr>
          <w:p w:rsidR="00B07D41" w:rsidRPr="00D22EAE" w:rsidRDefault="00B07D41">
            <w:pPr>
              <w:pStyle w:val="Paragraph"/>
              <w:jc w:val="left"/>
              <w:rPr>
                <w:color w:val="FF0000"/>
              </w:rPr>
            </w:pPr>
          </w:p>
        </w:tc>
        <w:tc>
          <w:tcPr>
            <w:tcW w:w="1386" w:type="pct"/>
            <w:shd w:val="clear" w:color="auto" w:fill="FFFF00"/>
          </w:tcPr>
          <w:p w:rsidR="00B07D41" w:rsidRPr="00D22EAE" w:rsidRDefault="00B07D41">
            <w:pPr>
              <w:pStyle w:val="Paragraph"/>
              <w:jc w:val="left"/>
              <w:rPr>
                <w:highlight w:val="yellow"/>
              </w:rPr>
            </w:pPr>
          </w:p>
        </w:tc>
        <w:tc>
          <w:tcPr>
            <w:tcW w:w="1927" w:type="pct"/>
            <w:shd w:val="clear" w:color="auto" w:fill="FFFF00"/>
          </w:tcPr>
          <w:p w:rsidR="00B07D41" w:rsidRPr="00D22EAE" w:rsidRDefault="00B07D41">
            <w:pPr>
              <w:pStyle w:val="Paragraph"/>
              <w:jc w:val="left"/>
              <w:rPr>
                <w:highlight w:val="yellow"/>
              </w:rPr>
            </w:pPr>
          </w:p>
        </w:tc>
      </w:tr>
      <w:tr w:rsidR="001770C4" w:rsidTr="001770C4">
        <w:trPr>
          <w:trHeight w:val="571"/>
        </w:trPr>
        <w:tc>
          <w:tcPr>
            <w:tcW w:w="813" w:type="pct"/>
          </w:tcPr>
          <w:p w:rsidR="00B07D41" w:rsidRDefault="00B07D41">
            <w:pPr>
              <w:pStyle w:val="Paragraph"/>
              <w:jc w:val="left"/>
            </w:pPr>
          </w:p>
        </w:tc>
        <w:tc>
          <w:tcPr>
            <w:tcW w:w="875" w:type="pct"/>
          </w:tcPr>
          <w:p w:rsidR="00B07D41" w:rsidRDefault="00B07D41">
            <w:pPr>
              <w:pStyle w:val="Paragraph"/>
              <w:jc w:val="left"/>
            </w:pPr>
          </w:p>
        </w:tc>
        <w:tc>
          <w:tcPr>
            <w:tcW w:w="1386" w:type="pct"/>
          </w:tcPr>
          <w:p w:rsidR="00D22EAE" w:rsidRDefault="00D22EAE">
            <w:pPr>
              <w:pStyle w:val="Paragraph"/>
              <w:jc w:val="left"/>
            </w:pPr>
          </w:p>
        </w:tc>
        <w:tc>
          <w:tcPr>
            <w:tcW w:w="1927" w:type="pct"/>
          </w:tcPr>
          <w:p w:rsidR="00B07D41" w:rsidRDefault="00B07D41">
            <w:pPr>
              <w:pStyle w:val="Paragraph"/>
              <w:jc w:val="left"/>
            </w:pPr>
          </w:p>
        </w:tc>
      </w:tr>
      <w:tr w:rsidR="001770C4" w:rsidTr="001770C4">
        <w:trPr>
          <w:trHeight w:val="1000"/>
        </w:trPr>
        <w:tc>
          <w:tcPr>
            <w:tcW w:w="813" w:type="pct"/>
          </w:tcPr>
          <w:p w:rsidR="00B07D41" w:rsidRDefault="00B07D41">
            <w:pPr>
              <w:pStyle w:val="Paragraph"/>
              <w:jc w:val="left"/>
            </w:pPr>
          </w:p>
        </w:tc>
        <w:tc>
          <w:tcPr>
            <w:tcW w:w="875" w:type="pct"/>
          </w:tcPr>
          <w:p w:rsidR="00B07D41" w:rsidRDefault="00B07D41">
            <w:pPr>
              <w:pStyle w:val="Paragraph"/>
              <w:jc w:val="left"/>
            </w:pPr>
          </w:p>
        </w:tc>
        <w:tc>
          <w:tcPr>
            <w:tcW w:w="1386" w:type="pct"/>
          </w:tcPr>
          <w:p w:rsidR="00D22EAE" w:rsidRDefault="00D22EAE">
            <w:pPr>
              <w:pStyle w:val="Paragraph"/>
              <w:jc w:val="left"/>
            </w:pPr>
          </w:p>
        </w:tc>
        <w:tc>
          <w:tcPr>
            <w:tcW w:w="1927" w:type="pct"/>
          </w:tcPr>
          <w:p w:rsidR="00B07D41" w:rsidRDefault="00B07D41">
            <w:pPr>
              <w:pStyle w:val="Paragraph"/>
              <w:jc w:val="left"/>
            </w:pPr>
          </w:p>
        </w:tc>
      </w:tr>
    </w:tbl>
    <w:p w:rsidR="00590D4E" w:rsidRDefault="00590D4E">
      <w:pPr>
        <w:pStyle w:val="IgnoredSpacing"/>
      </w:pPr>
    </w:p>
    <w:p w:rsidR="00590D4E" w:rsidRDefault="00590D4E">
      <w:pPr>
        <w:pStyle w:val="Untitledsubclause1"/>
      </w:pPr>
      <w:bookmarkStart w:id="124" w:name="a788685"/>
      <w:r>
        <w:t xml:space="preserve">A party may change its details given in the table in </w:t>
      </w:r>
      <w:r w:rsidRPr="00D22EAE">
        <w:t xml:space="preserve">clause </w:t>
      </w:r>
      <w:r w:rsidRPr="00D22EAE">
        <w:fldChar w:fldCharType="begin"/>
      </w:r>
      <w:r w:rsidRPr="00D22EAE">
        <w:instrText xml:space="preserve">REF a779272 \h \w </w:instrText>
      </w:r>
      <w:r w:rsidR="00D22EAE">
        <w:instrText xml:space="preserve"> \* MERGEFORMAT </w:instrText>
      </w:r>
      <w:r w:rsidRPr="00D22EAE">
        <w:fldChar w:fldCharType="separate"/>
      </w:r>
      <w:r w:rsidR="00FB3C0C">
        <w:t>11.3</w:t>
      </w:r>
      <w:r w:rsidRPr="00D22EAE">
        <w:fldChar w:fldCharType="end"/>
      </w:r>
      <w:r>
        <w:t xml:space="preserve"> by giving notice, the change taking effect for the p</w:t>
      </w:r>
      <w:r w:rsidR="00B07D41">
        <w:t>arty notified of the change at 9.00 am</w:t>
      </w:r>
      <w:r>
        <w:t xml:space="preserve"> on the later of: </w:t>
      </w:r>
      <w:bookmarkEnd w:id="124"/>
    </w:p>
    <w:p w:rsidR="00590D4E" w:rsidRDefault="00590D4E">
      <w:pPr>
        <w:pStyle w:val="Untitledsubclause2"/>
      </w:pPr>
      <w:bookmarkStart w:id="125" w:name="a231257"/>
      <w:r>
        <w:t xml:space="preserve">the date, if any, specified in the notice as the effective date for the change; or  </w:t>
      </w:r>
      <w:bookmarkEnd w:id="125"/>
    </w:p>
    <w:p w:rsidR="00590D4E" w:rsidRDefault="00B07D41">
      <w:pPr>
        <w:pStyle w:val="Untitledsubclause2"/>
      </w:pPr>
      <w:bookmarkStart w:id="126" w:name="a1045628"/>
      <w:r>
        <w:t>the date five</w:t>
      </w:r>
      <w:r w:rsidR="00590D4E">
        <w:t xml:space="preserve"> Business Days after deemed receipt of the notice. </w:t>
      </w:r>
      <w:bookmarkEnd w:id="126"/>
    </w:p>
    <w:p w:rsidR="00590D4E" w:rsidRDefault="00590D4E">
      <w:pPr>
        <w:pStyle w:val="Untitledsubclause1"/>
      </w:pPr>
      <w:bookmarkStart w:id="127" w:name="a868091"/>
      <w:r>
        <w:t xml:space="preserve">This table sets out: </w:t>
      </w:r>
      <w:bookmarkEnd w:id="127"/>
    </w:p>
    <w:p w:rsidR="00590D4E" w:rsidRDefault="00590D4E">
      <w:pPr>
        <w:pStyle w:val="Untitledsubclause2"/>
      </w:pPr>
      <w:bookmarkStart w:id="128" w:name="a841119"/>
      <w:r>
        <w:t xml:space="preserve">delivery methods for sending a notice to a party under this agreement; and </w:t>
      </w:r>
      <w:bookmarkEnd w:id="128"/>
    </w:p>
    <w:p w:rsidR="00590D4E" w:rsidRDefault="00590D4E">
      <w:pPr>
        <w:pStyle w:val="Untitledsubclause2"/>
      </w:pPr>
      <w:bookmarkStart w:id="129" w:name="a1040019"/>
      <w:r>
        <w:lastRenderedPageBreak/>
        <w:t xml:space="preserve">for each delivery method, the corresponding delivery date and time when delivery of the notice is deemed to have taken place provided that all other requirements in this clause have been satisfied and subject to the provisions in </w:t>
      </w:r>
      <w:r w:rsidRPr="00D22EAE">
        <w:t xml:space="preserve">clause </w:t>
      </w:r>
      <w:r w:rsidRPr="00D22EAE">
        <w:fldChar w:fldCharType="begin"/>
      </w:r>
      <w:r w:rsidRPr="00D22EAE">
        <w:instrText xml:space="preserve">REF a771215 \h \w </w:instrText>
      </w:r>
      <w:r w:rsidR="00D22EAE">
        <w:instrText xml:space="preserve"> \* MERGEFORMAT </w:instrText>
      </w:r>
      <w:r w:rsidRPr="00D22EAE">
        <w:fldChar w:fldCharType="separate"/>
      </w:r>
      <w:r w:rsidR="00FB3C0C">
        <w:t>11.6</w:t>
      </w:r>
      <w:r w:rsidRPr="00D22EAE">
        <w:fldChar w:fldCharType="end"/>
      </w:r>
      <w:r w:rsidRPr="00D22EAE">
        <w:t>:</w:t>
      </w:r>
      <w:r>
        <w:t xml:space="preserve"> </w:t>
      </w:r>
      <w:bookmarkEnd w:id="12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788"/>
        <w:gridCol w:w="4788"/>
      </w:tblGrid>
      <w:tr w:rsidR="00590D4E">
        <w:tc>
          <w:tcPr>
            <w:tcW w:w="2500" w:type="pct"/>
          </w:tcPr>
          <w:p w:rsidR="00590D4E" w:rsidRDefault="00590D4E">
            <w:pPr>
              <w:pStyle w:val="Paragraph"/>
              <w:jc w:val="left"/>
              <w:rPr>
                <w:b/>
              </w:rPr>
            </w:pPr>
            <w:r>
              <w:rPr>
                <w:b/>
              </w:rPr>
              <w:t>Delivery method</w:t>
            </w:r>
          </w:p>
        </w:tc>
        <w:tc>
          <w:tcPr>
            <w:tcW w:w="2500" w:type="pct"/>
          </w:tcPr>
          <w:p w:rsidR="00590D4E" w:rsidRDefault="00590D4E">
            <w:pPr>
              <w:pStyle w:val="Paragraph"/>
              <w:jc w:val="left"/>
              <w:rPr>
                <w:b/>
              </w:rPr>
            </w:pPr>
            <w:r>
              <w:rPr>
                <w:b/>
              </w:rPr>
              <w:t>Delivery date and time</w:t>
            </w:r>
          </w:p>
        </w:tc>
      </w:tr>
      <w:tr w:rsidR="00590D4E">
        <w:tc>
          <w:tcPr>
            <w:tcW w:w="2500" w:type="pct"/>
          </w:tcPr>
          <w:p w:rsidR="00590D4E" w:rsidRDefault="00590D4E">
            <w:pPr>
              <w:pStyle w:val="Paragraph"/>
              <w:jc w:val="left"/>
            </w:pPr>
            <w:r>
              <w:t>Delivery by hand.</w:t>
            </w:r>
          </w:p>
        </w:tc>
        <w:tc>
          <w:tcPr>
            <w:tcW w:w="2500" w:type="pct"/>
          </w:tcPr>
          <w:p w:rsidR="00590D4E" w:rsidRDefault="00590D4E">
            <w:pPr>
              <w:pStyle w:val="Paragraph"/>
              <w:jc w:val="left"/>
            </w:pPr>
            <w:r>
              <w:t>On s</w:t>
            </w:r>
            <w:r w:rsidR="00D22EAE">
              <w:t xml:space="preserve">ignature of a delivery receipt </w:t>
            </w:r>
            <w:r>
              <w:t>or at the time th</w:t>
            </w:r>
            <w:r w:rsidR="00D22EAE">
              <w:t>e notice is left at the address</w:t>
            </w:r>
            <w:r>
              <w:t>.</w:t>
            </w:r>
          </w:p>
        </w:tc>
      </w:tr>
      <w:tr w:rsidR="00590D4E">
        <w:tc>
          <w:tcPr>
            <w:tcW w:w="2500" w:type="pct"/>
          </w:tcPr>
          <w:p w:rsidR="00590D4E" w:rsidRDefault="00D22EAE">
            <w:pPr>
              <w:pStyle w:val="Paragraph"/>
              <w:jc w:val="left"/>
            </w:pPr>
            <w:r>
              <w:t xml:space="preserve">Pre-paid first class recorded delivery </w:t>
            </w:r>
            <w:r w:rsidR="00590D4E">
              <w:t>post or other ne</w:t>
            </w:r>
            <w:r>
              <w:t xml:space="preserve">xt working day delivery service providing </w:t>
            </w:r>
            <w:r w:rsidR="00590D4E">
              <w:t xml:space="preserve">proof of postage </w:t>
            </w:r>
            <w:r w:rsidR="00590D4E">
              <w:rPr>
                <w:b/>
              </w:rPr>
              <w:t>OR</w:t>
            </w:r>
            <w:r>
              <w:t xml:space="preserve"> proof of delivery</w:t>
            </w:r>
            <w:r w:rsidR="00590D4E">
              <w:t xml:space="preserve">. </w:t>
            </w:r>
          </w:p>
        </w:tc>
        <w:tc>
          <w:tcPr>
            <w:tcW w:w="2500" w:type="pct"/>
          </w:tcPr>
          <w:p w:rsidR="00590D4E" w:rsidRDefault="00D22EAE">
            <w:pPr>
              <w:pStyle w:val="Paragraph"/>
              <w:jc w:val="left"/>
            </w:pPr>
            <w:r>
              <w:t xml:space="preserve">9.00 am on the second Business Day after posting </w:t>
            </w:r>
            <w:r w:rsidR="00590D4E">
              <w:t>or at the time recorded</w:t>
            </w:r>
            <w:r>
              <w:t xml:space="preserve"> by the delivery service</w:t>
            </w:r>
            <w:r w:rsidR="00590D4E">
              <w:t>.</w:t>
            </w:r>
          </w:p>
        </w:tc>
      </w:tr>
      <w:tr w:rsidR="00590D4E">
        <w:tc>
          <w:tcPr>
            <w:tcW w:w="2500" w:type="pct"/>
          </w:tcPr>
          <w:p w:rsidR="00590D4E" w:rsidRDefault="00590D4E">
            <w:pPr>
              <w:pStyle w:val="Paragraph"/>
              <w:jc w:val="left"/>
            </w:pPr>
            <w:r>
              <w:t>Fax.</w:t>
            </w:r>
          </w:p>
        </w:tc>
        <w:tc>
          <w:tcPr>
            <w:tcW w:w="2500" w:type="pct"/>
          </w:tcPr>
          <w:p w:rsidR="00590D4E" w:rsidRDefault="00590D4E">
            <w:pPr>
              <w:pStyle w:val="Paragraph"/>
              <w:jc w:val="left"/>
            </w:pPr>
            <w:r>
              <w:t>At the time of transmission.</w:t>
            </w:r>
          </w:p>
        </w:tc>
      </w:tr>
      <w:tr w:rsidR="00590D4E">
        <w:tc>
          <w:tcPr>
            <w:tcW w:w="2500" w:type="pct"/>
          </w:tcPr>
          <w:p w:rsidR="00590D4E" w:rsidRDefault="00590D4E">
            <w:pPr>
              <w:pStyle w:val="Paragraph"/>
              <w:jc w:val="left"/>
            </w:pPr>
            <w:r>
              <w:t>Document exchange (DX).</w:t>
            </w:r>
          </w:p>
        </w:tc>
        <w:tc>
          <w:tcPr>
            <w:tcW w:w="2500" w:type="pct"/>
          </w:tcPr>
          <w:p w:rsidR="00590D4E" w:rsidRDefault="00D22EAE">
            <w:pPr>
              <w:pStyle w:val="Paragraph"/>
              <w:jc w:val="left"/>
            </w:pPr>
            <w:r>
              <w:t>9.00 am on the second</w:t>
            </w:r>
            <w:r w:rsidR="00590D4E">
              <w:t xml:space="preserve"> Business Day after being put into the DX.</w:t>
            </w:r>
          </w:p>
        </w:tc>
      </w:tr>
    </w:tbl>
    <w:p w:rsidR="00590D4E" w:rsidRDefault="00590D4E">
      <w:pPr>
        <w:pStyle w:val="IgnoredSpacing"/>
      </w:pPr>
    </w:p>
    <w:p w:rsidR="00590D4E" w:rsidRDefault="00590D4E">
      <w:pPr>
        <w:pStyle w:val="Untitledsubclause1"/>
      </w:pPr>
      <w:bookmarkStart w:id="130" w:name="a771215"/>
      <w:r>
        <w:t xml:space="preserve">For the purpose of </w:t>
      </w:r>
      <w:r w:rsidRPr="00D22EAE">
        <w:t xml:space="preserve">clause </w:t>
      </w:r>
      <w:r w:rsidRPr="00D22EAE">
        <w:fldChar w:fldCharType="begin"/>
      </w:r>
      <w:r w:rsidRPr="00D22EAE">
        <w:instrText xml:space="preserve">REF a868091 \h \w </w:instrText>
      </w:r>
      <w:r w:rsidR="00D22EAE">
        <w:instrText xml:space="preserve"> \* MERGEFORMAT </w:instrText>
      </w:r>
      <w:r w:rsidRPr="00D22EAE">
        <w:fldChar w:fldCharType="separate"/>
      </w:r>
      <w:r w:rsidR="00FB3C0C">
        <w:t>11.5</w:t>
      </w:r>
      <w:r w:rsidRPr="00D22EAE">
        <w:fldChar w:fldCharType="end"/>
      </w:r>
      <w:r w:rsidRPr="00D22EAE">
        <w:t xml:space="preserve"> and</w:t>
      </w:r>
      <w:r>
        <w:t xml:space="preserve"> calculating deemed receipt: </w:t>
      </w:r>
      <w:bookmarkEnd w:id="130"/>
    </w:p>
    <w:p w:rsidR="00590D4E" w:rsidRDefault="00590D4E">
      <w:pPr>
        <w:pStyle w:val="Untitledsubclause2"/>
      </w:pPr>
      <w:bookmarkStart w:id="131" w:name="a764579"/>
      <w:r>
        <w:t xml:space="preserve">all references to time are to local time in the place of deemed receipt; and </w:t>
      </w:r>
      <w:bookmarkEnd w:id="131"/>
    </w:p>
    <w:p w:rsidR="00590D4E" w:rsidRDefault="00590D4E">
      <w:pPr>
        <w:pStyle w:val="Untitledsubclause2"/>
      </w:pPr>
      <w:bookmarkStart w:id="132" w:name="a518908"/>
      <w:r>
        <w:t xml:space="preserve">if deemed receipt would occur in the place of deemed receipt on a Saturday or Sunday or a public holiday when banks are not open for business, deemed receipt is deemed to take place at 9.00 am on the day when business next starts in the place of receipt. </w:t>
      </w:r>
      <w:bookmarkEnd w:id="132"/>
    </w:p>
    <w:p w:rsidR="00590D4E" w:rsidRDefault="00590D4E">
      <w:pPr>
        <w:pStyle w:val="Untitledsubclause1"/>
      </w:pPr>
      <w:bookmarkStart w:id="133" w:name="a255920"/>
      <w:r>
        <w:t>This clause does not apply to the service of any proceedings or other documents in any legal action or, where applicable, any arbitration or other method of dispute resolution.</w:t>
      </w:r>
      <w:bookmarkEnd w:id="133"/>
    </w:p>
    <w:p w:rsidR="00590D4E" w:rsidRDefault="00590D4E">
      <w:pPr>
        <w:pStyle w:val="Untitledsubclause1"/>
      </w:pPr>
      <w:r>
        <w:fldChar w:fldCharType="begin"/>
      </w:r>
      <w:r>
        <w:fldChar w:fldCharType="end"/>
      </w:r>
      <w:bookmarkStart w:id="134" w:name="a779305"/>
      <w:r w:rsidR="00FB3C0C">
        <w:t>A notice given under or in connection with</w:t>
      </w:r>
      <w:r>
        <w:t xml:space="preserve"> this agreement is not valid if sent by email.</w:t>
      </w:r>
      <w:bookmarkEnd w:id="134"/>
    </w:p>
    <w:p w:rsidR="00590D4E" w:rsidRDefault="00590D4E" w:rsidP="000C2EDD">
      <w:pPr>
        <w:pStyle w:val="TitleClause"/>
      </w:pPr>
      <w:r>
        <w:fldChar w:fldCharType="begin"/>
      </w:r>
      <w:r>
        <w:instrText>TC "13. Third party rights" \l 1</w:instrText>
      </w:r>
      <w:r>
        <w:fldChar w:fldCharType="end"/>
      </w:r>
      <w:bookmarkStart w:id="135" w:name="a317688"/>
      <w:bookmarkStart w:id="136" w:name="_Toc475631335"/>
      <w:r>
        <w:t>Third party rights</w:t>
      </w:r>
      <w:bookmarkEnd w:id="135"/>
      <w:bookmarkEnd w:id="136"/>
    </w:p>
    <w:p w:rsidR="00590D4E" w:rsidRDefault="00590D4E">
      <w:pPr>
        <w:pStyle w:val="NoNumUntitledsubclause1"/>
      </w:pPr>
      <w:bookmarkStart w:id="137" w:name="a1016631"/>
      <w:r>
        <w:t>A person who is not a party to this agreement shall not have any rights under the Contracts (Rights of Third Parties) Act 1999 to enforce any term of this agreement.</w:t>
      </w:r>
      <w:bookmarkEnd w:id="137"/>
    </w:p>
    <w:p w:rsidR="00590D4E" w:rsidRDefault="00590D4E" w:rsidP="00B07D41">
      <w:pPr>
        <w:pStyle w:val="TitleClause"/>
      </w:pPr>
      <w:r>
        <w:fldChar w:fldCharType="begin"/>
      </w:r>
      <w:r>
        <w:instrText>TC "14. Governing law" \l 1</w:instrText>
      </w:r>
      <w:r>
        <w:fldChar w:fldCharType="end"/>
      </w:r>
      <w:bookmarkStart w:id="138" w:name="a271769"/>
      <w:bookmarkStart w:id="139" w:name="_Toc475631336"/>
      <w:r>
        <w:t>Governing law</w:t>
      </w:r>
      <w:bookmarkEnd w:id="138"/>
      <w:bookmarkEnd w:id="139"/>
    </w:p>
    <w:p w:rsidR="00590D4E" w:rsidRDefault="00590D4E">
      <w:pPr>
        <w:pStyle w:val="NoNumUntitledsubclause1"/>
      </w:pPr>
      <w:bookmarkStart w:id="140" w:name="a880604"/>
      <w:r>
        <w:t>This agreement and any dispute or claim arising out of or in connection with it or its subject matter or formation (including non-contractual disputes or claims) shall be governed by and construed in accordance with the law of England and Wales.</w:t>
      </w:r>
      <w:bookmarkEnd w:id="140"/>
    </w:p>
    <w:p w:rsidR="00590D4E" w:rsidRDefault="00590D4E" w:rsidP="00B07D41">
      <w:pPr>
        <w:pStyle w:val="TitleClause"/>
      </w:pPr>
      <w:r>
        <w:lastRenderedPageBreak/>
        <w:fldChar w:fldCharType="begin"/>
      </w:r>
      <w:r>
        <w:instrText>TC "15. Jurisdiction" \l 1</w:instrText>
      </w:r>
      <w:r>
        <w:fldChar w:fldCharType="end"/>
      </w:r>
      <w:bookmarkStart w:id="141" w:name="a862194"/>
      <w:bookmarkStart w:id="142" w:name="_Toc475631337"/>
      <w:r>
        <w:t>Jurisdiction</w:t>
      </w:r>
      <w:bookmarkEnd w:id="141"/>
      <w:bookmarkEnd w:id="142"/>
    </w:p>
    <w:p w:rsidR="00590D4E" w:rsidRDefault="00590D4E">
      <w:pPr>
        <w:pStyle w:val="NoNumUntitledsubclause1"/>
      </w:pPr>
      <w:bookmarkStart w:id="143" w:name="a717017"/>
      <w:r>
        <w:t>Each party irrevocably agrees that the courts o</w:t>
      </w:r>
      <w:r w:rsidR="00B07D41">
        <w:t xml:space="preserve">f England and Wales shall have </w:t>
      </w:r>
      <w:r>
        <w:t>exclusive jurisdiction to settle any dispute or claim arising out of or in connection with this agreement or its subject matter or formation (including non-contractual disputes or claims).</w:t>
      </w:r>
      <w:bookmarkEnd w:id="143"/>
    </w:p>
    <w:p w:rsidR="00590D4E" w:rsidRDefault="00590D4E" w:rsidP="00590D4E">
      <w:pPr>
        <w:pStyle w:val="Testimonium"/>
      </w:pPr>
      <w:r>
        <w:t>This document has been executed as a deed and is delivered and takes effect on the date stated at the beginning of it.</w:t>
      </w:r>
    </w:p>
    <w:p w:rsidR="00590D4E" w:rsidRDefault="00590D4E">
      <w:r>
        <w:br w:type="page"/>
      </w:r>
    </w:p>
    <w:p w:rsidR="00590D4E" w:rsidRDefault="00590D4E">
      <w:pPr>
        <w:pStyle w:val="DescriptiveHeading"/>
      </w:pPr>
      <w:r>
        <w:t>Signature</w:t>
      </w:r>
    </w:p>
    <w:tbl>
      <w:tblPr>
        <w:tblW w:w="5000" w:type="pct"/>
        <w:tblLook w:val="04A0" w:firstRow="1" w:lastRow="0" w:firstColumn="1" w:lastColumn="0" w:noHBand="0" w:noVBand="1"/>
      </w:tblPr>
      <w:tblGrid>
        <w:gridCol w:w="3192"/>
        <w:gridCol w:w="3193"/>
        <w:gridCol w:w="3191"/>
      </w:tblGrid>
      <w:tr w:rsidR="00590D4E" w:rsidRPr="007979A2" w:rsidTr="007979A2">
        <w:tc>
          <w:tcPr>
            <w:tcW w:w="1667" w:type="pct"/>
            <w:shd w:val="clear" w:color="auto" w:fill="auto"/>
          </w:tcPr>
          <w:p w:rsidR="00590D4E" w:rsidRPr="007979A2" w:rsidRDefault="00590D4E" w:rsidP="00B07D41">
            <w:pPr>
              <w:pStyle w:val="Paragraph"/>
              <w:jc w:val="left"/>
            </w:pPr>
            <w:r w:rsidRPr="007979A2">
              <w:t>Executed a</w:t>
            </w:r>
            <w:r w:rsidR="00D22EAE" w:rsidRPr="007979A2">
              <w:t>s a deed by EMTECNICA LIMITED</w:t>
            </w:r>
          </w:p>
          <w:p w:rsidR="00590D4E" w:rsidRPr="007979A2" w:rsidRDefault="00590D4E" w:rsidP="00B07D41">
            <w:pPr>
              <w:pStyle w:val="Paragraph"/>
              <w:jc w:val="left"/>
            </w:pPr>
            <w:r w:rsidRPr="007979A2">
              <w:t xml:space="preserve">                </w:t>
            </w:r>
            <w:r w:rsidR="007979A2" w:rsidRPr="007979A2">
              <w:t xml:space="preserve">acting by NAME OF FIRST DIRECTOR, a director and </w:t>
            </w:r>
            <w:r w:rsidRPr="007979A2">
              <w:t>NA</w:t>
            </w:r>
            <w:r w:rsidR="007979A2" w:rsidRPr="007979A2">
              <w:t>ME OF SECOND DIRECTOR/SECRETARY, a director OR its secretary</w:t>
            </w:r>
          </w:p>
        </w:tc>
        <w:tc>
          <w:tcPr>
            <w:tcW w:w="1667" w:type="pct"/>
            <w:shd w:val="clear" w:color="auto" w:fill="auto"/>
          </w:tcPr>
          <w:p w:rsidR="00590D4E" w:rsidRPr="007979A2" w:rsidRDefault="00590D4E">
            <w:pPr>
              <w:pStyle w:val="IgnoredSpacing"/>
            </w:pPr>
          </w:p>
        </w:tc>
        <w:tc>
          <w:tcPr>
            <w:tcW w:w="1666" w:type="pct"/>
            <w:shd w:val="clear" w:color="auto" w:fill="auto"/>
          </w:tcPr>
          <w:p w:rsidR="00590D4E" w:rsidRPr="007979A2" w:rsidRDefault="00590D4E" w:rsidP="00B07D41">
            <w:pPr>
              <w:pStyle w:val="Paragraph"/>
              <w:jc w:val="left"/>
            </w:pPr>
            <w:r w:rsidRPr="007979A2">
              <w:t>....................</w:t>
            </w:r>
          </w:p>
          <w:p w:rsidR="00590D4E" w:rsidRPr="007979A2" w:rsidRDefault="007979A2" w:rsidP="00B07D41">
            <w:pPr>
              <w:pStyle w:val="Paragraph"/>
              <w:jc w:val="left"/>
            </w:pPr>
            <w:r w:rsidRPr="007979A2">
              <w:t>SIGNATURE OF FIRST DIRECTOR</w:t>
            </w:r>
          </w:p>
          <w:p w:rsidR="00590D4E" w:rsidRPr="007979A2" w:rsidRDefault="00590D4E" w:rsidP="00B07D41">
            <w:pPr>
              <w:pStyle w:val="Paragraph"/>
              <w:jc w:val="left"/>
            </w:pPr>
            <w:r w:rsidRPr="007979A2">
              <w:t>Director</w:t>
            </w:r>
          </w:p>
          <w:p w:rsidR="00590D4E" w:rsidRPr="007979A2" w:rsidRDefault="00590D4E" w:rsidP="00B07D41">
            <w:pPr>
              <w:pStyle w:val="Paragraph"/>
              <w:jc w:val="left"/>
            </w:pPr>
            <w:r w:rsidRPr="007979A2">
              <w:t>....................</w:t>
            </w:r>
          </w:p>
          <w:p w:rsidR="00590D4E" w:rsidRPr="007979A2" w:rsidRDefault="00590D4E" w:rsidP="00B07D41">
            <w:pPr>
              <w:pStyle w:val="Paragraph"/>
              <w:jc w:val="left"/>
            </w:pPr>
            <w:r w:rsidRPr="007979A2">
              <w:t xml:space="preserve">SIGNATURE </w:t>
            </w:r>
            <w:r w:rsidR="007979A2" w:rsidRPr="007979A2">
              <w:t>OF SECOND DIRECTOR OR SECRETARY</w:t>
            </w:r>
          </w:p>
          <w:p w:rsidR="00590D4E" w:rsidRPr="007979A2" w:rsidRDefault="00590D4E" w:rsidP="00B07D41">
            <w:pPr>
              <w:pStyle w:val="Paragraph"/>
              <w:jc w:val="left"/>
            </w:pPr>
            <w:r w:rsidRPr="007979A2">
              <w:t>D</w:t>
            </w:r>
            <w:r w:rsidR="007979A2" w:rsidRPr="007979A2">
              <w:t>irector OR Secretary</w:t>
            </w:r>
          </w:p>
        </w:tc>
      </w:tr>
      <w:tr w:rsidR="00590D4E" w:rsidRPr="007979A2" w:rsidTr="007979A2">
        <w:tc>
          <w:tcPr>
            <w:tcW w:w="5000" w:type="pct"/>
            <w:gridSpan w:val="3"/>
            <w:shd w:val="clear" w:color="auto" w:fill="auto"/>
          </w:tcPr>
          <w:p w:rsidR="00590D4E" w:rsidRPr="007979A2" w:rsidRDefault="00590D4E">
            <w:pPr>
              <w:pStyle w:val="IgnoredSpacing"/>
            </w:pPr>
          </w:p>
        </w:tc>
      </w:tr>
      <w:tr w:rsidR="00590D4E" w:rsidRPr="007979A2" w:rsidTr="007979A2">
        <w:tc>
          <w:tcPr>
            <w:tcW w:w="1667" w:type="pct"/>
            <w:shd w:val="clear" w:color="auto" w:fill="auto"/>
          </w:tcPr>
          <w:p w:rsidR="00590D4E" w:rsidRPr="007979A2" w:rsidRDefault="00590D4E" w:rsidP="00B07D41">
            <w:pPr>
              <w:pStyle w:val="Paragraph"/>
              <w:jc w:val="left"/>
            </w:pPr>
            <w:r w:rsidRPr="007979A2">
              <w:t>Executed as</w:t>
            </w:r>
            <w:r w:rsidR="00D22EAE" w:rsidRPr="007979A2">
              <w:t xml:space="preserve"> a deed by GALLIFORD TRY CONSTRUCTION (UK) LIMITED</w:t>
            </w:r>
          </w:p>
          <w:p w:rsidR="00590D4E" w:rsidRPr="007979A2" w:rsidRDefault="00590D4E" w:rsidP="00B07D41">
            <w:pPr>
              <w:pStyle w:val="Paragraph"/>
              <w:jc w:val="left"/>
            </w:pPr>
            <w:r w:rsidRPr="007979A2">
              <w:t xml:space="preserve">                </w:t>
            </w:r>
            <w:r w:rsidR="007979A2" w:rsidRPr="007979A2">
              <w:t xml:space="preserve">acting by NAME OF FIRST DIRECTOR, a director and </w:t>
            </w:r>
            <w:r w:rsidRPr="007979A2">
              <w:t>NA</w:t>
            </w:r>
            <w:r w:rsidR="007979A2" w:rsidRPr="007979A2">
              <w:t>ME OF SECOND DIRECTOR/SECRETARY, a director OR its secretary</w:t>
            </w:r>
          </w:p>
        </w:tc>
        <w:tc>
          <w:tcPr>
            <w:tcW w:w="1667" w:type="pct"/>
            <w:shd w:val="clear" w:color="auto" w:fill="auto"/>
          </w:tcPr>
          <w:p w:rsidR="00590D4E" w:rsidRPr="007979A2" w:rsidRDefault="00590D4E">
            <w:pPr>
              <w:pStyle w:val="IgnoredSpacing"/>
            </w:pPr>
          </w:p>
        </w:tc>
        <w:tc>
          <w:tcPr>
            <w:tcW w:w="1666" w:type="pct"/>
            <w:shd w:val="clear" w:color="auto" w:fill="auto"/>
          </w:tcPr>
          <w:p w:rsidR="00590D4E" w:rsidRPr="007979A2" w:rsidRDefault="00590D4E" w:rsidP="00B07D41">
            <w:pPr>
              <w:pStyle w:val="Paragraph"/>
              <w:jc w:val="left"/>
            </w:pPr>
            <w:r w:rsidRPr="007979A2">
              <w:t>....................</w:t>
            </w:r>
          </w:p>
          <w:p w:rsidR="00590D4E" w:rsidRPr="007979A2" w:rsidRDefault="007979A2" w:rsidP="00B07D41">
            <w:pPr>
              <w:pStyle w:val="Paragraph"/>
              <w:jc w:val="left"/>
            </w:pPr>
            <w:r w:rsidRPr="007979A2">
              <w:t>SIGNATURE OF FIRST DIRECTOR</w:t>
            </w:r>
          </w:p>
          <w:p w:rsidR="00590D4E" w:rsidRPr="007979A2" w:rsidRDefault="00590D4E" w:rsidP="00B07D41">
            <w:pPr>
              <w:pStyle w:val="Paragraph"/>
              <w:jc w:val="left"/>
            </w:pPr>
            <w:r w:rsidRPr="007979A2">
              <w:t>Director</w:t>
            </w:r>
          </w:p>
          <w:p w:rsidR="00590D4E" w:rsidRPr="007979A2" w:rsidRDefault="00590D4E" w:rsidP="00B07D41">
            <w:pPr>
              <w:pStyle w:val="Paragraph"/>
              <w:jc w:val="left"/>
            </w:pPr>
            <w:r w:rsidRPr="007979A2">
              <w:t>....................</w:t>
            </w:r>
          </w:p>
          <w:p w:rsidR="00590D4E" w:rsidRPr="007979A2" w:rsidRDefault="00590D4E" w:rsidP="00B07D41">
            <w:pPr>
              <w:pStyle w:val="Paragraph"/>
              <w:jc w:val="left"/>
            </w:pPr>
            <w:r w:rsidRPr="007979A2">
              <w:t xml:space="preserve">SIGNATURE </w:t>
            </w:r>
            <w:r w:rsidR="007979A2" w:rsidRPr="007979A2">
              <w:t>OF SECOND DIRECTOR OR SECRETARY</w:t>
            </w:r>
          </w:p>
          <w:p w:rsidR="00590D4E" w:rsidRPr="007979A2" w:rsidRDefault="007979A2" w:rsidP="00B07D41">
            <w:pPr>
              <w:pStyle w:val="Paragraph"/>
              <w:jc w:val="left"/>
            </w:pPr>
            <w:r w:rsidRPr="007979A2">
              <w:t>Director OR Secretary</w:t>
            </w:r>
          </w:p>
        </w:tc>
      </w:tr>
      <w:tr w:rsidR="00590D4E" w:rsidRPr="007979A2" w:rsidTr="007979A2">
        <w:tc>
          <w:tcPr>
            <w:tcW w:w="5000" w:type="pct"/>
            <w:gridSpan w:val="3"/>
            <w:shd w:val="clear" w:color="auto" w:fill="auto"/>
          </w:tcPr>
          <w:p w:rsidR="00590D4E" w:rsidRPr="007979A2" w:rsidRDefault="00590D4E">
            <w:pPr>
              <w:pStyle w:val="IgnoredSpacing"/>
            </w:pPr>
          </w:p>
        </w:tc>
      </w:tr>
      <w:tr w:rsidR="00590D4E" w:rsidRPr="007979A2" w:rsidTr="007979A2">
        <w:tc>
          <w:tcPr>
            <w:tcW w:w="1667" w:type="pct"/>
            <w:shd w:val="clear" w:color="auto" w:fill="auto"/>
          </w:tcPr>
          <w:p w:rsidR="00590D4E" w:rsidRPr="007979A2" w:rsidRDefault="00590D4E" w:rsidP="00B07D41">
            <w:pPr>
              <w:pStyle w:val="Paragraph"/>
              <w:jc w:val="left"/>
            </w:pPr>
            <w:r w:rsidRPr="007979A2">
              <w:t>Sign</w:t>
            </w:r>
            <w:r w:rsidR="007979A2" w:rsidRPr="007979A2">
              <w:t>ed as a deed by BOON BUILDING SERVICES LIMITED</w:t>
            </w:r>
            <w:r w:rsidRPr="007979A2">
              <w:t xml:space="preserve"> in the presence of:</w:t>
            </w:r>
          </w:p>
        </w:tc>
        <w:tc>
          <w:tcPr>
            <w:tcW w:w="1667" w:type="pct"/>
            <w:shd w:val="clear" w:color="auto" w:fill="auto"/>
          </w:tcPr>
          <w:p w:rsidR="00590D4E" w:rsidRPr="007979A2" w:rsidRDefault="00590D4E">
            <w:pPr>
              <w:pStyle w:val="IgnoredSpacing"/>
            </w:pPr>
          </w:p>
        </w:tc>
        <w:tc>
          <w:tcPr>
            <w:tcW w:w="1666" w:type="pct"/>
            <w:shd w:val="clear" w:color="auto" w:fill="auto"/>
          </w:tcPr>
          <w:p w:rsidR="00590D4E" w:rsidRPr="007979A2" w:rsidRDefault="00590D4E" w:rsidP="00B07D41">
            <w:pPr>
              <w:pStyle w:val="Paragraph"/>
              <w:jc w:val="left"/>
            </w:pPr>
            <w:r w:rsidRPr="007979A2">
              <w:t>....................</w:t>
            </w:r>
          </w:p>
          <w:p w:rsidR="00590D4E" w:rsidRPr="007979A2" w:rsidRDefault="007979A2" w:rsidP="00B07D41">
            <w:pPr>
              <w:pStyle w:val="Paragraph"/>
              <w:jc w:val="left"/>
            </w:pPr>
            <w:r w:rsidRPr="007979A2">
              <w:t>SIGNATURE OF Client</w:t>
            </w:r>
          </w:p>
        </w:tc>
      </w:tr>
      <w:tr w:rsidR="00590D4E" w:rsidRPr="00B07D41" w:rsidTr="007979A2">
        <w:tc>
          <w:tcPr>
            <w:tcW w:w="1667" w:type="pct"/>
            <w:shd w:val="clear" w:color="auto" w:fill="auto"/>
          </w:tcPr>
          <w:p w:rsidR="00590D4E" w:rsidRPr="007979A2" w:rsidRDefault="00590D4E" w:rsidP="00B07D41">
            <w:pPr>
              <w:pStyle w:val="Paragraph"/>
              <w:jc w:val="left"/>
            </w:pPr>
            <w:r w:rsidRPr="007979A2">
              <w:t>....................</w:t>
            </w:r>
          </w:p>
          <w:p w:rsidR="00590D4E" w:rsidRPr="007979A2" w:rsidRDefault="007979A2" w:rsidP="00B07D41">
            <w:pPr>
              <w:pStyle w:val="Paragraph"/>
              <w:jc w:val="left"/>
            </w:pPr>
            <w:r w:rsidRPr="007979A2">
              <w:t>SIGNATURE OF WITNESS</w:t>
            </w:r>
          </w:p>
          <w:p w:rsidR="00590D4E" w:rsidRPr="007979A2" w:rsidRDefault="00590D4E" w:rsidP="00B07D41">
            <w:pPr>
              <w:pStyle w:val="Paragraph"/>
              <w:jc w:val="left"/>
            </w:pPr>
            <w:r w:rsidRPr="007979A2">
              <w:t>NAME, ADD</w:t>
            </w:r>
            <w:r w:rsidR="007979A2" w:rsidRPr="007979A2">
              <w:t>RESS AND OCCUPATION OF WITNESS</w:t>
            </w:r>
          </w:p>
        </w:tc>
        <w:tc>
          <w:tcPr>
            <w:tcW w:w="1667" w:type="pct"/>
            <w:shd w:val="clear" w:color="auto" w:fill="auto"/>
          </w:tcPr>
          <w:p w:rsidR="00590D4E" w:rsidRPr="007979A2" w:rsidRDefault="00590D4E">
            <w:pPr>
              <w:pStyle w:val="IgnoredSpacing"/>
            </w:pPr>
          </w:p>
        </w:tc>
        <w:tc>
          <w:tcPr>
            <w:tcW w:w="1666" w:type="pct"/>
            <w:shd w:val="clear" w:color="auto" w:fill="auto"/>
          </w:tcPr>
          <w:p w:rsidR="00590D4E" w:rsidRPr="007979A2" w:rsidRDefault="00590D4E">
            <w:pPr>
              <w:pStyle w:val="IgnoredSpacing"/>
            </w:pPr>
          </w:p>
        </w:tc>
      </w:tr>
      <w:tr w:rsidR="00590D4E" w:rsidRPr="007979A2" w:rsidTr="007979A2">
        <w:trPr>
          <w:gridAfter w:val="2"/>
          <w:wAfter w:w="6384" w:type="dxa"/>
        </w:trPr>
        <w:tc>
          <w:tcPr>
            <w:tcW w:w="1667" w:type="pct"/>
            <w:shd w:val="clear" w:color="auto" w:fill="auto"/>
          </w:tcPr>
          <w:p w:rsidR="00590D4E" w:rsidRPr="007979A2" w:rsidRDefault="00590D4E">
            <w:pPr>
              <w:pStyle w:val="IgnoredSpacing"/>
            </w:pPr>
          </w:p>
        </w:tc>
      </w:tr>
      <w:tr w:rsidR="00590D4E" w:rsidRPr="00B07D41" w:rsidTr="007979A2">
        <w:tc>
          <w:tcPr>
            <w:tcW w:w="5000" w:type="pct"/>
            <w:gridSpan w:val="3"/>
            <w:shd w:val="clear" w:color="auto" w:fill="auto"/>
          </w:tcPr>
          <w:p w:rsidR="00590D4E" w:rsidRPr="007979A2" w:rsidRDefault="00590D4E">
            <w:pPr>
              <w:pStyle w:val="IgnoredSpacing"/>
            </w:pPr>
          </w:p>
        </w:tc>
      </w:tr>
    </w:tbl>
    <w:p w:rsidR="00590D4E" w:rsidRDefault="00590D4E">
      <w:pPr>
        <w:pStyle w:val="IgnoredSpacing"/>
      </w:pPr>
    </w:p>
    <w:p w:rsidR="00590D4E" w:rsidRDefault="00590D4E">
      <w:pPr>
        <w:pStyle w:val="IgnoredSpacing"/>
      </w:pPr>
    </w:p>
    <w:p w:rsidR="00590D4E" w:rsidRDefault="00590D4E">
      <w:pPr>
        <w:pStyle w:val="IgnoredSpacing"/>
      </w:pPr>
    </w:p>
    <w:sectPr w:rsidR="00590D4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5E8" w:rsidRDefault="000F75E8">
      <w:pPr>
        <w:spacing w:after="0" w:line="240" w:lineRule="auto"/>
      </w:pPr>
      <w:r>
        <w:separator/>
      </w:r>
    </w:p>
  </w:endnote>
  <w:endnote w:type="continuationSeparator" w:id="0">
    <w:p w:rsidR="000F75E8" w:rsidRDefault="000F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5E8" w:rsidRDefault="000F75E8">
      <w:pPr>
        <w:spacing w:after="0" w:line="240" w:lineRule="auto"/>
      </w:pPr>
      <w:r>
        <w:separator/>
      </w:r>
    </w:p>
  </w:footnote>
  <w:footnote w:type="continuationSeparator" w:id="0">
    <w:p w:rsidR="000F75E8" w:rsidRDefault="000F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0A2CD0"/>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43D480C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97CCFF90"/>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55A8879E"/>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FA2E6738"/>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C7BE74B0"/>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0346D860"/>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730023EC"/>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D22223B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650CE732"/>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164E63F9"/>
    <w:multiLevelType w:val="hybridMultilevel"/>
    <w:tmpl w:val="B04E3E7E"/>
    <w:lvl w:ilvl="0">
      <w:start w:val="1"/>
      <w:numFmt w:val="decimal"/>
      <w:pStyle w:val="Schedule"/>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F230AE"/>
    <w:multiLevelType w:val="hybridMultilevel"/>
    <w:tmpl w:val="F0741F82"/>
    <w:lvl w:ilvl="0">
      <w:start w:val="1"/>
      <w:numFmt w:val="decimal"/>
      <w:pStyle w:val="Part"/>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2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2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7" w15:restartNumberingAfterBreak="0">
    <w:nsid w:val="5D206610"/>
    <w:multiLevelType w:val="hybridMultilevel"/>
    <w:tmpl w:val="68B4459E"/>
    <w:lvl w:ilvl="0">
      <w:start w:val="1"/>
      <w:numFmt w:val="lowerLetter"/>
      <w:pStyle w:val="DefinedTermNumb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8"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30"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1" w15:restartNumberingAfterBreak="0">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7D61255"/>
    <w:multiLevelType w:val="multilevel"/>
    <w:tmpl w:val="392836FC"/>
    <w:lvl w:ilvl="0">
      <w:start w:val="1"/>
      <w:numFmt w:val="decimal"/>
      <w:pStyle w:val="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color w:val="000000"/>
        <w:sz w:val="20"/>
      </w:rPr>
    </w:lvl>
    <w:lvl w:ilvl="2">
      <w:start w:val="1"/>
      <w:numFmt w:val="lowerLetter"/>
      <w:pStyle w:val="Untitledsubclause2"/>
      <w:lvlText w:val="(%3)"/>
      <w:lvlJc w:val="left"/>
      <w:pPr>
        <w:tabs>
          <w:tab w:val="num" w:pos="1559"/>
        </w:tabs>
        <w:ind w:left="1559" w:hanging="567"/>
      </w:pPr>
      <w:rPr>
        <w:b w:val="0"/>
        <w:i w:val="0"/>
        <w:color w:val="000000"/>
        <w:sz w:val="20"/>
      </w:rPr>
    </w:lvl>
    <w:lvl w:ilvl="3">
      <w:start w:val="1"/>
      <w:numFmt w:val="lowerRoman"/>
      <w:pStyle w:val="Untitledsubclause3"/>
      <w:lvlText w:val="(%4)"/>
      <w:lvlJc w:val="left"/>
      <w:pPr>
        <w:tabs>
          <w:tab w:val="num" w:pos="2421"/>
        </w:tabs>
        <w:ind w:left="2268" w:hanging="567"/>
      </w:pPr>
      <w:rPr>
        <w:b w:val="0"/>
        <w:i w:val="0"/>
        <w:color w:val="00000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4"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56450"/>
    <w:multiLevelType w:val="hybridMultilevel"/>
    <w:tmpl w:val="68B4459E"/>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6" w15:restartNumberingAfterBreak="0">
    <w:nsid w:val="7DB56451"/>
    <w:multiLevelType w:val="hybridMultilevel"/>
    <w:tmpl w:val="68B4459E"/>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7" w15:restartNumberingAfterBreak="0">
    <w:nsid w:val="7DB56452"/>
    <w:multiLevelType w:val="hybridMultilevel"/>
    <w:tmpl w:val="68B4459E"/>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8" w15:restartNumberingAfterBreak="0">
    <w:nsid w:val="7DB56453"/>
    <w:multiLevelType w:val="multilevel"/>
    <w:tmpl w:val="392836FC"/>
    <w:lvl w:ilvl="0">
      <w:start w:val="1"/>
      <w:numFmt w:val="decimal"/>
      <w:pStyle w:val="Schedule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color w:val="000000"/>
        <w:sz w:val="20"/>
      </w:rPr>
    </w:lvl>
    <w:lvl w:ilvl="2">
      <w:start w:val="1"/>
      <w:numFmt w:val="lowerLetter"/>
      <w:pStyle w:val="Untitledsubclause2"/>
      <w:lvlText w:val="(%3)"/>
      <w:lvlJc w:val="left"/>
      <w:pPr>
        <w:tabs>
          <w:tab w:val="num" w:pos="1559"/>
        </w:tabs>
        <w:ind w:left="1559" w:hanging="567"/>
      </w:pPr>
      <w:rPr>
        <w:b w:val="0"/>
        <w:i w:val="0"/>
        <w:color w:val="000000"/>
        <w:sz w:val="20"/>
      </w:rPr>
    </w:lvl>
    <w:lvl w:ilvl="3">
      <w:start w:val="1"/>
      <w:numFmt w:val="lowerRoman"/>
      <w:pStyle w:val="Untitledsubclause3"/>
      <w:lvlText w:val="(%4)"/>
      <w:lvlJc w:val="left"/>
      <w:pPr>
        <w:tabs>
          <w:tab w:val="num" w:pos="2421"/>
        </w:tabs>
        <w:ind w:left="2268" w:hanging="567"/>
      </w:pPr>
      <w:rPr>
        <w:b w:val="0"/>
        <w:i w:val="0"/>
        <w:color w:val="00000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num w:numId="1">
    <w:abstractNumId w:val="30"/>
  </w:num>
  <w:num w:numId="2">
    <w:abstractNumId w:val="31"/>
  </w:num>
  <w:num w:numId="3">
    <w:abstractNumId w:val="17"/>
  </w:num>
  <w:num w:numId="4">
    <w:abstractNumId w:val="34"/>
  </w:num>
  <w:num w:numId="5">
    <w:abstractNumId w:val="32"/>
  </w:num>
  <w:num w:numId="6">
    <w:abstractNumId w:val="12"/>
  </w:num>
  <w:num w:numId="7">
    <w:abstractNumId w:val="19"/>
  </w:num>
  <w:num w:numId="8">
    <w:abstractNumId w:val="33"/>
  </w:num>
  <w:num w:numId="9">
    <w:abstractNumId w:val="18"/>
  </w:num>
  <w:num w:numId="10">
    <w:abstractNumId w:val="15"/>
  </w:num>
  <w:num w:numId="11">
    <w:abstractNumId w:val="26"/>
  </w:num>
  <w:num w:numId="12">
    <w:abstractNumId w:val="11"/>
  </w:num>
  <w:num w:numId="13">
    <w:abstractNumId w:val="14"/>
  </w:num>
  <w:num w:numId="14">
    <w:abstractNumId w:val="13"/>
  </w:num>
  <w:num w:numId="15">
    <w:abstractNumId w:val="25"/>
  </w:num>
  <w:num w:numId="16">
    <w:abstractNumId w:val="28"/>
  </w:num>
  <w:num w:numId="17">
    <w:abstractNumId w:val="20"/>
  </w:num>
  <w:num w:numId="18">
    <w:abstractNumId w:val="24"/>
  </w:num>
  <w:num w:numId="19">
    <w:abstractNumId w:val="22"/>
  </w:num>
  <w:num w:numId="20">
    <w:abstractNumId w:val="23"/>
  </w:num>
  <w:num w:numId="21">
    <w:abstractNumId w:val="21"/>
  </w:num>
  <w:num w:numId="22">
    <w:abstractNumId w:val="16"/>
  </w:num>
  <w:num w:numId="23">
    <w:abstractNumId w:val="29"/>
  </w:num>
  <w:num w:numId="24">
    <w:abstractNumId w:val="10"/>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36"/>
  </w:num>
  <w:num w:numId="39">
    <w:abstractNumId w:val="37"/>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deed&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CDE56D51-8F7F-4FB5-9494-2FAF6F14EDA7}"/>
  </w:docVars>
  <w:rsids>
    <w:rsidRoot w:val="00C442DC"/>
    <w:rsid w:val="00085023"/>
    <w:rsid w:val="000C2EDD"/>
    <w:rsid w:val="000F18C1"/>
    <w:rsid w:val="000F75E8"/>
    <w:rsid w:val="000F79A2"/>
    <w:rsid w:val="001502B6"/>
    <w:rsid w:val="001770C4"/>
    <w:rsid w:val="00280220"/>
    <w:rsid w:val="002D226A"/>
    <w:rsid w:val="002E3232"/>
    <w:rsid w:val="003670CE"/>
    <w:rsid w:val="003C18A9"/>
    <w:rsid w:val="003E44FF"/>
    <w:rsid w:val="00461B91"/>
    <w:rsid w:val="004963E1"/>
    <w:rsid w:val="004A4F8E"/>
    <w:rsid w:val="00535B8F"/>
    <w:rsid w:val="00590D4E"/>
    <w:rsid w:val="00780A94"/>
    <w:rsid w:val="007979A2"/>
    <w:rsid w:val="00A343C5"/>
    <w:rsid w:val="00B07D41"/>
    <w:rsid w:val="00C442DC"/>
    <w:rsid w:val="00D22EAE"/>
    <w:rsid w:val="00D86967"/>
    <w:rsid w:val="00D94E9E"/>
    <w:rsid w:val="00E4453F"/>
    <w:rsid w:val="00E813B7"/>
    <w:rsid w:val="00ED5DFE"/>
    <w:rsid w:val="00F37665"/>
    <w:rsid w:val="00FB3C0C"/>
  </w:rsids>
  <m:mathPr>
    <m:mathFont m:val="Cambria Math"/>
    <m:brkBin m:val="before"/>
    <m:brkBinSub m:val="--"/>
    <m:smallFrac m:val="0"/>
    <m:dispDef/>
    <m:lMargin m:val="0"/>
    <m:rMargin m:val="0"/>
    <m:defJc m:val="centerGroup"/>
    <m:wrapRight/>
    <m:intLim m:val="subSup"/>
    <m:naryLim m:val="undOvr"/>
  </m:mathPr>
  <w:attachedSchema w:val="ActionsPane3"/>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A6A"/>
    <w:pPr>
      <w:spacing w:after="200" w:line="240" w:lineRule="atLeast"/>
    </w:pPr>
    <w:rPr>
      <w:color w:val="000000"/>
      <w:sz w:val="22"/>
      <w:szCs w:val="22"/>
    </w:rPr>
  </w:style>
  <w:style w:type="paragraph" w:styleId="Heading1">
    <w:name w:val="heading 1"/>
    <w:basedOn w:val="Normal"/>
    <w:next w:val="Normal"/>
    <w:link w:val="Heading1Char"/>
    <w:uiPriority w:val="9"/>
    <w:qFormat/>
    <w:rsid w:val="00A66A6A"/>
    <w:pPr>
      <w:keepNext/>
      <w:keepLines/>
      <w:numPr>
        <w:numId w:val="11"/>
      </w:numPr>
      <w:spacing w:before="480" w:after="0"/>
      <w:outlineLvl w:val="0"/>
    </w:pPr>
    <w:rPr>
      <w:rFonts w:ascii="Cambria" w:hAnsi="Cambria"/>
      <w:b/>
      <w:bCs/>
      <w:sz w:val="28"/>
      <w:szCs w:val="28"/>
    </w:rPr>
  </w:style>
  <w:style w:type="paragraph" w:styleId="Heading2">
    <w:name w:val="heading 2"/>
    <w:basedOn w:val="Normal"/>
    <w:next w:val="Normal"/>
    <w:link w:val="Heading2Char"/>
    <w:uiPriority w:val="9"/>
    <w:qFormat/>
    <w:rsid w:val="00A66A6A"/>
    <w:pPr>
      <w:keepNext/>
      <w:keepLines/>
      <w:numPr>
        <w:ilvl w:val="1"/>
        <w:numId w:val="1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A66A6A"/>
    <w:pPr>
      <w:keepNext/>
      <w:keepLines/>
      <w:numPr>
        <w:ilvl w:val="2"/>
        <w:numId w:val="11"/>
      </w:numPr>
      <w:spacing w:before="200" w:after="0"/>
      <w:outlineLvl w:val="2"/>
    </w:pPr>
    <w:rPr>
      <w:rFonts w:ascii="Cambria" w:hAnsi="Cambria"/>
      <w:b/>
      <w:bCs/>
    </w:rPr>
  </w:style>
  <w:style w:type="paragraph" w:styleId="Heading4">
    <w:name w:val="heading 4"/>
    <w:basedOn w:val="Normal"/>
    <w:next w:val="Normal"/>
    <w:link w:val="Heading4Char"/>
    <w:uiPriority w:val="9"/>
    <w:qFormat/>
    <w:rsid w:val="00A66A6A"/>
    <w:pPr>
      <w:keepNext/>
      <w:keepLines/>
      <w:numPr>
        <w:ilvl w:val="3"/>
        <w:numId w:val="11"/>
      </w:num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A66A6A"/>
    <w:pPr>
      <w:keepNext/>
      <w:keepLines/>
      <w:numPr>
        <w:ilvl w:val="4"/>
        <w:numId w:val="11"/>
      </w:numPr>
      <w:spacing w:before="200" w:after="0"/>
      <w:outlineLvl w:val="4"/>
    </w:pPr>
    <w:rPr>
      <w:rFonts w:ascii="Cambria" w:hAnsi="Cambria"/>
    </w:rPr>
  </w:style>
  <w:style w:type="paragraph" w:styleId="Heading6">
    <w:name w:val="heading 6"/>
    <w:basedOn w:val="Normal"/>
    <w:next w:val="Normal"/>
    <w:link w:val="Heading6Char"/>
    <w:uiPriority w:val="9"/>
    <w:qFormat/>
    <w:rsid w:val="00A66A6A"/>
    <w:pPr>
      <w:keepNext/>
      <w:keepLines/>
      <w:numPr>
        <w:ilvl w:val="5"/>
        <w:numId w:val="11"/>
      </w:numPr>
      <w:spacing w:before="200" w:after="0"/>
      <w:outlineLvl w:val="5"/>
    </w:pPr>
    <w:rPr>
      <w:rFonts w:ascii="Cambria" w:hAnsi="Cambria"/>
      <w:i/>
      <w:iCs/>
    </w:rPr>
  </w:style>
  <w:style w:type="paragraph" w:styleId="Heading7">
    <w:name w:val="heading 7"/>
    <w:basedOn w:val="Normal"/>
    <w:next w:val="Normal"/>
    <w:link w:val="Heading7Char"/>
    <w:uiPriority w:val="9"/>
    <w:qFormat/>
    <w:rsid w:val="00A66A6A"/>
    <w:pPr>
      <w:keepNext/>
      <w:keepLines/>
      <w:numPr>
        <w:ilvl w:val="6"/>
        <w:numId w:val="11"/>
      </w:numPr>
      <w:spacing w:before="200" w:after="0"/>
      <w:outlineLvl w:val="6"/>
    </w:pPr>
    <w:rPr>
      <w:rFonts w:ascii="Cambria" w:hAnsi="Cambria"/>
      <w:i/>
      <w:iCs/>
    </w:rPr>
  </w:style>
  <w:style w:type="paragraph" w:styleId="Heading8">
    <w:name w:val="heading 8"/>
    <w:basedOn w:val="Normal"/>
    <w:next w:val="Normal"/>
    <w:link w:val="Heading8Char"/>
    <w:uiPriority w:val="9"/>
    <w:qFormat/>
    <w:rsid w:val="00A66A6A"/>
    <w:pPr>
      <w:keepNext/>
      <w:keepLines/>
      <w:numPr>
        <w:ilvl w:val="7"/>
        <w:numId w:val="11"/>
      </w:numPr>
      <w:spacing w:before="200" w:after="0"/>
      <w:outlineLvl w:val="7"/>
    </w:pPr>
    <w:rPr>
      <w:rFonts w:ascii="Cambria" w:hAnsi="Cambria"/>
      <w:sz w:val="20"/>
      <w:szCs w:val="20"/>
    </w:rPr>
  </w:style>
  <w:style w:type="paragraph" w:styleId="Heading9">
    <w:name w:val="heading 9"/>
    <w:basedOn w:val="Normal"/>
    <w:next w:val="Normal"/>
    <w:link w:val="Heading9Char"/>
    <w:uiPriority w:val="9"/>
    <w:qFormat/>
    <w:rsid w:val="00A66A6A"/>
    <w:pPr>
      <w:keepNext/>
      <w:keepLines/>
      <w:numPr>
        <w:ilvl w:val="8"/>
        <w:numId w:val="11"/>
      </w:numPr>
      <w:spacing w:before="200" w:after="0"/>
      <w:outlineLvl w:val="8"/>
    </w:pPr>
    <w:rPr>
      <w:rFonts w:ascii="Cambria" w:hAnsi="Cambria"/>
      <w:i/>
      <w:iCs/>
      <w:sz w:val="20"/>
      <w:szCs w:val="20"/>
    </w:rPr>
  </w:style>
  <w:style w:type="character" w:default="1" w:styleId="DefaultParagraphFont">
    <w:name w:val="Default Paragraph Font"/>
    <w:uiPriority w:val="1"/>
    <w:semiHidden/>
    <w:unhideWhenUsed/>
    <w:rsid w:val="00A66A6A"/>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A66A6A"/>
  </w:style>
  <w:style w:type="paragraph" w:customStyle="1" w:styleId="Abstract">
    <w:name w:val="Abstract"/>
    <w:link w:val="AbstractChar"/>
    <w:rsid w:val="00A66A6A"/>
    <w:pPr>
      <w:spacing w:after="120"/>
    </w:pPr>
    <w:rPr>
      <w:rFonts w:ascii="Arial" w:hAnsi="Arial"/>
      <w:color w:val="000000"/>
      <w:sz w:val="24"/>
      <w:szCs w:val="24"/>
      <w:lang w:val="en-US" w:eastAsia="en-US"/>
    </w:rPr>
  </w:style>
  <w:style w:type="character" w:customStyle="1" w:styleId="AbstractChar">
    <w:name w:val="Abstract Char"/>
    <w:link w:val="Abstract"/>
    <w:rsid w:val="00A66A6A"/>
    <w:rPr>
      <w:rFonts w:ascii="Arial" w:eastAsia="Times New Roman" w:hAnsi="Arial" w:cs="Times New Roman"/>
      <w:color w:val="000000"/>
      <w:sz w:val="24"/>
      <w:szCs w:val="24"/>
      <w:lang w:val="en-US" w:eastAsia="en-US"/>
    </w:rPr>
  </w:style>
  <w:style w:type="paragraph" w:customStyle="1" w:styleId="Annex">
    <w:name w:val="Annex"/>
    <w:basedOn w:val="Paragraph"/>
    <w:next w:val="Paragraph"/>
    <w:qFormat/>
    <w:rsid w:val="00A66A6A"/>
    <w:pPr>
      <w:numPr>
        <w:numId w:val="13"/>
      </w:numPr>
      <w:spacing w:before="240" w:after="240"/>
      <w:ind w:left="0" w:firstLine="0"/>
    </w:pPr>
    <w:rPr>
      <w:b/>
    </w:rPr>
  </w:style>
  <w:style w:type="paragraph" w:customStyle="1" w:styleId="AuthoringGroup">
    <w:name w:val="Authoring Group"/>
    <w:link w:val="AuthoringGroupChar"/>
    <w:rsid w:val="00A66A6A"/>
    <w:pPr>
      <w:spacing w:after="120"/>
    </w:pPr>
    <w:rPr>
      <w:rFonts w:ascii="Arial" w:hAnsi="Arial"/>
      <w:color w:val="000000"/>
      <w:sz w:val="24"/>
      <w:szCs w:val="22"/>
      <w:lang w:val="en-US" w:eastAsia="en-US"/>
    </w:rPr>
  </w:style>
  <w:style w:type="character" w:customStyle="1" w:styleId="AuthoringGroupChar">
    <w:name w:val="Authoring Group Char"/>
    <w:link w:val="AuthoringGroup"/>
    <w:rsid w:val="00A66A6A"/>
    <w:rPr>
      <w:rFonts w:ascii="Arial" w:eastAsia="Times New Roman" w:hAnsi="Arial" w:cs="Times New Roman"/>
      <w:color w:val="000000"/>
      <w:sz w:val="24"/>
      <w:lang w:val="en-US" w:eastAsia="en-US"/>
    </w:rPr>
  </w:style>
  <w:style w:type="paragraph" w:customStyle="1" w:styleId="Background">
    <w:name w:val="Background"/>
    <w:aliases w:val="(A) Background"/>
    <w:basedOn w:val="Normal"/>
    <w:rsid w:val="00A66A6A"/>
    <w:pPr>
      <w:numPr>
        <w:numId w:val="1"/>
      </w:numPr>
      <w:spacing w:before="120" w:after="120" w:line="300" w:lineRule="atLeast"/>
      <w:jc w:val="both"/>
    </w:pPr>
    <w:rPr>
      <w:rFonts w:ascii="Arial" w:hAnsi="Arial"/>
      <w:szCs w:val="20"/>
      <w:lang w:eastAsia="en-US"/>
    </w:rPr>
  </w:style>
  <w:style w:type="paragraph" w:customStyle="1" w:styleId="BulletList1">
    <w:name w:val="Bullet List 1"/>
    <w:aliases w:val="Bullet1"/>
    <w:basedOn w:val="Normal"/>
    <w:rsid w:val="00A66A6A"/>
    <w:pPr>
      <w:numPr>
        <w:numId w:val="2"/>
      </w:numPr>
      <w:spacing w:after="240" w:line="300" w:lineRule="atLeast"/>
      <w:jc w:val="both"/>
    </w:pPr>
    <w:rPr>
      <w:rFonts w:ascii="Arial" w:hAnsi="Arial"/>
      <w:szCs w:val="20"/>
      <w:lang w:eastAsia="en-US"/>
    </w:rPr>
  </w:style>
  <w:style w:type="paragraph" w:customStyle="1" w:styleId="BulletList2">
    <w:name w:val="Bullet List 2"/>
    <w:aliases w:val="Bullet2"/>
    <w:basedOn w:val="Normal"/>
    <w:rsid w:val="00A66A6A"/>
    <w:pPr>
      <w:numPr>
        <w:numId w:val="3"/>
      </w:numPr>
      <w:spacing w:after="120" w:line="240" w:lineRule="auto"/>
      <w:ind w:left="1080" w:hanging="720"/>
      <w:jc w:val="both"/>
    </w:pPr>
    <w:rPr>
      <w:rFonts w:ascii="Arial" w:hAnsi="Arial"/>
      <w:szCs w:val="20"/>
      <w:lang w:eastAsia="en-US"/>
    </w:rPr>
  </w:style>
  <w:style w:type="paragraph" w:customStyle="1" w:styleId="BulletList3">
    <w:name w:val="Bullet List 3"/>
    <w:aliases w:val="Bullet3"/>
    <w:basedOn w:val="Normal"/>
    <w:rsid w:val="00A66A6A"/>
    <w:pPr>
      <w:numPr>
        <w:numId w:val="4"/>
      </w:numPr>
      <w:spacing w:after="240" w:line="240" w:lineRule="auto"/>
      <w:jc w:val="both"/>
    </w:pPr>
    <w:rPr>
      <w:rFonts w:ascii="Arial" w:hAnsi="Arial"/>
      <w:szCs w:val="20"/>
      <w:lang w:eastAsia="en-US"/>
    </w:rPr>
  </w:style>
  <w:style w:type="paragraph" w:customStyle="1" w:styleId="TitleClause">
    <w:name w:val="Title Clause"/>
    <w:basedOn w:val="Normal"/>
    <w:rsid w:val="00A66A6A"/>
    <w:pPr>
      <w:keepNext/>
      <w:numPr>
        <w:numId w:val="36"/>
      </w:numPr>
      <w:spacing w:before="240" w:after="240" w:line="300" w:lineRule="atLeast"/>
      <w:jc w:val="both"/>
      <w:outlineLvl w:val="0"/>
    </w:pPr>
    <w:rPr>
      <w:rFonts w:ascii="Arial" w:hAnsi="Arial"/>
      <w:b/>
      <w:kern w:val="28"/>
      <w:szCs w:val="20"/>
      <w:lang w:eastAsia="en-US"/>
    </w:rPr>
  </w:style>
  <w:style w:type="paragraph" w:customStyle="1" w:styleId="ClauseNoTitle">
    <w:name w:val="Clause No Title"/>
    <w:basedOn w:val="TitleClause"/>
    <w:rsid w:val="00A66A6A"/>
    <w:pPr>
      <w:numPr>
        <w:numId w:val="0"/>
      </w:numPr>
    </w:pPr>
    <w:rPr>
      <w:b w:val="0"/>
      <w:smallCaps/>
    </w:rPr>
  </w:style>
  <w:style w:type="paragraph" w:customStyle="1" w:styleId="ClosingPara">
    <w:name w:val="Closing Para"/>
    <w:basedOn w:val="Normal"/>
    <w:rsid w:val="00A66A6A"/>
    <w:pPr>
      <w:spacing w:before="120" w:after="240" w:line="300" w:lineRule="atLeast"/>
      <w:jc w:val="both"/>
    </w:pPr>
    <w:rPr>
      <w:rFonts w:ascii="Arial" w:hAnsi="Times New Roman"/>
      <w:szCs w:val="20"/>
      <w:lang w:eastAsia="en-US"/>
    </w:rPr>
  </w:style>
  <w:style w:type="paragraph" w:customStyle="1" w:styleId="ClosingSignOff">
    <w:name w:val="Closing SignOff"/>
    <w:basedOn w:val="Normal"/>
    <w:rsid w:val="00A66A6A"/>
    <w:pPr>
      <w:spacing w:after="120" w:line="300" w:lineRule="atLeast"/>
      <w:jc w:val="both"/>
    </w:pPr>
    <w:rPr>
      <w:rFonts w:ascii="Arial" w:hAnsi="Times New Roman"/>
      <w:szCs w:val="20"/>
      <w:lang w:eastAsia="en-US"/>
    </w:rPr>
  </w:style>
  <w:style w:type="paragraph" w:customStyle="1" w:styleId="CoversheetTitle">
    <w:name w:val="Coversheet Title"/>
    <w:basedOn w:val="Normal"/>
    <w:autoRedefine/>
    <w:rsid w:val="00A66A6A"/>
    <w:pPr>
      <w:spacing w:before="480" w:after="480" w:line="300" w:lineRule="atLeast"/>
      <w:jc w:val="center"/>
    </w:pPr>
    <w:rPr>
      <w:rFonts w:ascii="Arial" w:hAnsi="Arial"/>
      <w:b/>
      <w:smallCaps/>
      <w:sz w:val="28"/>
      <w:szCs w:val="20"/>
      <w:lang w:eastAsia="en-US"/>
    </w:rPr>
  </w:style>
  <w:style w:type="paragraph" w:customStyle="1" w:styleId="CoverSheetHeading">
    <w:name w:val="Cover Sheet Heading"/>
    <w:aliases w:val="Coversheet Title2"/>
    <w:basedOn w:val="CoversheetTitle"/>
    <w:rsid w:val="00A66A6A"/>
  </w:style>
  <w:style w:type="paragraph" w:customStyle="1" w:styleId="CoverSheetSubjectText">
    <w:name w:val="Cover Sheet Subject Text"/>
    <w:basedOn w:val="Normal"/>
    <w:rsid w:val="00A66A6A"/>
    <w:pPr>
      <w:spacing w:after="0" w:line="300" w:lineRule="atLeast"/>
      <w:jc w:val="center"/>
    </w:pPr>
    <w:rPr>
      <w:rFonts w:ascii="Arial" w:hAnsi="Arial"/>
      <w:szCs w:val="20"/>
      <w:lang w:eastAsia="en-US"/>
    </w:rPr>
  </w:style>
  <w:style w:type="paragraph" w:customStyle="1" w:styleId="CoverSheetSubjectTitle">
    <w:name w:val="Cover Sheet Subject Title"/>
    <w:basedOn w:val="Normal"/>
    <w:rsid w:val="00A66A6A"/>
    <w:pPr>
      <w:spacing w:after="0" w:line="300" w:lineRule="atLeast"/>
      <w:jc w:val="center"/>
    </w:pPr>
    <w:rPr>
      <w:rFonts w:ascii="Arial" w:hAnsi="Arial"/>
      <w:szCs w:val="20"/>
      <w:lang w:eastAsia="en-US"/>
    </w:rPr>
  </w:style>
  <w:style w:type="paragraph" w:customStyle="1" w:styleId="DefinedTermPara">
    <w:name w:val="Defined Term Para"/>
    <w:basedOn w:val="Paragraph"/>
    <w:qFormat/>
    <w:rsid w:val="00A66A6A"/>
    <w:pPr>
      <w:ind w:left="720"/>
    </w:pPr>
  </w:style>
  <w:style w:type="paragraph" w:customStyle="1" w:styleId="DescriptiveHeading">
    <w:name w:val="DescriptiveHeading"/>
    <w:next w:val="Paragraph"/>
    <w:link w:val="DescriptiveHeadingChar"/>
    <w:rsid w:val="00A66A6A"/>
    <w:pPr>
      <w:spacing w:before="360" w:after="360"/>
      <w:outlineLvl w:val="0"/>
    </w:pPr>
    <w:rPr>
      <w:rFonts w:ascii="Arial" w:hAnsi="Arial"/>
      <w:b/>
      <w:color w:val="000000"/>
      <w:sz w:val="22"/>
      <w:szCs w:val="22"/>
      <w:lang w:val="en-US" w:eastAsia="en-US"/>
    </w:rPr>
  </w:style>
  <w:style w:type="character" w:customStyle="1" w:styleId="DescriptiveHeadingChar">
    <w:name w:val="DescriptiveHeading Char"/>
    <w:link w:val="DescriptiveHeading"/>
    <w:rsid w:val="00A66A6A"/>
    <w:rPr>
      <w:rFonts w:ascii="Arial" w:eastAsia="Times New Roman" w:hAnsi="Arial" w:cs="Times New Roman"/>
      <w:b/>
      <w:color w:val="000000"/>
      <w:lang w:val="en-US" w:eastAsia="en-US"/>
    </w:rPr>
  </w:style>
  <w:style w:type="paragraph" w:customStyle="1" w:styleId="DraftingnoteSection1Para">
    <w:name w:val="Draftingnote Section1 Para"/>
    <w:basedOn w:val="Normal"/>
    <w:rsid w:val="00A66A6A"/>
    <w:pPr>
      <w:spacing w:after="120" w:line="300" w:lineRule="atLeast"/>
      <w:jc w:val="both"/>
    </w:pPr>
    <w:rPr>
      <w:rFonts w:ascii="Arial" w:hAnsi="Times New Roman"/>
      <w:szCs w:val="20"/>
      <w:lang w:eastAsia="en-US"/>
    </w:rPr>
  </w:style>
  <w:style w:type="paragraph" w:customStyle="1" w:styleId="DraftingnoteSection1Title">
    <w:name w:val="Draftingnote Section1 Title"/>
    <w:basedOn w:val="Normal"/>
    <w:rsid w:val="00A66A6A"/>
    <w:pPr>
      <w:spacing w:after="120" w:line="300" w:lineRule="atLeast"/>
      <w:jc w:val="both"/>
    </w:pPr>
    <w:rPr>
      <w:rFonts w:ascii="Arial" w:hAnsi="Times New Roman"/>
      <w:b/>
      <w:sz w:val="36"/>
      <w:szCs w:val="20"/>
      <w:lang w:eastAsia="en-US"/>
    </w:rPr>
  </w:style>
  <w:style w:type="paragraph" w:customStyle="1" w:styleId="DraftingnoteSection2Para">
    <w:name w:val="Draftingnote Section2 Para"/>
    <w:basedOn w:val="Normal"/>
    <w:rsid w:val="00A66A6A"/>
    <w:pPr>
      <w:spacing w:after="120" w:line="300" w:lineRule="atLeast"/>
      <w:jc w:val="both"/>
    </w:pPr>
    <w:rPr>
      <w:rFonts w:ascii="Arial" w:hAnsi="Times New Roman"/>
      <w:szCs w:val="20"/>
      <w:lang w:eastAsia="en-US"/>
    </w:rPr>
  </w:style>
  <w:style w:type="paragraph" w:customStyle="1" w:styleId="DraftingnoteSection2Title">
    <w:name w:val="Draftingnote Section2 Title"/>
    <w:basedOn w:val="Normal"/>
    <w:rsid w:val="00A66A6A"/>
    <w:pPr>
      <w:spacing w:after="120" w:line="300" w:lineRule="atLeast"/>
      <w:jc w:val="both"/>
    </w:pPr>
    <w:rPr>
      <w:rFonts w:ascii="Arial" w:hAnsi="Times New Roman"/>
      <w:b/>
      <w:sz w:val="28"/>
      <w:szCs w:val="20"/>
      <w:lang w:eastAsia="en-US"/>
    </w:rPr>
  </w:style>
  <w:style w:type="paragraph" w:customStyle="1" w:styleId="DraftingnoteSection3Para">
    <w:name w:val="Draftingnote Section3 Para"/>
    <w:basedOn w:val="Normal"/>
    <w:rsid w:val="00A66A6A"/>
    <w:pPr>
      <w:spacing w:after="120" w:line="300" w:lineRule="atLeast"/>
      <w:jc w:val="both"/>
    </w:pPr>
    <w:rPr>
      <w:rFonts w:ascii="Arial" w:hAnsi="Times New Roman"/>
      <w:szCs w:val="20"/>
      <w:lang w:eastAsia="en-US"/>
    </w:rPr>
  </w:style>
  <w:style w:type="paragraph" w:customStyle="1" w:styleId="DraftingnoteSection3Title">
    <w:name w:val="Draftingnote Section3 Title"/>
    <w:basedOn w:val="Normal"/>
    <w:rsid w:val="00A66A6A"/>
    <w:pPr>
      <w:spacing w:after="120" w:line="300" w:lineRule="atLeast"/>
      <w:jc w:val="both"/>
    </w:pPr>
    <w:rPr>
      <w:rFonts w:ascii="Arial" w:hAnsi="Times New Roman"/>
      <w:b/>
      <w:i/>
      <w:sz w:val="28"/>
      <w:szCs w:val="20"/>
      <w:lang w:eastAsia="en-US"/>
    </w:rPr>
  </w:style>
  <w:style w:type="paragraph" w:customStyle="1" w:styleId="DraftingnoteSection4Para">
    <w:name w:val="Draftingnote Section4 Para"/>
    <w:basedOn w:val="Normal"/>
    <w:rsid w:val="00A66A6A"/>
    <w:pPr>
      <w:spacing w:after="120" w:line="300" w:lineRule="atLeast"/>
      <w:jc w:val="both"/>
    </w:pPr>
    <w:rPr>
      <w:rFonts w:ascii="Arial" w:hAnsi="Times New Roman"/>
      <w:szCs w:val="20"/>
      <w:lang w:eastAsia="en-US"/>
    </w:rPr>
  </w:style>
  <w:style w:type="paragraph" w:customStyle="1" w:styleId="DraftingnoteSection4Title">
    <w:name w:val="Draftingnote Section4 Title"/>
    <w:basedOn w:val="Normal"/>
    <w:rsid w:val="00A66A6A"/>
    <w:pPr>
      <w:spacing w:after="120" w:line="300" w:lineRule="atLeast"/>
      <w:jc w:val="both"/>
    </w:pPr>
    <w:rPr>
      <w:rFonts w:ascii="Arial" w:hAnsi="Times New Roman"/>
      <w:b/>
      <w:i/>
      <w:sz w:val="28"/>
      <w:szCs w:val="20"/>
      <w:lang w:eastAsia="en-US"/>
    </w:rPr>
  </w:style>
  <w:style w:type="paragraph" w:customStyle="1" w:styleId="DraftingnoteTitle">
    <w:name w:val="Draftingnote Title"/>
    <w:basedOn w:val="Normal"/>
    <w:rsid w:val="00A66A6A"/>
    <w:pPr>
      <w:spacing w:after="120" w:line="300" w:lineRule="atLeast"/>
      <w:jc w:val="both"/>
    </w:pPr>
    <w:rPr>
      <w:rFonts w:ascii="Arial" w:hAnsi="Arial"/>
      <w:b/>
      <w:sz w:val="28"/>
      <w:szCs w:val="20"/>
      <w:lang w:eastAsia="en-US"/>
    </w:rPr>
  </w:style>
  <w:style w:type="paragraph" w:customStyle="1" w:styleId="FulltextBridgehead">
    <w:name w:val="Fulltext Bridgehead"/>
    <w:basedOn w:val="Normal"/>
    <w:rsid w:val="00A66A6A"/>
    <w:pPr>
      <w:spacing w:after="120" w:line="300" w:lineRule="atLeast"/>
      <w:jc w:val="both"/>
    </w:pPr>
    <w:rPr>
      <w:rFonts w:ascii="Arial" w:hAnsi="Times New Roman"/>
      <w:b/>
      <w:sz w:val="48"/>
      <w:szCs w:val="20"/>
      <w:lang w:eastAsia="en-US"/>
    </w:rPr>
  </w:style>
  <w:style w:type="paragraph" w:customStyle="1" w:styleId="FulltextSection1Para">
    <w:name w:val="Fulltext Section1 Para"/>
    <w:basedOn w:val="Normal"/>
    <w:rsid w:val="00A66A6A"/>
    <w:pPr>
      <w:spacing w:after="120" w:line="300" w:lineRule="atLeast"/>
      <w:jc w:val="both"/>
    </w:pPr>
    <w:rPr>
      <w:rFonts w:ascii="Arial" w:hAnsi="Times New Roman"/>
      <w:szCs w:val="20"/>
      <w:lang w:eastAsia="en-US"/>
    </w:rPr>
  </w:style>
  <w:style w:type="paragraph" w:customStyle="1" w:styleId="FulltextSection1Title">
    <w:name w:val="Fulltext Section1 Title"/>
    <w:basedOn w:val="Normal"/>
    <w:rsid w:val="00A66A6A"/>
    <w:pPr>
      <w:spacing w:after="120" w:line="300" w:lineRule="atLeast"/>
      <w:jc w:val="both"/>
    </w:pPr>
    <w:rPr>
      <w:rFonts w:ascii="Arial" w:hAnsi="Times New Roman"/>
      <w:b/>
      <w:sz w:val="36"/>
      <w:szCs w:val="20"/>
      <w:lang w:eastAsia="en-US"/>
    </w:rPr>
  </w:style>
  <w:style w:type="paragraph" w:customStyle="1" w:styleId="FulltextSection2Para">
    <w:name w:val="Fulltext Section2 Para"/>
    <w:basedOn w:val="Normal"/>
    <w:rsid w:val="00A66A6A"/>
    <w:pPr>
      <w:spacing w:after="120" w:line="300" w:lineRule="atLeast"/>
      <w:jc w:val="both"/>
    </w:pPr>
    <w:rPr>
      <w:rFonts w:ascii="Arial" w:hAnsi="Times New Roman"/>
      <w:szCs w:val="20"/>
      <w:lang w:eastAsia="en-US"/>
    </w:rPr>
  </w:style>
  <w:style w:type="paragraph" w:customStyle="1" w:styleId="FulltextSection2Title">
    <w:name w:val="Fulltext Section2 Title"/>
    <w:basedOn w:val="Normal"/>
    <w:rsid w:val="00A66A6A"/>
    <w:pPr>
      <w:spacing w:after="120" w:line="300" w:lineRule="atLeast"/>
      <w:jc w:val="both"/>
    </w:pPr>
    <w:rPr>
      <w:rFonts w:ascii="Arial" w:hAnsi="Times New Roman"/>
      <w:b/>
      <w:sz w:val="28"/>
      <w:szCs w:val="20"/>
      <w:lang w:eastAsia="en-US"/>
    </w:rPr>
  </w:style>
  <w:style w:type="paragraph" w:customStyle="1" w:styleId="FulltextSection3Para">
    <w:name w:val="Fulltext Section3 Para"/>
    <w:basedOn w:val="Normal"/>
    <w:rsid w:val="00A66A6A"/>
    <w:pPr>
      <w:spacing w:after="120" w:line="300" w:lineRule="atLeast"/>
      <w:jc w:val="both"/>
    </w:pPr>
    <w:rPr>
      <w:rFonts w:ascii="Arial" w:hAnsi="Times New Roman"/>
      <w:szCs w:val="20"/>
      <w:lang w:eastAsia="en-US"/>
    </w:rPr>
  </w:style>
  <w:style w:type="paragraph" w:customStyle="1" w:styleId="FulltextSection3Title">
    <w:name w:val="Fulltext Section3 Title"/>
    <w:basedOn w:val="Normal"/>
    <w:rsid w:val="00A66A6A"/>
    <w:pPr>
      <w:spacing w:after="120" w:line="300" w:lineRule="atLeast"/>
      <w:jc w:val="both"/>
    </w:pPr>
    <w:rPr>
      <w:rFonts w:ascii="Arial" w:hAnsi="Times New Roman"/>
      <w:b/>
      <w:i/>
      <w:sz w:val="28"/>
      <w:szCs w:val="20"/>
      <w:lang w:eastAsia="en-US"/>
    </w:rPr>
  </w:style>
  <w:style w:type="paragraph" w:customStyle="1" w:styleId="FulltextSection4Para">
    <w:name w:val="Fulltext Section4 Para"/>
    <w:basedOn w:val="Normal"/>
    <w:rsid w:val="00A66A6A"/>
    <w:pPr>
      <w:spacing w:after="120" w:line="300" w:lineRule="atLeast"/>
      <w:jc w:val="both"/>
    </w:pPr>
    <w:rPr>
      <w:rFonts w:ascii="Arial" w:hAnsi="Times New Roman"/>
      <w:szCs w:val="20"/>
      <w:lang w:eastAsia="en-US"/>
    </w:rPr>
  </w:style>
  <w:style w:type="paragraph" w:customStyle="1" w:styleId="FulltextSection4Title">
    <w:name w:val="Fulltext Section4 Title"/>
    <w:basedOn w:val="Normal"/>
    <w:rsid w:val="00A66A6A"/>
    <w:pPr>
      <w:spacing w:after="120" w:line="300" w:lineRule="atLeast"/>
      <w:jc w:val="both"/>
    </w:pPr>
    <w:rPr>
      <w:rFonts w:ascii="Arial" w:hAnsi="Times New Roman"/>
      <w:b/>
      <w:i/>
      <w:sz w:val="28"/>
      <w:szCs w:val="20"/>
      <w:lang w:eastAsia="en-US"/>
    </w:rPr>
  </w:style>
  <w:style w:type="paragraph" w:customStyle="1" w:styleId="GlossItemGlossdefPara">
    <w:name w:val="GlossItem Glossdef Para"/>
    <w:basedOn w:val="Normal"/>
    <w:rsid w:val="00A66A6A"/>
    <w:pPr>
      <w:spacing w:after="120" w:line="300" w:lineRule="atLeast"/>
      <w:jc w:val="both"/>
    </w:pPr>
    <w:rPr>
      <w:rFonts w:ascii="Arial" w:hAnsi="Times New Roman"/>
      <w:szCs w:val="20"/>
      <w:lang w:eastAsia="en-US"/>
    </w:rPr>
  </w:style>
  <w:style w:type="paragraph" w:customStyle="1" w:styleId="GlossItemGlossterm">
    <w:name w:val="GlossItem Glossterm"/>
    <w:basedOn w:val="Normal"/>
    <w:rsid w:val="00A66A6A"/>
    <w:pPr>
      <w:spacing w:after="120" w:line="300" w:lineRule="atLeast"/>
      <w:jc w:val="both"/>
    </w:pPr>
    <w:rPr>
      <w:rFonts w:ascii="Arial" w:hAnsi="Times New Roman"/>
      <w:b/>
      <w:sz w:val="48"/>
      <w:szCs w:val="20"/>
      <w:lang w:eastAsia="en-US"/>
    </w:rPr>
  </w:style>
  <w:style w:type="paragraph" w:customStyle="1" w:styleId="HeadingAddressLine">
    <w:name w:val="Heading Address Line"/>
    <w:basedOn w:val="Normal"/>
    <w:rsid w:val="00A66A6A"/>
    <w:pPr>
      <w:spacing w:after="120" w:line="300" w:lineRule="atLeast"/>
      <w:jc w:val="both"/>
    </w:pPr>
    <w:rPr>
      <w:rFonts w:ascii="Arial" w:hAnsi="Times New Roman"/>
      <w:szCs w:val="20"/>
      <w:lang w:eastAsia="en-US"/>
    </w:rPr>
  </w:style>
  <w:style w:type="paragraph" w:customStyle="1" w:styleId="HeadingDate">
    <w:name w:val="Heading Date"/>
    <w:basedOn w:val="Normal"/>
    <w:rsid w:val="00A66A6A"/>
    <w:pPr>
      <w:spacing w:after="120" w:line="300" w:lineRule="atLeast"/>
      <w:jc w:val="both"/>
    </w:pPr>
    <w:rPr>
      <w:rFonts w:ascii="Arial" w:hAnsi="Times New Roman"/>
      <w:szCs w:val="20"/>
      <w:lang w:eastAsia="en-US"/>
    </w:rPr>
  </w:style>
  <w:style w:type="paragraph" w:customStyle="1" w:styleId="HeadingLetterheadBasedOnAttribute">
    <w:name w:val="Heading Letterhead Based On Attribute"/>
    <w:basedOn w:val="Normal"/>
    <w:rsid w:val="00A66A6A"/>
    <w:pPr>
      <w:spacing w:after="120" w:line="300" w:lineRule="atLeast"/>
      <w:jc w:val="both"/>
    </w:pPr>
    <w:rPr>
      <w:rFonts w:ascii="Arial" w:hAnsi="Times New Roman"/>
      <w:szCs w:val="20"/>
      <w:lang w:eastAsia="en-US"/>
    </w:rPr>
  </w:style>
  <w:style w:type="paragraph" w:customStyle="1" w:styleId="HeadingSalutation">
    <w:name w:val="Heading Salutation"/>
    <w:basedOn w:val="Normal"/>
    <w:rsid w:val="00A66A6A"/>
    <w:pPr>
      <w:spacing w:after="120" w:line="300" w:lineRule="atLeast"/>
      <w:jc w:val="both"/>
    </w:pPr>
    <w:rPr>
      <w:rFonts w:ascii="Arial" w:hAnsi="Times New Roman"/>
      <w:szCs w:val="20"/>
      <w:lang w:eastAsia="en-US"/>
    </w:rPr>
  </w:style>
  <w:style w:type="paragraph" w:customStyle="1" w:styleId="IgnoredSpacing">
    <w:name w:val="Ignored Spacing"/>
    <w:link w:val="IgnoredSpacingChar"/>
    <w:rsid w:val="00A66A6A"/>
    <w:pPr>
      <w:spacing w:after="120"/>
    </w:pPr>
    <w:rPr>
      <w:rFonts w:ascii="Arial" w:hAnsi="Arial"/>
      <w:color w:val="000000"/>
      <w:sz w:val="24"/>
      <w:szCs w:val="24"/>
      <w:lang w:val="en-US" w:eastAsia="en-US"/>
    </w:rPr>
  </w:style>
  <w:style w:type="character" w:customStyle="1" w:styleId="IgnoredSpacingChar">
    <w:name w:val="Ignored Spacing Char"/>
    <w:link w:val="IgnoredSpacing"/>
    <w:rsid w:val="00A66A6A"/>
    <w:rPr>
      <w:rFonts w:ascii="Arial" w:eastAsia="Times New Roman" w:hAnsi="Arial" w:cs="Times New Roman"/>
      <w:color w:val="000000"/>
      <w:sz w:val="24"/>
      <w:szCs w:val="24"/>
      <w:lang w:val="en-US" w:eastAsia="en-US"/>
    </w:rPr>
  </w:style>
  <w:style w:type="paragraph" w:customStyle="1" w:styleId="InternalAuthor">
    <w:name w:val="Internal Author"/>
    <w:link w:val="InternalAuthorChar"/>
    <w:rsid w:val="00A66A6A"/>
    <w:pPr>
      <w:spacing w:after="120"/>
    </w:pPr>
    <w:rPr>
      <w:rFonts w:ascii="Arial" w:hAnsi="Arial"/>
      <w:color w:val="000000"/>
      <w:sz w:val="24"/>
      <w:szCs w:val="22"/>
      <w:lang w:val="en-US" w:eastAsia="en-US"/>
    </w:rPr>
  </w:style>
  <w:style w:type="character" w:customStyle="1" w:styleId="InternalAuthorChar">
    <w:name w:val="Internal Author Char"/>
    <w:link w:val="InternalAuthor"/>
    <w:rsid w:val="00A66A6A"/>
    <w:rPr>
      <w:rFonts w:ascii="Arial" w:eastAsia="Times New Roman" w:hAnsi="Arial" w:cs="Times New Roman"/>
      <w:color w:val="000000"/>
      <w:sz w:val="24"/>
      <w:lang w:val="en-US" w:eastAsia="en-US"/>
    </w:rPr>
  </w:style>
  <w:style w:type="paragraph" w:customStyle="1" w:styleId="MaintenanceEditor">
    <w:name w:val="Maintenance Editor"/>
    <w:link w:val="MaintenanceEditorChar"/>
    <w:rsid w:val="00A66A6A"/>
    <w:pPr>
      <w:spacing w:after="120"/>
    </w:pPr>
    <w:rPr>
      <w:rFonts w:ascii="Arial" w:hAnsi="Arial"/>
      <w:color w:val="000000"/>
      <w:sz w:val="24"/>
      <w:szCs w:val="22"/>
      <w:lang w:val="en-US" w:eastAsia="en-US"/>
    </w:rPr>
  </w:style>
  <w:style w:type="character" w:customStyle="1" w:styleId="MaintenanceEditorChar">
    <w:name w:val="Maintenance Editor Char"/>
    <w:link w:val="MaintenanceEditor"/>
    <w:rsid w:val="00A66A6A"/>
    <w:rPr>
      <w:rFonts w:ascii="Arial" w:eastAsia="Times New Roman" w:hAnsi="Arial" w:cs="Times New Roman"/>
      <w:color w:val="000000"/>
      <w:sz w:val="24"/>
      <w:lang w:val="en-US" w:eastAsia="en-US"/>
    </w:rPr>
  </w:style>
  <w:style w:type="paragraph" w:customStyle="1" w:styleId="ParaClause">
    <w:name w:val="Para Clause"/>
    <w:basedOn w:val="Normal"/>
    <w:rsid w:val="00A66A6A"/>
    <w:pPr>
      <w:spacing w:before="120" w:after="120" w:line="300" w:lineRule="atLeast"/>
      <w:ind w:left="720"/>
      <w:jc w:val="both"/>
    </w:pPr>
    <w:rPr>
      <w:rFonts w:ascii="Arial" w:hAnsi="Arial"/>
      <w:szCs w:val="20"/>
      <w:lang w:eastAsia="en-US"/>
    </w:rPr>
  </w:style>
  <w:style w:type="paragraph" w:customStyle="1" w:styleId="Parasubclause1">
    <w:name w:val="Para subclause 1"/>
    <w:aliases w:val="BIWS Heading 2"/>
    <w:basedOn w:val="Normal"/>
    <w:rsid w:val="00A66A6A"/>
    <w:pPr>
      <w:spacing w:before="240" w:after="120" w:line="300" w:lineRule="atLeast"/>
      <w:ind w:left="720"/>
      <w:jc w:val="both"/>
    </w:pPr>
    <w:rPr>
      <w:rFonts w:ascii="Arial" w:hAnsi="Arial"/>
      <w:szCs w:val="20"/>
      <w:lang w:eastAsia="en-US"/>
    </w:rPr>
  </w:style>
  <w:style w:type="paragraph" w:customStyle="1" w:styleId="Untitledsubclause1">
    <w:name w:val="Untitled subclause 1"/>
    <w:basedOn w:val="Normal"/>
    <w:rsid w:val="00A66A6A"/>
    <w:pPr>
      <w:numPr>
        <w:ilvl w:val="1"/>
        <w:numId w:val="36"/>
      </w:numPr>
      <w:spacing w:before="280" w:after="120" w:line="300" w:lineRule="atLeast"/>
      <w:jc w:val="both"/>
      <w:outlineLvl w:val="1"/>
    </w:pPr>
    <w:rPr>
      <w:rFonts w:ascii="Arial" w:hAnsi="Arial"/>
      <w:szCs w:val="20"/>
      <w:lang w:eastAsia="en-US"/>
    </w:rPr>
  </w:style>
  <w:style w:type="paragraph" w:customStyle="1" w:styleId="Parasubclause2">
    <w:name w:val="Para subclause 2"/>
    <w:aliases w:val="BIWS Heading 3"/>
    <w:basedOn w:val="Normal"/>
    <w:rsid w:val="00A66A6A"/>
    <w:pPr>
      <w:spacing w:after="240" w:line="300" w:lineRule="atLeast"/>
      <w:ind w:left="1559"/>
      <w:jc w:val="both"/>
    </w:pPr>
    <w:rPr>
      <w:rFonts w:ascii="Arial" w:hAnsi="Arial"/>
      <w:szCs w:val="20"/>
      <w:lang w:eastAsia="en-US"/>
    </w:rPr>
  </w:style>
  <w:style w:type="paragraph" w:customStyle="1" w:styleId="Untitledsubclause2">
    <w:name w:val="Untitled subclause 2"/>
    <w:basedOn w:val="Normal"/>
    <w:rsid w:val="00A66A6A"/>
    <w:pPr>
      <w:numPr>
        <w:ilvl w:val="2"/>
        <w:numId w:val="36"/>
      </w:numPr>
      <w:spacing w:after="120" w:line="300" w:lineRule="atLeast"/>
      <w:jc w:val="both"/>
      <w:outlineLvl w:val="2"/>
    </w:pPr>
    <w:rPr>
      <w:rFonts w:ascii="Arial" w:hAnsi="Arial"/>
      <w:szCs w:val="20"/>
      <w:lang w:eastAsia="en-US"/>
    </w:rPr>
  </w:style>
  <w:style w:type="paragraph" w:customStyle="1" w:styleId="Parasubclause3">
    <w:name w:val="Para subclause 3"/>
    <w:aliases w:val="BIWS Heading 4"/>
    <w:basedOn w:val="Normal"/>
    <w:next w:val="Untitledsubclause2"/>
    <w:rsid w:val="00A66A6A"/>
    <w:pPr>
      <w:spacing w:after="120" w:line="300" w:lineRule="atLeast"/>
      <w:ind w:left="2268"/>
      <w:jc w:val="both"/>
    </w:pPr>
    <w:rPr>
      <w:rFonts w:ascii="Arial" w:hAnsi="Arial"/>
      <w:szCs w:val="20"/>
      <w:lang w:eastAsia="en-US"/>
    </w:rPr>
  </w:style>
  <w:style w:type="paragraph" w:customStyle="1" w:styleId="Untitledsubclause3">
    <w:name w:val="Untitled subclause 3"/>
    <w:basedOn w:val="Normal"/>
    <w:rsid w:val="00A66A6A"/>
    <w:pPr>
      <w:numPr>
        <w:ilvl w:val="3"/>
        <w:numId w:val="36"/>
      </w:numPr>
      <w:tabs>
        <w:tab w:val="left" w:pos="2261"/>
      </w:tabs>
      <w:spacing w:after="120" w:line="300" w:lineRule="atLeast"/>
      <w:jc w:val="both"/>
      <w:outlineLvl w:val="3"/>
    </w:pPr>
    <w:rPr>
      <w:rFonts w:ascii="Arial" w:hAnsi="Arial"/>
      <w:szCs w:val="20"/>
      <w:lang w:eastAsia="en-US"/>
    </w:rPr>
  </w:style>
  <w:style w:type="paragraph" w:customStyle="1" w:styleId="Parasubclause4">
    <w:name w:val="Para subclause 4"/>
    <w:aliases w:val="BIWS Heading 5"/>
    <w:basedOn w:val="Parasubclause3"/>
    <w:rsid w:val="00A66A6A"/>
    <w:pPr>
      <w:spacing w:after="240"/>
      <w:ind w:left="3028"/>
    </w:pPr>
  </w:style>
  <w:style w:type="paragraph" w:customStyle="1" w:styleId="Untitledsubclause4">
    <w:name w:val="Untitled subclause 4"/>
    <w:basedOn w:val="Normal"/>
    <w:rsid w:val="00A66A6A"/>
    <w:pPr>
      <w:numPr>
        <w:ilvl w:val="4"/>
        <w:numId w:val="36"/>
      </w:numPr>
      <w:spacing w:after="120" w:line="300" w:lineRule="atLeast"/>
      <w:jc w:val="both"/>
      <w:outlineLvl w:val="4"/>
    </w:pPr>
    <w:rPr>
      <w:rFonts w:ascii="Arial" w:hAnsi="Arial"/>
      <w:szCs w:val="20"/>
      <w:lang w:eastAsia="en-US"/>
    </w:rPr>
  </w:style>
  <w:style w:type="paragraph" w:customStyle="1" w:styleId="Para">
    <w:name w:val="Para"/>
    <w:aliases w:val="PLC Style - Normal"/>
    <w:basedOn w:val="Normal"/>
    <w:rsid w:val="00A66A6A"/>
    <w:pPr>
      <w:spacing w:after="120" w:line="300" w:lineRule="atLeast"/>
      <w:jc w:val="both"/>
    </w:pPr>
    <w:rPr>
      <w:rFonts w:ascii="Arial" w:hAnsi="Arial"/>
      <w:szCs w:val="20"/>
      <w:lang w:eastAsia="en-US"/>
    </w:rPr>
  </w:style>
  <w:style w:type="paragraph" w:customStyle="1" w:styleId="Parties">
    <w:name w:val="Parties"/>
    <w:aliases w:val="(1) Parties"/>
    <w:basedOn w:val="Normal"/>
    <w:rsid w:val="00A66A6A"/>
    <w:pPr>
      <w:numPr>
        <w:numId w:val="5"/>
      </w:numPr>
      <w:spacing w:before="120" w:after="120" w:line="300" w:lineRule="atLeast"/>
      <w:jc w:val="both"/>
    </w:pPr>
    <w:rPr>
      <w:rFonts w:ascii="Arial" w:hAnsi="Arial"/>
      <w:szCs w:val="20"/>
      <w:lang w:eastAsia="en-US"/>
    </w:rPr>
  </w:style>
  <w:style w:type="paragraph" w:customStyle="1" w:styleId="ResourceHistoryAuthor">
    <w:name w:val="Resource History Author"/>
    <w:link w:val="ResourceHistoryAuthorChar"/>
    <w:rsid w:val="00A66A6A"/>
    <w:pPr>
      <w:spacing w:after="120"/>
    </w:pPr>
    <w:rPr>
      <w:rFonts w:ascii="Arial" w:hAnsi="Arial"/>
      <w:color w:val="000000"/>
      <w:sz w:val="24"/>
      <w:szCs w:val="24"/>
      <w:lang w:val="en-US" w:eastAsia="en-US"/>
    </w:rPr>
  </w:style>
  <w:style w:type="character" w:customStyle="1" w:styleId="ResourceHistoryAuthorChar">
    <w:name w:val="Resource History Author Char"/>
    <w:link w:val="ResourceHistoryAuthor"/>
    <w:rsid w:val="00A66A6A"/>
    <w:rPr>
      <w:rFonts w:ascii="Arial" w:eastAsia="Times New Roman" w:hAnsi="Arial" w:cs="Times New Roman"/>
      <w:color w:val="000000"/>
      <w:sz w:val="24"/>
      <w:szCs w:val="24"/>
      <w:lang w:val="en-US" w:eastAsia="en-US"/>
    </w:rPr>
  </w:style>
  <w:style w:type="paragraph" w:customStyle="1" w:styleId="ResourceHistoryDate">
    <w:name w:val="Resource History Date"/>
    <w:link w:val="ResourceHistoryDateChar"/>
    <w:rsid w:val="00A66A6A"/>
    <w:pPr>
      <w:spacing w:after="120"/>
    </w:pPr>
    <w:rPr>
      <w:rFonts w:ascii="Arial" w:hAnsi="Arial"/>
      <w:color w:val="000000"/>
      <w:sz w:val="24"/>
      <w:szCs w:val="24"/>
      <w:lang w:val="en-US" w:eastAsia="en-US"/>
    </w:rPr>
  </w:style>
  <w:style w:type="character" w:customStyle="1" w:styleId="ResourceHistoryDateChar">
    <w:name w:val="Resource History Date Char"/>
    <w:link w:val="ResourceHistoryDate"/>
    <w:rsid w:val="00A66A6A"/>
    <w:rPr>
      <w:rFonts w:ascii="Arial" w:eastAsia="Times New Roman" w:hAnsi="Arial" w:cs="Times New Roman"/>
      <w:color w:val="000000"/>
      <w:sz w:val="24"/>
      <w:szCs w:val="24"/>
      <w:lang w:val="en-US" w:eastAsia="en-US"/>
    </w:rPr>
  </w:style>
  <w:style w:type="paragraph" w:customStyle="1" w:styleId="ResourceHistoryDesc">
    <w:name w:val="Resource History Desc"/>
    <w:link w:val="ResourceHistoryDescChar"/>
    <w:rsid w:val="00A66A6A"/>
    <w:pPr>
      <w:spacing w:after="120"/>
    </w:pPr>
    <w:rPr>
      <w:rFonts w:ascii="Verdana" w:hAnsi="Verdana"/>
      <w:color w:val="000000"/>
      <w:sz w:val="18"/>
      <w:szCs w:val="24"/>
      <w:lang w:val="en-US" w:eastAsia="en-US"/>
    </w:rPr>
  </w:style>
  <w:style w:type="character" w:customStyle="1" w:styleId="ResourceHistoryDescChar">
    <w:name w:val="Resource History Desc Char"/>
    <w:link w:val="ResourceHistoryDesc"/>
    <w:rsid w:val="00A66A6A"/>
    <w:rPr>
      <w:rFonts w:ascii="Verdana" w:eastAsia="Times New Roman" w:hAnsi="Verdana" w:cs="Times New Roman"/>
      <w:color w:val="000000"/>
      <w:sz w:val="18"/>
      <w:szCs w:val="24"/>
      <w:lang w:val="en-US" w:eastAsia="en-US"/>
    </w:rPr>
  </w:style>
  <w:style w:type="paragraph" w:customStyle="1" w:styleId="ResourceHistoryTitle">
    <w:name w:val="Resource History Title"/>
    <w:link w:val="ResourceHistoryTitleChar"/>
    <w:rsid w:val="00A66A6A"/>
    <w:pPr>
      <w:spacing w:after="120"/>
    </w:pPr>
    <w:rPr>
      <w:rFonts w:ascii="Arial" w:hAnsi="Arial"/>
      <w:b/>
      <w:bCs/>
      <w:color w:val="000000"/>
      <w:sz w:val="24"/>
      <w:szCs w:val="22"/>
      <w:lang w:val="en-US" w:eastAsia="en-US"/>
    </w:rPr>
  </w:style>
  <w:style w:type="character" w:customStyle="1" w:styleId="ResourceHistoryTitleChar">
    <w:name w:val="Resource History Title Char"/>
    <w:link w:val="ResourceHistoryTitle"/>
    <w:rsid w:val="00A66A6A"/>
    <w:rPr>
      <w:rFonts w:ascii="Arial" w:eastAsia="Times New Roman" w:hAnsi="Arial" w:cs="Times New Roman"/>
      <w:b/>
      <w:bCs/>
      <w:color w:val="000000"/>
      <w:sz w:val="24"/>
      <w:lang w:val="en-US" w:eastAsia="en-US"/>
    </w:rPr>
  </w:style>
  <w:style w:type="paragraph" w:customStyle="1" w:styleId="ResourceType">
    <w:name w:val="Resource Type"/>
    <w:link w:val="ResourceTypeChar"/>
    <w:rsid w:val="00A66A6A"/>
    <w:pPr>
      <w:spacing w:after="120"/>
    </w:pPr>
    <w:rPr>
      <w:rFonts w:ascii="Arial" w:hAnsi="Arial"/>
      <w:color w:val="000000"/>
      <w:sz w:val="24"/>
      <w:szCs w:val="24"/>
      <w:lang w:val="en-US" w:eastAsia="en-US"/>
    </w:rPr>
  </w:style>
  <w:style w:type="character" w:customStyle="1" w:styleId="ResourceTypeChar">
    <w:name w:val="Resource Type Char"/>
    <w:link w:val="ResourceType"/>
    <w:rsid w:val="00A66A6A"/>
    <w:rPr>
      <w:rFonts w:ascii="Arial" w:eastAsia="Times New Roman" w:hAnsi="Arial" w:cs="Times New Roman"/>
      <w:color w:val="000000"/>
      <w:sz w:val="24"/>
      <w:szCs w:val="24"/>
      <w:lang w:val="en-US" w:eastAsia="en-US"/>
    </w:rPr>
  </w:style>
  <w:style w:type="paragraph" w:customStyle="1" w:styleId="ScheduleHeading-Single">
    <w:name w:val="Schedule Heading - Single"/>
    <w:aliases w:val="Sch   main head inc single"/>
    <w:basedOn w:val="Normal"/>
    <w:next w:val="Normal"/>
    <w:rsid w:val="00A66A6A"/>
    <w:pPr>
      <w:numPr>
        <w:numId w:val="6"/>
      </w:numPr>
      <w:spacing w:before="240" w:after="360" w:line="300" w:lineRule="atLeast"/>
      <w:jc w:val="both"/>
    </w:pPr>
    <w:rPr>
      <w:rFonts w:ascii="Arial" w:hAnsi="Arial"/>
      <w:b/>
      <w:kern w:val="28"/>
      <w:szCs w:val="20"/>
      <w:lang w:eastAsia="en-US"/>
    </w:rPr>
  </w:style>
  <w:style w:type="paragraph" w:customStyle="1" w:styleId="ScheduleHeading">
    <w:name w:val="Schedule Heading"/>
    <w:aliases w:val="Sch   main head"/>
    <w:basedOn w:val="Normal"/>
    <w:next w:val="Normal"/>
    <w:autoRedefine/>
    <w:rsid w:val="00A66A6A"/>
    <w:pPr>
      <w:keepNext/>
      <w:pageBreakBefore/>
      <w:numPr>
        <w:numId w:val="7"/>
      </w:numPr>
      <w:spacing w:before="240" w:after="360" w:line="300" w:lineRule="atLeast"/>
      <w:jc w:val="center"/>
      <w:outlineLvl w:val="0"/>
    </w:pPr>
    <w:rPr>
      <w:rFonts w:ascii="Arial" w:hAnsi="Arial"/>
      <w:b/>
      <w:kern w:val="28"/>
      <w:szCs w:val="20"/>
      <w:lang w:eastAsia="en-US"/>
    </w:rPr>
  </w:style>
  <w:style w:type="paragraph" w:customStyle="1" w:styleId="SectionHeading">
    <w:name w:val="Section Heading"/>
    <w:aliases w:val="1stIntroHeadings"/>
    <w:basedOn w:val="Normal"/>
    <w:next w:val="Normal"/>
    <w:rsid w:val="00A66A6A"/>
    <w:pPr>
      <w:tabs>
        <w:tab w:val="left" w:pos="709"/>
      </w:tabs>
      <w:spacing w:before="120" w:after="120" w:line="300" w:lineRule="atLeast"/>
      <w:jc w:val="both"/>
    </w:pPr>
    <w:rPr>
      <w:rFonts w:ascii="Arial" w:hAnsi="Arial"/>
      <w:b/>
      <w:smallCaps/>
      <w:sz w:val="24"/>
      <w:szCs w:val="20"/>
      <w:lang w:eastAsia="en-US"/>
    </w:rPr>
  </w:style>
  <w:style w:type="paragraph" w:customStyle="1" w:styleId="Shortquestion">
    <w:name w:val="Shortquestion"/>
    <w:basedOn w:val="Normal"/>
    <w:rsid w:val="00A66A6A"/>
    <w:pPr>
      <w:spacing w:after="120" w:line="300" w:lineRule="atLeast"/>
      <w:jc w:val="both"/>
    </w:pPr>
    <w:rPr>
      <w:rFonts w:ascii="Arial" w:hAnsi="Times New Roman"/>
      <w:szCs w:val="20"/>
      <w:lang w:eastAsia="en-US"/>
    </w:rPr>
  </w:style>
  <w:style w:type="paragraph" w:customStyle="1" w:styleId="SpeedreadPara">
    <w:name w:val="Speedread Para"/>
    <w:basedOn w:val="Normal"/>
    <w:rsid w:val="00A66A6A"/>
    <w:pPr>
      <w:spacing w:after="120" w:line="300" w:lineRule="atLeast"/>
      <w:jc w:val="both"/>
    </w:pPr>
    <w:rPr>
      <w:rFonts w:ascii="Arial" w:hAnsi="Times New Roman"/>
      <w:szCs w:val="20"/>
      <w:lang w:eastAsia="en-US"/>
    </w:rPr>
  </w:style>
  <w:style w:type="paragraph" w:customStyle="1" w:styleId="SpeedreadSection1Para">
    <w:name w:val="Speedread Section1 Para"/>
    <w:basedOn w:val="Normal"/>
    <w:rsid w:val="00A66A6A"/>
    <w:pPr>
      <w:spacing w:after="120" w:line="300" w:lineRule="atLeast"/>
      <w:jc w:val="both"/>
    </w:pPr>
    <w:rPr>
      <w:rFonts w:ascii="Arial" w:hAnsi="Times New Roman"/>
      <w:szCs w:val="20"/>
      <w:lang w:eastAsia="en-US"/>
    </w:rPr>
  </w:style>
  <w:style w:type="paragraph" w:customStyle="1" w:styleId="SpeedreadSection1Text">
    <w:name w:val="Speedread Section1 Text"/>
    <w:basedOn w:val="Normal"/>
    <w:rsid w:val="00A66A6A"/>
    <w:pPr>
      <w:spacing w:after="120" w:line="300" w:lineRule="atLeast"/>
      <w:jc w:val="both"/>
    </w:pPr>
    <w:rPr>
      <w:rFonts w:ascii="Arial" w:hAnsi="Times New Roman"/>
      <w:szCs w:val="20"/>
      <w:lang w:eastAsia="en-US"/>
    </w:rPr>
  </w:style>
  <w:style w:type="paragraph" w:customStyle="1" w:styleId="SpeedreadText">
    <w:name w:val="Speedread Text"/>
    <w:basedOn w:val="Normal"/>
    <w:rsid w:val="00A66A6A"/>
    <w:pPr>
      <w:spacing w:after="120" w:line="300" w:lineRule="atLeast"/>
      <w:jc w:val="both"/>
    </w:pPr>
    <w:rPr>
      <w:rFonts w:ascii="Arial" w:hAnsi="Times New Roman"/>
      <w:szCs w:val="20"/>
      <w:lang w:eastAsia="en-US"/>
    </w:rPr>
  </w:style>
  <w:style w:type="paragraph" w:customStyle="1" w:styleId="SpeedreadTitle">
    <w:name w:val="Speedread Title"/>
    <w:basedOn w:val="Normal"/>
    <w:rsid w:val="00A66A6A"/>
    <w:pPr>
      <w:spacing w:after="120" w:line="300" w:lineRule="atLeast"/>
      <w:jc w:val="both"/>
    </w:pPr>
    <w:rPr>
      <w:rFonts w:ascii="Arial" w:hAnsi="Times New Roman"/>
      <w:b/>
      <w:sz w:val="36"/>
      <w:szCs w:val="20"/>
      <w:lang w:eastAsia="en-US"/>
    </w:rPr>
  </w:style>
  <w:style w:type="paragraph" w:customStyle="1" w:styleId="TemplateType">
    <w:name w:val="Template Type"/>
    <w:link w:val="TemplateTypeChar"/>
    <w:rsid w:val="00A66A6A"/>
    <w:pPr>
      <w:spacing w:after="120"/>
    </w:pPr>
    <w:rPr>
      <w:rFonts w:ascii="Arial" w:hAnsi="Arial"/>
      <w:color w:val="000000"/>
      <w:sz w:val="24"/>
      <w:szCs w:val="24"/>
      <w:lang w:val="en-US" w:eastAsia="en-US"/>
    </w:rPr>
  </w:style>
  <w:style w:type="character" w:customStyle="1" w:styleId="TemplateTypeChar">
    <w:name w:val="Template Type Char"/>
    <w:link w:val="TemplateType"/>
    <w:rsid w:val="00A66A6A"/>
    <w:rPr>
      <w:rFonts w:ascii="Arial" w:eastAsia="Times New Roman" w:hAnsi="Arial" w:cs="Times New Roman"/>
      <w:color w:val="000000"/>
      <w:sz w:val="24"/>
      <w:szCs w:val="24"/>
      <w:lang w:val="en-US" w:eastAsia="en-US"/>
    </w:rPr>
  </w:style>
  <w:style w:type="paragraph" w:styleId="Title">
    <w:name w:val="Title"/>
    <w:link w:val="TitleChar"/>
    <w:qFormat/>
    <w:rsid w:val="00A66A6A"/>
    <w:pPr>
      <w:spacing w:after="120"/>
    </w:pPr>
    <w:rPr>
      <w:rFonts w:ascii="Arial" w:hAnsi="Arial"/>
      <w:color w:val="000000"/>
      <w:sz w:val="24"/>
      <w:szCs w:val="22"/>
      <w:lang w:val="en-US" w:eastAsia="en-US"/>
    </w:rPr>
  </w:style>
  <w:style w:type="character" w:customStyle="1" w:styleId="TitleChar">
    <w:name w:val="Title Char"/>
    <w:link w:val="Title"/>
    <w:rsid w:val="00A66A6A"/>
    <w:rPr>
      <w:rFonts w:ascii="Arial" w:eastAsia="Times New Roman" w:hAnsi="Arial" w:cs="Times New Roman"/>
      <w:color w:val="000000"/>
      <w:sz w:val="24"/>
      <w:lang w:val="en-US" w:eastAsia="en-US"/>
    </w:rPr>
  </w:style>
  <w:style w:type="paragraph" w:styleId="Footer">
    <w:name w:val="footer"/>
    <w:basedOn w:val="Normal"/>
    <w:link w:val="FooterChar"/>
    <w:rsid w:val="00A66A6A"/>
    <w:pPr>
      <w:tabs>
        <w:tab w:val="center" w:pos="4153"/>
        <w:tab w:val="right" w:pos="8306"/>
      </w:tabs>
      <w:spacing w:after="240" w:line="300" w:lineRule="atLeast"/>
      <w:jc w:val="both"/>
    </w:pPr>
    <w:rPr>
      <w:rFonts w:ascii="Times New Roman" w:hAnsi="Times New Roman"/>
      <w:szCs w:val="20"/>
      <w:lang w:eastAsia="en-US"/>
    </w:rPr>
  </w:style>
  <w:style w:type="character" w:customStyle="1" w:styleId="FooterChar">
    <w:name w:val="Footer Char"/>
    <w:link w:val="Footer"/>
    <w:rsid w:val="00A66A6A"/>
    <w:rPr>
      <w:rFonts w:ascii="Times New Roman" w:eastAsia="Times New Roman" w:hAnsi="Times New Roman" w:cs="Times New Roman"/>
      <w:color w:val="000000"/>
      <w:szCs w:val="20"/>
      <w:lang w:eastAsia="en-US"/>
    </w:rPr>
  </w:style>
  <w:style w:type="character" w:styleId="Hyperlink">
    <w:name w:val="Hyperlink"/>
    <w:uiPriority w:val="99"/>
    <w:rsid w:val="00A66A6A"/>
    <w:rPr>
      <w:i/>
      <w:color w:val="000000"/>
      <w:u w:val="single"/>
    </w:rPr>
  </w:style>
  <w:style w:type="paragraph" w:customStyle="1" w:styleId="Bullet4">
    <w:name w:val="Bullet4"/>
    <w:basedOn w:val="Normal"/>
    <w:rsid w:val="00A66A6A"/>
    <w:pPr>
      <w:numPr>
        <w:numId w:val="9"/>
      </w:numPr>
      <w:spacing w:after="240" w:line="240" w:lineRule="auto"/>
      <w:jc w:val="both"/>
    </w:pPr>
    <w:rPr>
      <w:rFonts w:ascii="Times New Roman" w:hAnsi="Times New Roman"/>
      <w:szCs w:val="20"/>
      <w:lang w:eastAsia="en-US"/>
    </w:rPr>
  </w:style>
  <w:style w:type="paragraph" w:customStyle="1" w:styleId="Paragraph">
    <w:name w:val="Paragraph"/>
    <w:basedOn w:val="Normal"/>
    <w:link w:val="ParagraphChar"/>
    <w:qFormat/>
    <w:rsid w:val="00A66A6A"/>
    <w:pPr>
      <w:spacing w:after="120" w:line="300" w:lineRule="atLeast"/>
      <w:jc w:val="both"/>
    </w:pPr>
    <w:rPr>
      <w:rFonts w:ascii="Arial" w:hAnsi="Arial"/>
      <w:szCs w:val="20"/>
      <w:lang w:eastAsia="en-US"/>
    </w:rPr>
  </w:style>
  <w:style w:type="paragraph" w:customStyle="1" w:styleId="IgnoredTemplateText">
    <w:name w:val="Ignored Template Text"/>
    <w:link w:val="IgnoredTemplateTextChar"/>
    <w:rsid w:val="00A66A6A"/>
    <w:pPr>
      <w:pBdr>
        <w:top w:val="single" w:sz="4" w:space="1" w:color="auto"/>
        <w:left w:val="single" w:sz="4" w:space="4" w:color="auto"/>
        <w:bottom w:val="single" w:sz="4" w:space="1" w:color="auto"/>
        <w:right w:val="single" w:sz="4" w:space="4" w:color="auto"/>
      </w:pBdr>
      <w:shd w:val="pct15" w:color="auto" w:fill="FBD4B4"/>
      <w:spacing w:after="120"/>
    </w:pPr>
    <w:rPr>
      <w:rFonts w:ascii="Arial" w:hAnsi="Arial"/>
      <w:b/>
      <w:i/>
      <w:color w:val="000000"/>
      <w:sz w:val="22"/>
      <w:szCs w:val="18"/>
      <w:lang w:val="en-US" w:eastAsia="en-US"/>
    </w:rPr>
  </w:style>
  <w:style w:type="character" w:customStyle="1" w:styleId="IgnoredTemplateTextChar">
    <w:name w:val="Ignored Template Text Char"/>
    <w:link w:val="IgnoredTemplateText"/>
    <w:rsid w:val="00A66A6A"/>
    <w:rPr>
      <w:rFonts w:ascii="Arial" w:eastAsia="Times New Roman" w:hAnsi="Arial" w:cs="Times New Roman"/>
      <w:b/>
      <w:i/>
      <w:color w:val="000000"/>
      <w:szCs w:val="18"/>
      <w:shd w:val="pct15" w:color="auto" w:fill="FBD4B4"/>
      <w:lang w:val="en-US" w:eastAsia="en-US"/>
    </w:rPr>
  </w:style>
  <w:style w:type="paragraph" w:customStyle="1" w:styleId="InternalTOC">
    <w:name w:val="Internal TOC"/>
    <w:rsid w:val="00A66A6A"/>
    <w:pPr>
      <w:spacing w:after="120"/>
    </w:pPr>
    <w:rPr>
      <w:rFonts w:ascii="Arial" w:hAnsi="Arial"/>
      <w:color w:val="000000"/>
      <w:sz w:val="22"/>
      <w:szCs w:val="22"/>
      <w:lang w:val="en-US" w:eastAsia="en-US"/>
    </w:rPr>
  </w:style>
  <w:style w:type="paragraph" w:customStyle="1" w:styleId="HeadingLevel1">
    <w:name w:val="Heading Level 1"/>
    <w:basedOn w:val="Normal"/>
    <w:next w:val="Paragraph"/>
    <w:rsid w:val="00A66A6A"/>
    <w:pPr>
      <w:keepNext/>
      <w:spacing w:after="120" w:line="300" w:lineRule="atLeast"/>
      <w:jc w:val="both"/>
      <w:outlineLvl w:val="1"/>
    </w:pPr>
    <w:rPr>
      <w:rFonts w:ascii="Arial" w:hAnsi="Times New Roman"/>
      <w:b/>
      <w:sz w:val="36"/>
      <w:szCs w:val="20"/>
      <w:lang w:eastAsia="en-US"/>
    </w:rPr>
  </w:style>
  <w:style w:type="paragraph" w:customStyle="1" w:styleId="HeadingLevel2">
    <w:name w:val="Heading Level 2"/>
    <w:basedOn w:val="Normal"/>
    <w:next w:val="Paragraph"/>
    <w:rsid w:val="00A66A6A"/>
    <w:pPr>
      <w:keepNext/>
      <w:spacing w:after="120" w:line="300" w:lineRule="atLeast"/>
      <w:jc w:val="both"/>
      <w:outlineLvl w:val="2"/>
    </w:pPr>
    <w:rPr>
      <w:rFonts w:ascii="Arial" w:hAnsi="Times New Roman"/>
      <w:b/>
      <w:sz w:val="28"/>
      <w:szCs w:val="20"/>
      <w:lang w:eastAsia="en-US"/>
    </w:rPr>
  </w:style>
  <w:style w:type="paragraph" w:customStyle="1" w:styleId="HeadingLevel3">
    <w:name w:val="Heading Level 3"/>
    <w:basedOn w:val="Normal"/>
    <w:next w:val="Paragraph"/>
    <w:rsid w:val="00A66A6A"/>
    <w:pPr>
      <w:keepNext/>
      <w:spacing w:after="120" w:line="300" w:lineRule="atLeast"/>
      <w:jc w:val="both"/>
      <w:outlineLvl w:val="3"/>
    </w:pPr>
    <w:rPr>
      <w:rFonts w:ascii="Arial" w:hAnsi="Times New Roman"/>
      <w:b/>
      <w:i/>
      <w:sz w:val="28"/>
      <w:szCs w:val="20"/>
      <w:lang w:eastAsia="en-US"/>
    </w:rPr>
  </w:style>
  <w:style w:type="paragraph" w:styleId="Header">
    <w:name w:val="header"/>
    <w:basedOn w:val="Normal"/>
    <w:link w:val="HeaderChar"/>
    <w:uiPriority w:val="99"/>
    <w:unhideWhenUsed/>
    <w:rsid w:val="00A66A6A"/>
    <w:pPr>
      <w:tabs>
        <w:tab w:val="center" w:pos="4513"/>
        <w:tab w:val="right" w:pos="9026"/>
      </w:tabs>
      <w:spacing w:after="0" w:line="240" w:lineRule="auto"/>
    </w:pPr>
  </w:style>
  <w:style w:type="character" w:customStyle="1" w:styleId="HeaderChar">
    <w:name w:val="Header Char"/>
    <w:link w:val="Header"/>
    <w:uiPriority w:val="99"/>
    <w:rsid w:val="00A66A6A"/>
    <w:rPr>
      <w:color w:val="000000"/>
    </w:rPr>
  </w:style>
  <w:style w:type="character" w:styleId="PlaceholderText">
    <w:name w:val="Placeholder Text"/>
    <w:uiPriority w:val="99"/>
    <w:rsid w:val="00A66A6A"/>
    <w:rPr>
      <w:color w:val="000000"/>
    </w:rPr>
  </w:style>
  <w:style w:type="paragraph" w:styleId="BalloonText">
    <w:name w:val="Balloon Text"/>
    <w:basedOn w:val="Normal"/>
    <w:link w:val="BalloonTextChar"/>
    <w:uiPriority w:val="99"/>
    <w:semiHidden/>
    <w:unhideWhenUsed/>
    <w:rsid w:val="00A66A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66A6A"/>
    <w:rPr>
      <w:rFonts w:ascii="Tahoma" w:hAnsi="Tahoma" w:cs="Tahoma"/>
      <w:color w:val="000000"/>
      <w:sz w:val="16"/>
      <w:szCs w:val="16"/>
    </w:rPr>
  </w:style>
  <w:style w:type="paragraph" w:customStyle="1" w:styleId="PinPointRef">
    <w:name w:val="PinPoint Ref"/>
    <w:link w:val="PinPointRefChar"/>
    <w:qFormat/>
    <w:rsid w:val="00A66A6A"/>
    <w:rPr>
      <w:rFonts w:ascii="Times New Roman" w:hAnsi="Times New Roman"/>
      <w:b/>
      <w:vanish/>
      <w:color w:val="000000"/>
      <w:sz w:val="18"/>
      <w:lang w:eastAsia="en-US"/>
    </w:rPr>
  </w:style>
  <w:style w:type="character" w:customStyle="1" w:styleId="PinPointRefChar">
    <w:name w:val="PinPoint Ref Char"/>
    <w:link w:val="PinPointRef"/>
    <w:rsid w:val="00A66A6A"/>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A66A6A"/>
    <w:pPr>
      <w:spacing w:before="120"/>
      <w:ind w:left="720"/>
    </w:pPr>
    <w:rPr>
      <w:rFonts w:ascii="Verdana" w:hAnsi="Verdana"/>
      <w:color w:val="000000"/>
      <w:sz w:val="18"/>
      <w:lang w:eastAsia="en-US"/>
    </w:rPr>
  </w:style>
  <w:style w:type="character" w:customStyle="1" w:styleId="BlockQuoteChar">
    <w:name w:val="Block Quote Char"/>
    <w:link w:val="BlockQuote"/>
    <w:rsid w:val="00A66A6A"/>
    <w:rPr>
      <w:rFonts w:ascii="Verdana" w:eastAsia="Times New Roman" w:hAnsi="Verdana" w:cs="Times New Roman"/>
      <w:color w:val="000000"/>
      <w:sz w:val="18"/>
      <w:szCs w:val="20"/>
      <w:lang w:eastAsia="en-US"/>
    </w:rPr>
  </w:style>
  <w:style w:type="paragraph" w:customStyle="1" w:styleId="ListParagraphLevel1">
    <w:name w:val="List Paragraph Level 1"/>
    <w:link w:val="ListParagraphLevel1Char"/>
    <w:rsid w:val="00A66A6A"/>
    <w:pPr>
      <w:spacing w:after="120"/>
      <w:ind w:left="357"/>
      <w:jc w:val="both"/>
    </w:pPr>
    <w:rPr>
      <w:rFonts w:ascii="Arial" w:hAnsi="Arial"/>
      <w:color w:val="000000"/>
      <w:sz w:val="22"/>
      <w:szCs w:val="24"/>
      <w:lang w:val="en-US" w:eastAsia="en-US"/>
    </w:rPr>
  </w:style>
  <w:style w:type="paragraph" w:customStyle="1" w:styleId="ListParagraphLevel2">
    <w:name w:val="List Paragraph Level 2"/>
    <w:link w:val="ListParagraphLevel2Char"/>
    <w:qFormat/>
    <w:rsid w:val="00A66A6A"/>
    <w:pPr>
      <w:spacing w:after="120"/>
      <w:ind w:left="1077"/>
      <w:jc w:val="both"/>
    </w:pPr>
    <w:rPr>
      <w:rFonts w:ascii="Arial" w:hAnsi="Arial"/>
      <w:color w:val="000000"/>
      <w:sz w:val="22"/>
      <w:szCs w:val="24"/>
      <w:lang w:val="en-US" w:eastAsia="en-US"/>
    </w:rPr>
  </w:style>
  <w:style w:type="character" w:customStyle="1" w:styleId="ListParagraphLevel1Char">
    <w:name w:val="List Paragraph Level 1 Char"/>
    <w:link w:val="ListParagraphLevel1"/>
    <w:rsid w:val="00A66A6A"/>
    <w:rPr>
      <w:rFonts w:ascii="Arial" w:eastAsia="Times New Roman" w:hAnsi="Arial" w:cs="Times New Roman"/>
      <w:color w:val="000000"/>
      <w:szCs w:val="24"/>
      <w:lang w:val="en-US" w:eastAsia="en-US"/>
    </w:rPr>
  </w:style>
  <w:style w:type="character" w:customStyle="1" w:styleId="ListParagraphLevel2Char">
    <w:name w:val="List Paragraph Level 2 Char"/>
    <w:link w:val="ListParagraphLevel2"/>
    <w:rsid w:val="00A66A6A"/>
    <w:rPr>
      <w:rFonts w:ascii="Arial" w:eastAsia="Times New Roman" w:hAnsi="Arial" w:cs="Times New Roman"/>
      <w:color w:val="000000"/>
      <w:szCs w:val="24"/>
      <w:lang w:val="en-US" w:eastAsia="en-US"/>
    </w:rPr>
  </w:style>
  <w:style w:type="paragraph" w:customStyle="1" w:styleId="IntroDefault">
    <w:name w:val="Intro Default"/>
    <w:basedOn w:val="Paragraph"/>
    <w:qFormat/>
    <w:rsid w:val="00A66A6A"/>
  </w:style>
  <w:style w:type="paragraph" w:customStyle="1" w:styleId="IntroCustom">
    <w:name w:val="Intro Custom"/>
    <w:basedOn w:val="Paragraph"/>
    <w:qFormat/>
    <w:rsid w:val="00A66A6A"/>
  </w:style>
  <w:style w:type="paragraph" w:customStyle="1" w:styleId="PrecedentType">
    <w:name w:val="Precedent Type"/>
    <w:basedOn w:val="IgnoredSpacing"/>
    <w:qFormat/>
    <w:rsid w:val="00A66A6A"/>
  </w:style>
  <w:style w:type="paragraph" w:customStyle="1" w:styleId="Operative">
    <w:name w:val="Operative"/>
    <w:basedOn w:val="IgnoredSpacing"/>
    <w:qFormat/>
    <w:rsid w:val="00A66A6A"/>
    <w:rPr>
      <w:vanish/>
    </w:rPr>
  </w:style>
  <w:style w:type="paragraph" w:customStyle="1" w:styleId="SpeedreadBulletList1">
    <w:name w:val="Speedread Bullet List 1"/>
    <w:basedOn w:val="BulletList1"/>
    <w:qFormat/>
    <w:rsid w:val="00A66A6A"/>
  </w:style>
  <w:style w:type="paragraph" w:customStyle="1" w:styleId="PartiesTitle">
    <w:name w:val="Parties Title"/>
    <w:basedOn w:val="Paragraph"/>
    <w:qFormat/>
    <w:rsid w:val="00A66A6A"/>
    <w:rPr>
      <w:b/>
    </w:rPr>
  </w:style>
  <w:style w:type="table" w:styleId="TableGrid">
    <w:name w:val="Table Grid"/>
    <w:basedOn w:val="TableNormal"/>
    <w:rsid w:val="00A66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A66A6A"/>
    <w:pPr>
      <w:numPr>
        <w:numId w:val="10"/>
      </w:numPr>
      <w:shd w:val="clear" w:color="auto" w:fill="D9D9D9"/>
      <w:spacing w:after="120"/>
      <w:ind w:left="357" w:hanging="357"/>
      <w:outlineLvl w:val="0"/>
    </w:pPr>
    <w:rPr>
      <w:rFonts w:ascii="Arial" w:hAnsi="Arial"/>
      <w:color w:val="000000"/>
      <w:sz w:val="22"/>
      <w:szCs w:val="22"/>
      <w:lang w:val="en-US" w:eastAsia="en-US"/>
    </w:rPr>
  </w:style>
  <w:style w:type="paragraph" w:customStyle="1" w:styleId="BulletList1Pattern">
    <w:name w:val="Bullet List 1 + Pattern"/>
    <w:basedOn w:val="BulletList1"/>
    <w:qFormat/>
    <w:rsid w:val="00A66A6A"/>
    <w:pPr>
      <w:shd w:val="clear" w:color="auto" w:fill="D9D9D9"/>
      <w:spacing w:after="120" w:line="240" w:lineRule="auto"/>
      <w:ind w:left="714" w:hanging="357"/>
    </w:pPr>
  </w:style>
  <w:style w:type="character" w:customStyle="1" w:styleId="QuestionParagraphChar">
    <w:name w:val="Question Paragraph Char"/>
    <w:link w:val="QuestionParagraph"/>
    <w:rsid w:val="00A66A6A"/>
    <w:rPr>
      <w:rFonts w:ascii="Arial" w:eastAsia="Times New Roman" w:hAnsi="Arial" w:cs="Times New Roman"/>
      <w:color w:val="000000"/>
      <w:shd w:val="clear" w:color="auto" w:fill="D9D9D9"/>
      <w:lang w:val="en-US" w:eastAsia="en-US"/>
    </w:rPr>
  </w:style>
  <w:style w:type="paragraph" w:customStyle="1" w:styleId="BulletList2Pattern">
    <w:name w:val="Bullet List 2 + Pattern"/>
    <w:basedOn w:val="BulletList2"/>
    <w:qFormat/>
    <w:rsid w:val="00A66A6A"/>
    <w:pPr>
      <w:shd w:val="clear" w:color="auto" w:fill="D9D9D9"/>
      <w:ind w:left="1077"/>
    </w:pPr>
  </w:style>
  <w:style w:type="paragraph" w:customStyle="1" w:styleId="TestimoniumContract">
    <w:name w:val="Testimonium Contract"/>
    <w:basedOn w:val="Paragraph"/>
    <w:qFormat/>
    <w:rsid w:val="00A66A6A"/>
  </w:style>
  <w:style w:type="paragraph" w:customStyle="1" w:styleId="TestimoniumDeed">
    <w:name w:val="Testimonium Deed"/>
    <w:basedOn w:val="Paragraph"/>
    <w:qFormat/>
    <w:rsid w:val="00A66A6A"/>
  </w:style>
  <w:style w:type="paragraph" w:customStyle="1" w:styleId="Titlesubclause2">
    <w:name w:val="Title subclause2"/>
    <w:basedOn w:val="Untitledsubclause2"/>
    <w:qFormat/>
    <w:rsid w:val="00A66A6A"/>
    <w:rPr>
      <w:b/>
    </w:rPr>
  </w:style>
  <w:style w:type="paragraph" w:customStyle="1" w:styleId="Titlesubclause3">
    <w:name w:val="Title subclause3"/>
    <w:basedOn w:val="Untitledsubclause3"/>
    <w:qFormat/>
    <w:rsid w:val="00A66A6A"/>
    <w:rPr>
      <w:b/>
    </w:rPr>
  </w:style>
  <w:style w:type="paragraph" w:customStyle="1" w:styleId="Titlesubclause4">
    <w:name w:val="Title subclause4"/>
    <w:basedOn w:val="Untitledsubclause4"/>
    <w:qFormat/>
    <w:rsid w:val="00A66A6A"/>
    <w:rPr>
      <w:b/>
    </w:rPr>
  </w:style>
  <w:style w:type="paragraph" w:customStyle="1" w:styleId="UntitledClause">
    <w:name w:val="Untitled Clause"/>
    <w:basedOn w:val="TitleClause"/>
    <w:qFormat/>
    <w:rsid w:val="00A66A6A"/>
    <w:pPr>
      <w:spacing w:before="120"/>
    </w:pPr>
    <w:rPr>
      <w:b w:val="0"/>
    </w:rPr>
  </w:style>
  <w:style w:type="paragraph" w:customStyle="1" w:styleId="Titlesubclause1">
    <w:name w:val="Title subclause1"/>
    <w:basedOn w:val="Untitledsubclause1"/>
    <w:qFormat/>
    <w:rsid w:val="00A66A6A"/>
    <w:pPr>
      <w:spacing w:before="120"/>
    </w:pPr>
    <w:rPr>
      <w:b/>
    </w:rPr>
  </w:style>
  <w:style w:type="paragraph" w:customStyle="1" w:styleId="Schedule">
    <w:name w:val="Schedule"/>
    <w:qFormat/>
    <w:rsid w:val="00A66A6A"/>
    <w:pPr>
      <w:numPr>
        <w:numId w:val="12"/>
      </w:numPr>
      <w:spacing w:before="240" w:after="240" w:line="240" w:lineRule="atLeast"/>
      <w:ind w:left="0" w:firstLine="0"/>
    </w:pPr>
    <w:rPr>
      <w:rFonts w:ascii="Arial" w:hAnsi="Arial"/>
      <w:b/>
      <w:color w:val="000000"/>
      <w:sz w:val="22"/>
      <w:szCs w:val="22"/>
      <w:lang w:val="en-US" w:eastAsia="en-US"/>
    </w:rPr>
  </w:style>
  <w:style w:type="character" w:customStyle="1" w:styleId="Heading1Char">
    <w:name w:val="Heading 1 Char"/>
    <w:link w:val="Heading1"/>
    <w:uiPriority w:val="9"/>
    <w:rsid w:val="00A66A6A"/>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A66A6A"/>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A66A6A"/>
    <w:rPr>
      <w:rFonts w:ascii="Cambria" w:eastAsia="Times New Roman" w:hAnsi="Cambria" w:cs="Times New Roman"/>
      <w:b/>
      <w:bCs/>
      <w:color w:val="000000"/>
    </w:rPr>
  </w:style>
  <w:style w:type="character" w:customStyle="1" w:styleId="Heading4Char">
    <w:name w:val="Heading 4 Char"/>
    <w:link w:val="Heading4"/>
    <w:uiPriority w:val="9"/>
    <w:semiHidden/>
    <w:rsid w:val="00A66A6A"/>
    <w:rPr>
      <w:rFonts w:ascii="Cambria" w:eastAsia="Times New Roman" w:hAnsi="Cambria" w:cs="Times New Roman"/>
      <w:b/>
      <w:bCs/>
      <w:i/>
      <w:iCs/>
      <w:color w:val="000000"/>
    </w:rPr>
  </w:style>
  <w:style w:type="character" w:customStyle="1" w:styleId="Heading5Char">
    <w:name w:val="Heading 5 Char"/>
    <w:link w:val="Heading5"/>
    <w:uiPriority w:val="9"/>
    <w:semiHidden/>
    <w:rsid w:val="00A66A6A"/>
    <w:rPr>
      <w:rFonts w:ascii="Cambria" w:eastAsia="Times New Roman" w:hAnsi="Cambria" w:cs="Times New Roman"/>
      <w:color w:val="000000"/>
    </w:rPr>
  </w:style>
  <w:style w:type="character" w:customStyle="1" w:styleId="Heading6Char">
    <w:name w:val="Heading 6 Char"/>
    <w:link w:val="Heading6"/>
    <w:uiPriority w:val="9"/>
    <w:semiHidden/>
    <w:rsid w:val="00A66A6A"/>
    <w:rPr>
      <w:rFonts w:ascii="Cambria" w:eastAsia="Times New Roman" w:hAnsi="Cambria" w:cs="Times New Roman"/>
      <w:i/>
      <w:iCs/>
      <w:color w:val="000000"/>
    </w:rPr>
  </w:style>
  <w:style w:type="character" w:customStyle="1" w:styleId="Heading7Char">
    <w:name w:val="Heading 7 Char"/>
    <w:link w:val="Heading7"/>
    <w:uiPriority w:val="9"/>
    <w:semiHidden/>
    <w:rsid w:val="00A66A6A"/>
    <w:rPr>
      <w:rFonts w:ascii="Cambria" w:eastAsia="Times New Roman" w:hAnsi="Cambria" w:cs="Times New Roman"/>
      <w:i/>
      <w:iCs/>
      <w:color w:val="000000"/>
    </w:rPr>
  </w:style>
  <w:style w:type="character" w:customStyle="1" w:styleId="Heading8Char">
    <w:name w:val="Heading 8 Char"/>
    <w:link w:val="Heading8"/>
    <w:uiPriority w:val="9"/>
    <w:semiHidden/>
    <w:rsid w:val="00A66A6A"/>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A66A6A"/>
    <w:rPr>
      <w:rFonts w:ascii="Cambria" w:eastAsia="Times New Roman" w:hAnsi="Cambria" w:cs="Times New Roman"/>
      <w:i/>
      <w:iCs/>
      <w:color w:val="000000"/>
      <w:sz w:val="20"/>
      <w:szCs w:val="20"/>
    </w:rPr>
  </w:style>
  <w:style w:type="paragraph" w:customStyle="1" w:styleId="ScheduleTitle">
    <w:name w:val="Schedule Title"/>
    <w:basedOn w:val="Paragraph"/>
    <w:qFormat/>
    <w:rsid w:val="00A66A6A"/>
    <w:rPr>
      <w:b/>
    </w:rPr>
  </w:style>
  <w:style w:type="paragraph" w:customStyle="1" w:styleId="Part">
    <w:name w:val="Part"/>
    <w:basedOn w:val="Paragraph"/>
    <w:qFormat/>
    <w:rsid w:val="00A66A6A"/>
    <w:pPr>
      <w:numPr>
        <w:numId w:val="14"/>
      </w:numPr>
      <w:spacing w:before="240" w:after="240"/>
      <w:ind w:left="0" w:firstLine="0"/>
      <w:jc w:val="left"/>
    </w:pPr>
    <w:rPr>
      <w:b/>
    </w:rPr>
  </w:style>
  <w:style w:type="paragraph" w:customStyle="1" w:styleId="AnnexTitle">
    <w:name w:val="Annex Title"/>
    <w:basedOn w:val="Paragraph"/>
    <w:next w:val="Paragraph"/>
    <w:qFormat/>
    <w:rsid w:val="00A66A6A"/>
    <w:pPr>
      <w:spacing w:before="240" w:after="240"/>
    </w:pPr>
    <w:rPr>
      <w:b/>
    </w:rPr>
  </w:style>
  <w:style w:type="paragraph" w:customStyle="1" w:styleId="PartTitle">
    <w:name w:val="Part Title"/>
    <w:basedOn w:val="Paragraph"/>
    <w:qFormat/>
    <w:rsid w:val="00A66A6A"/>
    <w:rPr>
      <w:b/>
    </w:rPr>
  </w:style>
  <w:style w:type="paragraph" w:customStyle="1" w:styleId="Testimonium">
    <w:name w:val="Testimonium"/>
    <w:basedOn w:val="Paragraph"/>
    <w:qFormat/>
    <w:rsid w:val="00A66A6A"/>
  </w:style>
  <w:style w:type="character" w:customStyle="1" w:styleId="apple-converted-space">
    <w:name w:val="apple-converted-space"/>
    <w:rsid w:val="00A66A6A"/>
    <w:rPr>
      <w:color w:val="000000"/>
    </w:rPr>
  </w:style>
  <w:style w:type="character" w:styleId="Emphasis">
    <w:name w:val="Emphasis"/>
    <w:uiPriority w:val="20"/>
    <w:qFormat/>
    <w:rsid w:val="00A66A6A"/>
    <w:rPr>
      <w:i/>
      <w:iCs/>
      <w:color w:val="000000"/>
    </w:rPr>
  </w:style>
  <w:style w:type="paragraph" w:customStyle="1" w:styleId="NoNumTitle-Clause">
    <w:name w:val="No Num Title - Clause"/>
    <w:basedOn w:val="TitleClause"/>
    <w:qFormat/>
    <w:rsid w:val="00A66A6A"/>
    <w:pPr>
      <w:numPr>
        <w:numId w:val="0"/>
      </w:numPr>
      <w:ind w:left="720"/>
    </w:pPr>
  </w:style>
  <w:style w:type="paragraph" w:customStyle="1" w:styleId="NoNumTitlesubclause1">
    <w:name w:val="No Num Title subclause1"/>
    <w:basedOn w:val="Titlesubclause1"/>
    <w:qFormat/>
    <w:rsid w:val="00A66A6A"/>
    <w:pPr>
      <w:numPr>
        <w:ilvl w:val="0"/>
        <w:numId w:val="0"/>
      </w:numPr>
      <w:ind w:left="720"/>
    </w:pPr>
  </w:style>
  <w:style w:type="paragraph" w:customStyle="1" w:styleId="AddressLine">
    <w:name w:val="Address Line"/>
    <w:basedOn w:val="Paragraph"/>
    <w:qFormat/>
    <w:rsid w:val="00A66A6A"/>
  </w:style>
  <w:style w:type="paragraph" w:styleId="Date">
    <w:name w:val="Date"/>
    <w:basedOn w:val="Paragraph"/>
    <w:qFormat/>
    <w:rsid w:val="00A66A6A"/>
  </w:style>
  <w:style w:type="paragraph" w:customStyle="1" w:styleId="SalutationPara">
    <w:name w:val="Salutation Para"/>
    <w:basedOn w:val="Paragraph"/>
    <w:next w:val="Paragraph"/>
    <w:qFormat/>
    <w:rsid w:val="00A66A6A"/>
    <w:pPr>
      <w:spacing w:before="240"/>
    </w:pPr>
  </w:style>
  <w:style w:type="character" w:styleId="FollowedHyperlink">
    <w:name w:val="FollowedHyperlink"/>
    <w:uiPriority w:val="99"/>
    <w:semiHidden/>
    <w:unhideWhenUsed/>
    <w:rsid w:val="00A66A6A"/>
    <w:rPr>
      <w:i/>
      <w:color w:val="000000"/>
      <w:u w:val="single"/>
    </w:rPr>
  </w:style>
  <w:style w:type="character" w:customStyle="1" w:styleId="DefTerm">
    <w:name w:val="DefTerm"/>
    <w:uiPriority w:val="1"/>
    <w:qFormat/>
    <w:rsid w:val="00A66A6A"/>
    <w:rPr>
      <w:b/>
      <w:color w:val="000000"/>
    </w:rPr>
  </w:style>
  <w:style w:type="table" w:customStyle="1" w:styleId="ShadedTable">
    <w:name w:val="Shaded Table"/>
    <w:basedOn w:val="TableNormal"/>
    <w:uiPriority w:val="99"/>
    <w:rsid w:val="00A66A6A"/>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A66A6A"/>
    <w:rPr>
      <w:i/>
    </w:rPr>
  </w:style>
  <w:style w:type="paragraph" w:customStyle="1" w:styleId="LetterTitle">
    <w:name w:val="Letter Title"/>
    <w:basedOn w:val="Paragraph"/>
    <w:qFormat/>
    <w:rsid w:val="00A66A6A"/>
    <w:rPr>
      <w:b/>
    </w:rPr>
  </w:style>
  <w:style w:type="paragraph" w:customStyle="1" w:styleId="LongQuestionPara">
    <w:name w:val="Long Question Para"/>
    <w:basedOn w:val="Paragraph"/>
    <w:link w:val="LongQuestionParaChar"/>
    <w:rsid w:val="00A66A6A"/>
    <w:pPr>
      <w:numPr>
        <w:numId w:val="15"/>
      </w:numPr>
      <w:spacing w:before="240" w:after="240" w:line="240" w:lineRule="auto"/>
      <w:outlineLvl w:val="1"/>
    </w:pPr>
    <w:rPr>
      <w:sz w:val="20"/>
      <w:lang w:val="en-US"/>
    </w:rPr>
  </w:style>
  <w:style w:type="character" w:customStyle="1" w:styleId="LongQuestionParaChar">
    <w:name w:val="Long Question Para Char"/>
    <w:link w:val="LongQuestionPara"/>
    <w:rsid w:val="00A66A6A"/>
    <w:rPr>
      <w:rFonts w:ascii="Arial" w:eastAsia="Times New Roman" w:hAnsi="Arial" w:cs="Times New Roman"/>
      <w:color w:val="000000"/>
      <w:sz w:val="20"/>
      <w:szCs w:val="20"/>
      <w:lang w:val="en-US" w:eastAsia="en-US"/>
    </w:rPr>
  </w:style>
  <w:style w:type="paragraph" w:customStyle="1" w:styleId="ShortQuestionPara">
    <w:name w:val="Short Question Para"/>
    <w:basedOn w:val="Paragraph"/>
    <w:link w:val="ShortQuestionParaChar"/>
    <w:rsid w:val="00A66A6A"/>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A66A6A"/>
    <w:rPr>
      <w:rFonts w:ascii="Arial" w:eastAsia="Times New Roman" w:hAnsi="Arial" w:cs="Times New Roman"/>
      <w:bCs/>
      <w:color w:val="000000"/>
      <w:sz w:val="20"/>
      <w:szCs w:val="20"/>
      <w:shd w:val="clear" w:color="auto" w:fill="D9D9D9"/>
      <w:lang w:val="en-US" w:eastAsia="en-US"/>
    </w:rPr>
  </w:style>
  <w:style w:type="character" w:customStyle="1" w:styleId="ParagraphChar">
    <w:name w:val="Paragraph Char"/>
    <w:link w:val="Paragraph"/>
    <w:rsid w:val="00A66A6A"/>
    <w:rPr>
      <w:rFonts w:ascii="Arial" w:eastAsia="Times New Roman" w:hAnsi="Arial" w:cs="Times New Roman"/>
      <w:color w:val="000000"/>
      <w:szCs w:val="20"/>
      <w:lang w:eastAsia="en-US"/>
    </w:rPr>
  </w:style>
  <w:style w:type="paragraph" w:customStyle="1" w:styleId="811D3A974D454A258B71E3C4DE24C4F210">
    <w:name w:val="811D3A974D454A258B71E3C4DE24C4F210"/>
    <w:rsid w:val="00A66A6A"/>
    <w:pPr>
      <w:spacing w:after="120"/>
    </w:pPr>
    <w:rPr>
      <w:rFonts w:ascii="Arial" w:hAnsi="Arial"/>
      <w:color w:val="000000"/>
      <w:sz w:val="24"/>
      <w:szCs w:val="22"/>
      <w:lang w:val="en-US" w:eastAsia="en-US"/>
    </w:rPr>
  </w:style>
  <w:style w:type="paragraph" w:customStyle="1" w:styleId="ListParagraphLevel3">
    <w:name w:val="List Paragraph Level 3"/>
    <w:qFormat/>
    <w:rsid w:val="00A66A6A"/>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A66A6A"/>
    <w:pPr>
      <w:jc w:val="center"/>
    </w:pPr>
    <w:rPr>
      <w:sz w:val="28"/>
    </w:rPr>
  </w:style>
  <w:style w:type="paragraph" w:customStyle="1" w:styleId="Title-Clause">
    <w:name w:val="Title - Clause"/>
    <w:aliases w:val="BIWS Heading 1"/>
    <w:basedOn w:val="Normal"/>
    <w:rsid w:val="00A66A6A"/>
    <w:pPr>
      <w:keepNext/>
      <w:tabs>
        <w:tab w:val="num" w:pos="720"/>
      </w:tabs>
      <w:spacing w:before="240" w:after="240" w:line="300" w:lineRule="atLeast"/>
      <w:ind w:left="720" w:hanging="720"/>
      <w:jc w:val="both"/>
      <w:outlineLvl w:val="0"/>
    </w:pPr>
    <w:rPr>
      <w:rFonts w:ascii="Arial" w:hAnsi="Arial"/>
      <w:b/>
      <w:kern w:val="28"/>
      <w:szCs w:val="20"/>
      <w:lang w:eastAsia="en-US"/>
    </w:rPr>
  </w:style>
  <w:style w:type="paragraph" w:customStyle="1" w:styleId="Para-Clause-nonum">
    <w:name w:val="Para - Clause - no num"/>
    <w:aliases w:val="Body  clause"/>
    <w:basedOn w:val="Normal"/>
    <w:next w:val="Title-Clause"/>
    <w:rsid w:val="00A66A6A"/>
    <w:pPr>
      <w:spacing w:before="120" w:after="120" w:line="300" w:lineRule="atLeast"/>
      <w:ind w:left="720"/>
      <w:jc w:val="both"/>
    </w:pPr>
    <w:rPr>
      <w:rFonts w:ascii="Arial" w:hAnsi="Arial"/>
      <w:szCs w:val="20"/>
      <w:lang w:eastAsia="en-US"/>
    </w:rPr>
  </w:style>
  <w:style w:type="paragraph" w:customStyle="1" w:styleId="Para-Clause">
    <w:name w:val="Para - Clause"/>
    <w:basedOn w:val="Title-Clause"/>
    <w:qFormat/>
    <w:rsid w:val="00A66A6A"/>
    <w:pPr>
      <w:spacing w:before="120"/>
    </w:pPr>
    <w:rPr>
      <w:b w:val="0"/>
    </w:rPr>
  </w:style>
  <w:style w:type="paragraph" w:customStyle="1" w:styleId="CoversheetParagraph">
    <w:name w:val="Coversheet Paragraph"/>
    <w:basedOn w:val="Normal"/>
    <w:autoRedefine/>
    <w:rsid w:val="00A66A6A"/>
    <w:pPr>
      <w:spacing w:after="0" w:line="300" w:lineRule="atLeast"/>
      <w:jc w:val="center"/>
    </w:pPr>
    <w:rPr>
      <w:rFonts w:ascii="Times New Roman" w:hAnsi="Times New Roman"/>
      <w:szCs w:val="20"/>
      <w:lang w:eastAsia="en-US"/>
    </w:rPr>
  </w:style>
  <w:style w:type="paragraph" w:customStyle="1" w:styleId="CoversheetIntro">
    <w:name w:val="Coversheet Intro"/>
    <w:basedOn w:val="CoversheetTitle"/>
    <w:qFormat/>
    <w:rsid w:val="00A66A6A"/>
    <w:rPr>
      <w:smallCaps w:val="0"/>
      <w:sz w:val="22"/>
    </w:rPr>
  </w:style>
  <w:style w:type="paragraph" w:customStyle="1" w:styleId="CoversheetStaticText">
    <w:name w:val="Coversheet Static Text"/>
    <w:basedOn w:val="CoversheetIntro"/>
    <w:qFormat/>
    <w:rsid w:val="00A66A6A"/>
    <w:rPr>
      <w:b w:val="0"/>
    </w:rPr>
  </w:style>
  <w:style w:type="paragraph" w:customStyle="1" w:styleId="CoversheetParty">
    <w:name w:val="Coversheet Party"/>
    <w:basedOn w:val="CoversheetIntro"/>
    <w:qFormat/>
    <w:rsid w:val="00A66A6A"/>
  </w:style>
  <w:style w:type="paragraph" w:customStyle="1" w:styleId="NoNumUntitledClause">
    <w:name w:val="No Num Untitled Clause"/>
    <w:basedOn w:val="UntitledClause"/>
    <w:qFormat/>
    <w:rsid w:val="00A66A6A"/>
    <w:pPr>
      <w:numPr>
        <w:numId w:val="0"/>
      </w:numPr>
      <w:ind w:left="720"/>
    </w:pPr>
  </w:style>
  <w:style w:type="paragraph" w:customStyle="1" w:styleId="BackgroundSubclause1">
    <w:name w:val="Background Subclause1"/>
    <w:basedOn w:val="Background"/>
    <w:qFormat/>
    <w:rsid w:val="00A66A6A"/>
    <w:pPr>
      <w:numPr>
        <w:ilvl w:val="1"/>
      </w:numPr>
    </w:pPr>
  </w:style>
  <w:style w:type="paragraph" w:customStyle="1" w:styleId="BackgroundSubclause2">
    <w:name w:val="Background Subclause2"/>
    <w:basedOn w:val="Background"/>
    <w:qFormat/>
    <w:rsid w:val="00A66A6A"/>
    <w:pPr>
      <w:numPr>
        <w:ilvl w:val="3"/>
      </w:numPr>
    </w:pPr>
  </w:style>
  <w:style w:type="paragraph" w:customStyle="1" w:styleId="HeadingLevel2CQA">
    <w:name w:val="Heading Level 2 CQA"/>
    <w:basedOn w:val="HeadingLevel2"/>
    <w:qFormat/>
    <w:rsid w:val="00A66A6A"/>
  </w:style>
  <w:style w:type="paragraph" w:customStyle="1" w:styleId="ClauseBullet1">
    <w:name w:val="Clause Bullet 1"/>
    <w:basedOn w:val="ParaClause"/>
    <w:qFormat/>
    <w:rsid w:val="00A66A6A"/>
    <w:pPr>
      <w:numPr>
        <w:numId w:val="16"/>
      </w:numPr>
      <w:ind w:left="1077" w:hanging="357"/>
      <w:outlineLvl w:val="0"/>
    </w:pPr>
  </w:style>
  <w:style w:type="paragraph" w:customStyle="1" w:styleId="ClauseBullet2">
    <w:name w:val="Clause Bullet 2"/>
    <w:basedOn w:val="ParaClause"/>
    <w:qFormat/>
    <w:rsid w:val="00A66A6A"/>
    <w:pPr>
      <w:numPr>
        <w:numId w:val="17"/>
      </w:numPr>
      <w:ind w:left="1434" w:hanging="357"/>
      <w:outlineLvl w:val="1"/>
    </w:pPr>
  </w:style>
  <w:style w:type="paragraph" w:customStyle="1" w:styleId="subclause1Bullet1">
    <w:name w:val="subclause 1 Bullet 1"/>
    <w:basedOn w:val="Parasubclause1"/>
    <w:qFormat/>
    <w:rsid w:val="00A66A6A"/>
    <w:pPr>
      <w:numPr>
        <w:numId w:val="18"/>
      </w:numPr>
      <w:ind w:left="1077" w:hanging="357"/>
    </w:pPr>
  </w:style>
  <w:style w:type="paragraph" w:customStyle="1" w:styleId="subclause2Bullet1">
    <w:name w:val="subclause 2 Bullet 1"/>
    <w:basedOn w:val="Parasubclause2"/>
    <w:qFormat/>
    <w:rsid w:val="00A66A6A"/>
    <w:pPr>
      <w:numPr>
        <w:numId w:val="20"/>
      </w:numPr>
      <w:ind w:left="1434" w:hanging="357"/>
    </w:pPr>
  </w:style>
  <w:style w:type="paragraph" w:customStyle="1" w:styleId="subclause3Bullet1">
    <w:name w:val="subclause 3 Bullet 1"/>
    <w:basedOn w:val="Parasubclause3"/>
    <w:qFormat/>
    <w:rsid w:val="00A66A6A"/>
    <w:pPr>
      <w:numPr>
        <w:numId w:val="19"/>
      </w:numPr>
      <w:ind w:left="2273" w:hanging="357"/>
    </w:pPr>
  </w:style>
  <w:style w:type="paragraph" w:customStyle="1" w:styleId="subclause1Bullet2">
    <w:name w:val="subclause 1 Bullet 2"/>
    <w:basedOn w:val="Parasubclause1"/>
    <w:qFormat/>
    <w:rsid w:val="00A66A6A"/>
    <w:pPr>
      <w:numPr>
        <w:numId w:val="21"/>
      </w:numPr>
      <w:ind w:left="1434" w:hanging="357"/>
    </w:pPr>
  </w:style>
  <w:style w:type="paragraph" w:customStyle="1" w:styleId="subclause2Bullet2">
    <w:name w:val="subclause 2 Bullet 2"/>
    <w:basedOn w:val="Parasubclause2"/>
    <w:qFormat/>
    <w:rsid w:val="00A66A6A"/>
    <w:pPr>
      <w:numPr>
        <w:numId w:val="22"/>
      </w:numPr>
      <w:ind w:left="2273" w:hanging="357"/>
    </w:pPr>
  </w:style>
  <w:style w:type="paragraph" w:customStyle="1" w:styleId="subclause3Bullet2">
    <w:name w:val="subclause 3 Bullet 2"/>
    <w:basedOn w:val="Parasubclause3"/>
    <w:qFormat/>
    <w:rsid w:val="00A66A6A"/>
    <w:pPr>
      <w:numPr>
        <w:numId w:val="23"/>
      </w:numPr>
      <w:ind w:left="2982" w:hanging="357"/>
    </w:pPr>
  </w:style>
  <w:style w:type="paragraph" w:customStyle="1" w:styleId="DefinedTermBullet">
    <w:name w:val="Defined Term Bullet"/>
    <w:basedOn w:val="DefinedTermPara"/>
    <w:qFormat/>
    <w:rsid w:val="00A66A6A"/>
    <w:pPr>
      <w:numPr>
        <w:numId w:val="24"/>
      </w:numPr>
    </w:pPr>
  </w:style>
  <w:style w:type="paragraph" w:customStyle="1" w:styleId="DefinedTermNumber">
    <w:name w:val="Defined Term Number"/>
    <w:basedOn w:val="DefinedTermPara"/>
    <w:qFormat/>
    <w:rsid w:val="00A66A6A"/>
    <w:pPr>
      <w:numPr>
        <w:numId w:val="25"/>
      </w:numPr>
    </w:pPr>
  </w:style>
  <w:style w:type="paragraph" w:customStyle="1" w:styleId="AdditionalTitle">
    <w:name w:val="Additional Title"/>
    <w:basedOn w:val="Paragraph"/>
    <w:qFormat/>
    <w:rsid w:val="00A66A6A"/>
    <w:pPr>
      <w:jc w:val="left"/>
    </w:pPr>
    <w:rPr>
      <w:b/>
      <w:sz w:val="24"/>
    </w:rPr>
  </w:style>
  <w:style w:type="character" w:customStyle="1" w:styleId="error">
    <w:name w:val="error"/>
    <w:rsid w:val="00A66A6A"/>
    <w:rPr>
      <w:color w:val="000000"/>
    </w:rPr>
  </w:style>
  <w:style w:type="paragraph" w:customStyle="1" w:styleId="NoNumUntitledsubclause1">
    <w:name w:val="No Num Untitled subclause 1"/>
    <w:basedOn w:val="Untitledsubclause1"/>
    <w:qFormat/>
    <w:rsid w:val="00A66A6A"/>
    <w:pPr>
      <w:numPr>
        <w:ilvl w:val="0"/>
        <w:numId w:val="0"/>
      </w:numPr>
      <w:ind w:firstLine="720"/>
    </w:pPr>
  </w:style>
  <w:style w:type="paragraph" w:customStyle="1" w:styleId="BackgroundParaClause">
    <w:name w:val="Background Para Clause"/>
    <w:basedOn w:val="Background"/>
    <w:qFormat/>
    <w:rsid w:val="00A66A6A"/>
    <w:pPr>
      <w:numPr>
        <w:numId w:val="0"/>
      </w:numPr>
    </w:pPr>
  </w:style>
  <w:style w:type="paragraph" w:customStyle="1" w:styleId="BackgroundParaSubclause1">
    <w:name w:val="Background Para Subclause1"/>
    <w:basedOn w:val="BackgroundSubclause1"/>
    <w:qFormat/>
    <w:rsid w:val="00A66A6A"/>
    <w:pPr>
      <w:numPr>
        <w:ilvl w:val="0"/>
        <w:numId w:val="0"/>
      </w:numPr>
      <w:ind w:left="994"/>
    </w:pPr>
    <w:rPr>
      <w:lang w:val="en-US"/>
    </w:rPr>
  </w:style>
  <w:style w:type="paragraph" w:customStyle="1" w:styleId="BackgroundParaSubclause2">
    <w:name w:val="Background Para Subclause2"/>
    <w:basedOn w:val="BackgroundSubclause2"/>
    <w:qFormat/>
    <w:rsid w:val="00A66A6A"/>
    <w:pPr>
      <w:numPr>
        <w:ilvl w:val="0"/>
        <w:numId w:val="0"/>
      </w:numPr>
      <w:ind w:left="1701"/>
    </w:pPr>
    <w:rPr>
      <w:lang w:val="en-US"/>
    </w:rPr>
  </w:style>
  <w:style w:type="paragraph" w:customStyle="1" w:styleId="ClauseBulletPara">
    <w:name w:val="Clause Bullet Para"/>
    <w:basedOn w:val="ClauseBullet1"/>
    <w:qFormat/>
    <w:rsid w:val="00A66A6A"/>
    <w:pPr>
      <w:numPr>
        <w:numId w:val="0"/>
      </w:numPr>
      <w:ind w:left="720" w:firstLine="357"/>
    </w:pPr>
    <w:rPr>
      <w:lang w:val="en-US"/>
    </w:rPr>
  </w:style>
  <w:style w:type="paragraph" w:customStyle="1" w:styleId="ClauseBullet2Para">
    <w:name w:val="Clause Bullet 2 Para"/>
    <w:basedOn w:val="ClauseBullet2"/>
    <w:qFormat/>
    <w:rsid w:val="00A66A6A"/>
    <w:pPr>
      <w:numPr>
        <w:numId w:val="0"/>
      </w:numPr>
      <w:ind w:left="1077" w:firstLine="357"/>
    </w:pPr>
    <w:rPr>
      <w:lang w:val="en-US"/>
    </w:rPr>
  </w:style>
  <w:style w:type="paragraph" w:customStyle="1" w:styleId="ACTJurisdictionCheckList">
    <w:name w:val="ACTJurisdictionCheckList"/>
    <w:basedOn w:val="Normal"/>
    <w:rsid w:val="00A66A6A"/>
    <w:pPr>
      <w:spacing w:after="120" w:line="300" w:lineRule="atLeast"/>
    </w:pPr>
    <w:rPr>
      <w:rFonts w:ascii="Arial" w:hAnsi="Arial"/>
      <w:b/>
      <w:sz w:val="28"/>
    </w:rPr>
  </w:style>
  <w:style w:type="paragraph" w:customStyle="1" w:styleId="JurisdictionDraftingnoteTitle">
    <w:name w:val="Jurisdiction Draftingnote Title"/>
    <w:basedOn w:val="DraftingnoteTitle"/>
    <w:qFormat/>
    <w:rsid w:val="00A66A6A"/>
  </w:style>
  <w:style w:type="paragraph" w:customStyle="1" w:styleId="ScheduleTitleClause">
    <w:name w:val="Schedule Title Clause"/>
    <w:basedOn w:val="Normal"/>
    <w:rsid w:val="00A66A6A"/>
    <w:pPr>
      <w:keepNext/>
      <w:numPr>
        <w:numId w:val="41"/>
      </w:numPr>
      <w:spacing w:before="240" w:after="240" w:line="300" w:lineRule="atLeast"/>
      <w:jc w:val="both"/>
      <w:outlineLvl w:val="0"/>
    </w:pPr>
    <w:rPr>
      <w:rFonts w:ascii="Arial" w:hAnsi="Arial"/>
      <w:b/>
      <w:kern w:val="28"/>
      <w:szCs w:val="20"/>
      <w:lang w:eastAsia="en-US"/>
    </w:rPr>
  </w:style>
  <w:style w:type="paragraph" w:styleId="TOC1">
    <w:name w:val="toc 1"/>
    <w:basedOn w:val="Normal"/>
    <w:next w:val="Normal"/>
    <w:autoRedefine/>
    <w:uiPriority w:val="39"/>
    <w:rsid w:val="00805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71423\AppData\Roaming\Microsoft\Templates\Gent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deed">
      <prelim>
        <product.name>product.name0</product.name>
        <title>Collateral warranty to be provided by a professional consultant</title>
        <author>
          <link href="http://uk.practicallaw.com/about/our-team/uk-construction" style="ACTLinkURL">
            <ital>Practical Law Construction</ital>
          </link>
           (based on a document originally provided by Pinsent Masons LLP)
        </author>
        <resource.type>Standard documents</resource.type>
        <juris>juris0</juris>
        <juris>juris1</juris>
      </prelim>
      <abstract>
        <para>
          <paratext>A collateral warranty to be provided by a professional consultant in favour of a funder, purchaser (buyer) or tenant, suitable for use in a traditional procurement or design and build context.</paratext>
        </para>
      </abstract>
      <toc.identifier hasToc="true"/>
      <body>
        <drafting.note id="a1000348">
          <head align="left" preservecase="true">
            <headtext>About this document</headtext>
          </head>
          <division id="a979805" level="1">
            <head align="left" preservecase="true">
              <headtext>Collateral warranties in general</headtext>
            </head>
            <para>
              <paratext>For more information on collateral warranties, see Practice notes:</paratext>
            </para>
            <list type="bulleted">
              <list.item>
                <para>
                  <paratext>
                    <link href="0-371-6962" style="ACTLinkPLCtoPLC">
                      <ital>Collateral warranties on construction projects</ital>
                    </link>
                    .
                    <ital/>
                  </paratext>
                </para>
              </list.item>
              <list.item>
                <para>
                  <paratext>
                    <link href="1-382-8370" style="ACTLinkPLCtoPLC">
                      <ital>Professional appointments: collateral warranties and third party rights</ital>
                    </link>
                    .
                    <ital/>
                  </paratext>
                </para>
              </list.item>
            </list>
          </division>
          <division id="a572592" level="1">
            <head align="left" preservecase="true">
              <headtext>Using this collateral warranty</headtext>
            </head>
            <para>
              <paratext>
                The standard document is primarily intended for use on a commercial property development or a similar transaction. It uses terms similar to the 
                <link href="5-382-5666" style="ACTLinkPLCtoPLC">
                  <ital>Standard document, Professional appointment</ital>
                </link>
                .
              </paratext>
            </para>
          </division>
          <division id="a863676" level="1">
            <head align="left" preservecase="true">
              <headtext>Net contribution clauses</headtext>
            </head>
            <para>
              <paratext>
                The standard document does not include a 
                <link href="4-362-5960" style="ACTLinkPLCtoPLC">
                  <bold>
                    <ital>net contribution clause</ital>
                  </bold>
                </link>
                . If you are including a net contribution clause in the collateral warranty, consider replacing 
                <internal.reference refid="a62445">clause 2.2</internal.reference>
                 with 
                <link href="4-381-2136" style="ACTLinkPLCtoPLC">
                  <ital>Standard clause, Limitation clause: Combined limitation clause for a collateral warranty</ital>
                </link>
                .
              </paratext>
            </para>
            <para>
              <paratext>For more information on net contribution clauses, see:</paratext>
            </para>
            <list type="bulleted">
              <list.item>
                <para>
                  <paratext>
                    <link href="6-376-4243" style="ACTLinkPLCtoPLC">
                      <ital>Practice note, Net contribution: what is a net contribution clause?</ital>
                    </link>
                    <ital/>
                  </paratext>
                </para>
              </list.item>
              <list.item>
                <para>
                  <paratext>
                    <link href="8-376-4242" style="ACTLinkPLCtoPLC">
                      <ital>Practice note, Net contribution: should a construction document include a net contribution clause?</ital>
                    </link>
                    <ital/>
                  </paratext>
                </para>
              </list.item>
              <list.item>
                <para>
                  <paratext>
                    <link href="6-382-8377#a761642" style="ACTLinkPLCtoPLC">
                      <ital>Practice note, Professional appointments: limitations of liability: Net contribution clauses</ital>
                    </link>
                    .
                    <ital/>
                  </paratext>
                </para>
              </list.item>
              <list.item>
                <para>
                  <paratext>
                    <link href="9-329-1313" style="ACTLinkPLCtoPLC">
                      <ital>Standard clause, Net contribution clause for a collateral warranty</ital>
                    </link>
                    .
                    <ital/>
                  </paratext>
                </para>
              </list.item>
            </list>
          </division>
          <division id="a740366" level="1">
            <head align="left" preservecase="true">
              <headtext>Drafting back-to-back</headtext>
            </head>
            <para>
              <paratext>
                The parties should check that the wording of the collateral warranty does not conflict with the Professional Appointment to which it relates. For example, any copyright licence (see 
                <internal.reference refid="a633969">clause 8.</internal.reference>
                ) and any professional indemnity insurance clause (see 
                <internal.reference refid="a496637">clause 9.</internal.reference>
                ) should be consistent in the collateral warranty and the Professional Appointment.
              </paratext>
            </para>
            <para>
              <paratext>It is easy for the parties to overlook a discrepancy when they are preparing a collateral warranty for signature, or when they are agreeing a draft form of collateral warranty or Professional Appointment.</paratext>
            </para>
          </division>
          <division id="a913796" level="1">
            <head align="left" preservecase="true">
              <headtext>Is a collateral warranty subject to the Construction Act 1996?</headtext>
            </head>
            <para>
              <paratext>A practitioner negotiating any form of collateral warranty relating to a construction project should consider:</paratext>
            </para>
            <list type="bulleted">
              <list.item>
                <para>
                  <paratext>
                    Whether the collateral warranty is subject to the 
                    <link href="1-508-6432" style="ACTLinkPLCtoPLC">
                      <ital>Housing Grants, Construction and Regeneration Act 1996</ital>
                    </link>
                     (Construction Act 1996) (see 
                    <internal.reference refid="a964111">Drafting note, Does the Construction Act 1996 apply?</internal.reference>
                    ).
                  </paratext>
                </para>
              </list.item>
              <list.item>
                <para>
                  <paratext>
                    If the Construction Act 1996 does apply, whether the collateral warranty requires amendment (see 
                    <internal.reference refid="a445646">Drafting note, Addressing the implied term found in Aspect v Higgins</internal.reference>
                    ).
                  </paratext>
                </para>
              </list.item>
            </list>
            <division id="a964111" level="2">
              <head align="left" preservecase="true">
                <headtext>Does the Construction Act 1996 apply?</headtext>
              </head>
              <para>
                <paratext>
                  In 
                  <link href="D-022-9147" style="ACTLinkURL">
                    <ital>Parkwood Leisure Ltd v Laing O'Rourke Wales and West Ltd [2013] EWHC 2665 (TCC)</ital>
                  </link>
                  , Akenhead J held that a collateral warranty was a construction contract, as defined by 
                  <link href="6-508-6533" style="ACTLinkPLCtoPLC">
                    <ital>section 104</ital>
                  </link>
                   of the 
                  <link href="1-508-6432" style="ACTLinkPLCtoPLC">
                    <ital>Construction Act 1996</ital>
                  </link>
                   (see 
                  <link href="3-540-0826" style="ACTLinkPLCtoPLC">
                    <ital>Legal update, Collateral warranty is a construction contract</ital>
                  </link>
                  ). It is unclear how that decision will be applied to other forms of collateral warranty, including Practical Law Construction's standard forms. However, when considering the impact of that judgment, practitioners should note that this standard document:
                </paratext>
              </para>
              <list type="bulleted">
                <list.item>
                  <para>
                    <paratext>
                      Only gives a warranty in favour of the Beneficiary (see 
                      <internal.reference refid="a435368">clause 2.1</internal.reference>
                      ). In contrast with the collateral warranty in the 
                      <ital>Parkwood</ital>
                       case, it does not refer to any "agreement" with the beneficiary or "undertaking" in its favour.
                    </paratext>
                  </para>
                </list.item>
                <list.item>
                  <para>
                    <paratext>
                      Warrants all of the services, regardless of whether they are performed before or after the collateral warranty is executed (see 
                      <internal.reference refid="a1054114">clause 2.1(a)</internal.reference>
                      ). Wording of this type was also included in the collateral warranty considered in the 
                      <ital>Parkwood</ital>
                       case. However, we consider that such wording is important to protect the position of a Beneficiary that receives the collateral warranty in its favour before practical completion of the project to which the services relate, as is common in many construction projects.
                    </paratext>
                  </para>
                </list.item>
              </list>
              <para>
                <paratext>
                  For more information on the 
                  <ital>Parkwood</ital>
                   decision and its ramifications, see:
                </paratext>
              </para>
              <list type="bulleted">
                <list.item>
                  <para>
                    <paratext>
                      <link href="0-371-6962#a813845" style="ACTLinkPLCtoPLC">
                        <ital>Practice note, Collateral warranties on construction projects: Is a collateral warranty a construction contract under the Construction Act 1996?</ital>
                      </link>
                      .
                      <ital/>
                    </paratext>
                  </para>
                </list.item>
                <list.item>
                  <para>
                    <paratext>Blog posts:</paratext>
                  </para>
                  <list type="bulleted">
                    <list.item>
                      <para>
                        <paratext>
                          <link href="http://construction.practicallaw.com/blog/construction/pinsents/?p=233" style="ACTLinkURL">
                            <ital>TCC decides that tenant collateral warranty is subject to statutory adjudication</ital>
                          </link>
                          ;
                          <ital/>
                        </paratext>
                      </para>
                    </list.item>
                    <list.item>
                      <para>
                        <paratext>
                          <link href="http://constructionblog.practicallaw.com/so-a-collateral-warranty-is-a-construction-contract-after-all/" style="ACTLinkURL">
                            <ital>So, a collateral warranty is a construction contract after all</ital>
                          </link>
                          ; and
                          <ital/>
                        </paratext>
                      </para>
                    </list.item>
                    <list.item>
                      <para>
                        <paratext>
                          <link href="http://construction.practicallaw.com/blog/construction/blp/?p=502" style="ACTLinkURL">
                            <ital>Collateral warranties and the Construction Act – a nasty surprise</ital>
                          </link>
                          .
                          <ital/>
                        </paratext>
                      </para>
                    </list.item>
                  </list>
                </list.item>
              </list>
            </division>
            <division id="a445646" level="2">
              <head align="left" preservecase="true">
                <headtext>Addressing the implied term found in Aspect v Higgins</headtext>
              </head>
              <para>
                <paratext>
                  If a collateral warranty is subject to the Construction Act 1996, a practitioner should consider inserting express wording that addresses the issues raised by the Supreme Court's judgment in 
                  <link href="D-033-3941" style="ACTLinkURL">
                    <ital>Aspect Contracts (Asbestos) Ltd v Higgins Construction Plc [2015] UKSC 38</ital>
                  </link>
                   (see 
                  <link href="4-616-4979" style="ACTLinkPLCtoPLC">
                    <ital>Legal update, Supreme Court finds implied term that paying party in an adjudication can have dispute finally determined by court</ital>
                  </link>
                  ). The Supreme Court decided that:
                </paratext>
              </para>
              <list type="bulleted">
                <list.item>
                  <para>
                    <paratext>
                      There is an implied term that a paying party in an adjudication under the 
                      <link href="1-508-6559" style="ACTLinkPLCtoPLC">
                        <ital>Scheme for Construction Contracts (England and Wales) Regulations 1998 (SI 1998/649)</ital>
                      </link>
                       (Scheme for Construction Contracts 1998) is entitled to have the dispute determined by litigation and to repayment of monies paid if those court proceedings are successful.
                    </paratext>
                  </para>
                </list.item>
                <list.item>
                  <para>
                    <paratext>The limitation period for that litigation runs from the date of payment in accordance with the adjudicator's decision.</paratext>
                  </para>
                </list.item>
              </list>
              <para>
                <paratext>
                  <ital>Aspect v Higgins</ital>
                   raises the possibility that a party may commence legal proceedings relating to an adjudicator's decision after the usual limitation period for breach of contract or any tortious claim has expired. For suggested drafting addressing this possibility, see 
                  <link href="5-382-5666#a289085" style="ACTLinkPLCtoPLC">
                    <ital>Standard document, Professional appointment: 24. Liability period</ital>
                  </link>
                  .
                  <ital/>
                </paratext>
              </para>
              <para>
                <paratext>
                  As with any other provision in a collateral warranty, a practitioner should ensure that any wording addressing the implied term in 
                  <ital>Aspect v Higgins</ital>
                   is similar to the professional appointment to which it relates (see 
                  <internal.reference refid="a740366">Drafting note, Drafting back-to-back</internal.reference>
                  ).
                </paratext>
              </para>
              <para>
                <paratext>We have not included drafting on this issue in this document because, on balance, we anticipate that parties will usually decide that the risk of possible confusion and added complexity outweighs the potential benefit for a collateral warranty.</paratext>
              </para>
            </division>
          </division>
        </drafting.note>
        <cover.sheet>
          <head align="left" preservecase="true">
            <headtext>Consultant's collateral warranty</headtext>
          </head>
          <subject.intro>relating to a project at</subject.intro>
          <subject.text>[SHORT DESCRIPTION OF PROPERTY OR PROJECT]</subject.text>
          <party.name>[Consultant]</party.name>
          <AdditionalPartyType>
            <static.and>and</static.and>
            <party.name>[Beneficiary]</party.name>
          </AdditionalPartyType>
          <AdditionalPartyType>
            <static.and>and</static.and>
            <party.name>[Client]</party.name>
          </AdditionalPartyType>
        </cover.sheet>
        <intro>
          <intro.date/>
        </intro>
        <parties>
          <head align="left" preservecase="true">
            <headtext>PARTIES</headtext>
          </head>
          <drafting.note id="a442634">
            <head align="left" preservecase="true">
              <headtext>Client as a party</headtext>
            </head>
            <division id="a000003" level="1">
              <para>
                <paratext>
                  The Client is an optional party, because it must consent to step-in rights (see 
                  <internal.reference refid="a57970">clause 5.2</internal.reference>
                  ). If the collateral warranty does not include step-in rights, the parties should use the optional defined term for the Client (see 
                  <internal.reference refid="a993880">Drafting note, Client</internal.reference>
                  ). For more information on step-in rights, see 
                  <link href="0-371-6962#a708976" style="ACTLinkPLCtoPLC">
                    <ital>Practice note, Collateral warranties on construction projects: Key differences in funder collateral warranties</ital>
                  </link>
                  .
                </paratext>
              </para>
            </division>
          </drafting.note>
          <party executionmethod="contract" id="a233919" status="individual">
            <identifier>(1)</identifier>
            <defn.item>
              <defn>
                <para>
                  <paratext>[FULL COMPANY NAME] incorporated and registered in England and Wales with company number [NUMBER] whose registered office is at [REGISTERED OFFICE ADDRESS]</paratext>
                </para>
              </defn>
              <defn.term>Consultant</defn.term>
            </defn.item>
          </party>
          <party executionmethod="contract" id="a169362" status="individual">
            <identifier>(2)</identifier>
            <defn.item>
              <defn>
                <para>
                  <paratext>[FULL COMPANY NAME] incorporated and registered in England and Wales with company number [NUMBER] whose registered office is at [REGISTERED OFFICE ADDRESS]</paratext>
                </para>
              </defn>
              <defn.term>Beneficiary</defn.term>
            </defn.item>
          </party>
          <party condition="optional" executionmethod="contract" id="a499855" status="individual">
            <identifier>(3)</identifier>
            <defn.item>
              <defn>
                <para>
                  <paratext>[FULL COMPANY NAME] incorporated and registered in England and Wales with company number [NUMBER] whose registered office is at [REGISTERED OFFICE ADDRESS]</paratext>
                </para>
              </defn>
              <defn.term>Client</defn.term>
            </defn.item>
          </party>
        </parties>
        <recitals>
          <head align="left" preservecase="true">
            <headtext>BACKGROUND</headtext>
          </head>
          <clause id="a80893">
            <identifier>(A)</identifier>
            <para>
              <paratext>The Client has engaged the Consultant to perform the Services in relation to the Project.</paratext>
            </para>
          </clause>
          <clause id="a347926">
            <identifier>(B)</identifier>
            <para>
              <paratext>The Beneficiary, as [NATURE OF BENEFICIARY'S INTEREST], has an interest in the Project.</paratext>
            </para>
            <drafting.note id="a744592">
              <head align="left" preservecase="true">
                <headtext>Nature of Beneficiary's interest</headtext>
              </head>
              <division id="a000004" level="1">
                <para>
                  <paratext>The nature of the Beneficiary's interest will most commonly be as a Funder, a purchaser or a tenant.</paratext>
                </para>
              </division>
            </drafting.note>
          </clause>
          <clause id="a503787">
            <identifier>(C)</identifier>
            <para>
              <paratext>The Client requires the Consultant to enter into a collateral warranty in favour of the Beneficiary.</paratext>
            </para>
          </clause>
          <clause id="a898996">
            <identifier>(D)</identifier>
            <para>
              <paratext>The Consultant has agreed to enter into this agreement [with the Client and] the Beneficiary, for the benefit of the Beneficiary.</paratext>
            </para>
            <drafting.note id="a1002101">
              <head align="left" preservecase="true">
                <headtext>Client as party</headtext>
              </head>
              <division id="a000005" level="1">
                <para>
                  <paratext>Use the wording in square brackets if the Client is a party to this agreement.</paratext>
                </para>
              </division>
            </drafting.note>
          </clause>
          <clause condition="optional" id="a713368">
            <identifier>(E)</identifier>
            <para>
              <paratext>The Beneficiary has paid £1 to the Consultant [and the Client] as consideration under this agreement.</paratext>
            </para>
            <drafting.note id="a345950">
              <head align="left" preservecase="true">
                <headtext>Consideration</headtext>
              </head>
              <division id="a000006" level="1">
                <para>
                  <paratext>
                    If the parties execute the collateral warranty as a deed, it does not require consideration. However, some practitioners always prefer to include nominal consideration in case one party fails to comply with one of the formalities of executing the agreement as a deed (see 
                    <link href="0-380-8400" style="ACTLinkPLCtoPLC">
                      <ital>Practice note, Execution of deeds and documents</ital>
                    </link>
                    ).
                  </paratext>
                </para>
                <para>
                  <paratext>If the parties choose to refer to nominal consideration, and the Client is a party to the collateral warranty, the standard document refers to the Beneficiary paying both the Consultant and the Client. Both the Consultant and the Client enter into obligations with the Beneficiary.</paratext>
                </para>
                <para>
                  <paratext>
                    If a collateral warranty is not executed as a deed, and does not include nominal consideration, the parties may argue that the agreement is still enforceable because it is an integral part of the Consultant's obligations, for which the Consultant is paid under the Professional Appointment. Similarly, the parties would draft the Client's obligations under an agreement for lease or funding agreement with the collateral warranty's step-in rights in mind (see 
                    <internal.reference refid="a171112">clause 3.</internal.reference>
                    ).
                  </paratext>
                </para>
                <para>
                  <paratext>
                    For more information on consideration, see 
                    <link href="3-107-4828#a494900" style="ACTLinkPLCtoPLC">
                      <ital>Practice note, Contracts: formation: Consideration</ital>
                    </link>
                    .
                  </paratext>
                </para>
              </division>
            </drafting.note>
          </clause>
        </recitals>
        <operative>
          <head align="left" preservecase="true">
            <headtext>Agreed terms</headtext>
          </head>
          <clause id="a343281">
            <identifier>1.</identifier>
            <head align="left" preservecase="true">
              <headtext>Interpretation</headtext>
            </head>
            <para>
              <paratext>The following definitions and rules of interpretation apply in this agreement.</paratext>
            </para>
            <subclause1 id="a260422">
              <identifier>1.1</identifier>
              <para>
                <paratext>Definitions:</paratext>
              </para>
              <defn.item>
                <defn.term>Business Day</defn.term>
                <defn>
                  <para>
                    <paratext>a day other than a Saturday, Sunday or public holiday in [England] when banks in [London] are open for business.</paratext>
                  </para>
                </defn>
                <drafting.note id="a727151">
                  <head align="left" preservecase="true">
                    <headtext>Business Day</headtext>
                  </head>
                  <division id="a000007" level="1">
                    <para>
                      <paratext>
                        See 
                        <internal.reference refid="a484509">clause 12.</internal.reference>
                        . Amend this to reflect the Professional Appointment, if different.
                      </paratext>
                    </para>
                  </division>
                </drafting.note>
              </defn.item>
              <defn.item>
                <defn.term>CDM Regulations</defn.term>
                <defn>
                  <para>
                    <paratext>the Construction (Design and Management) Regulations 2015 (SI 2015/51).</paratext>
                  </para>
                </defn>
                <drafting.note id="a85880">
                  <head align="left" preservecase="true">
                    <headtext>CDM Regulations</headtext>
                  </head>
                  <division id="a000008" level="1">
                    <para>
                      <paratext>
                        The 
                        <link href="3-598-0745" style="ACTLinkPLCtoPLC">
                          <ital>Construction (Design and Management) Regulations 2015 (SI 2015/51)</ital>
                        </link>
                         (CDM 2015) came into force from 6 April 2015, replacing the 
                        <link href="3-508-0410" style="ACTLinkPLCtoPLC">
                          <ital>Construction (Design and Management) Regulations 2007 (SI 2007/320)</ital>
                        </link>
                         (CDM 2007).
                      </paratext>
                    </para>
                    <para>
                      <paratext>
                        Unlike the CDM 2007, the CDM 2015 are not accompanied by an Approved Code of Practice (ACoP). The HSE has published 
                        <link href="1-595-6807" style="ACTLinkPLCtoPLC">
                          <ital>Guidance on The Construction (Design and Management) Regulations 2015</ital>
                        </link>
                        , but that does not have the same legal status as an ACoP. (For more information on the status of an ACoP, see 
                        <link href="7-207-4986" style="ACTLinkPLCtoPLC">
                          <ital>Practice note, Approved Codes of Practice: Special status in health and safety law</ital>
                        </link>
                        .)
                      </paratext>
                    </para>
                    <para>
                      <paratext>Parties may wish to add a reference to the HSE guidance to this definition, but should note its different status from the ACoP when making that decision.</paratext>
                    </para>
                    <para>
                      <paratext>
                        For more information, see 
                        <link href="9-595-5385" style="ACTLinkPLCtoPLC">
                          <ital>Practice note, CDM 2015: Construction (Design and Management) Regulations 2015</ital>
                        </link>
                        .
                      </paratext>
                    </para>
                  </division>
                </drafting.note>
              </defn.item>
              <defn.item condition="optional">
                <defn.term>Client</defn.term>
                <defn>
                  <para>
                    <paratext>[FULL COMPANY NAME] incorporated and registered in England and Wales with company number [NUMBER] whose registered office is at [REGISTERED OFFICE ADDRESS].</paratext>
                  </para>
                </defn>
                <drafting.note id="a993880">
                  <head align="left" preservecase="true">
                    <headtext>Client</headtext>
                  </head>
                  <division id="a000009" level="1">
                    <para>
                      <paratext>If the Client is a party to the collateral warranty, the parties should delete the defined term for the Client.</paratext>
                    </para>
                  </division>
                </drafting.note>
              </defn.item>
              <defn.item>
                <defn.term>Construction Products Regulations</defn.term>
                <defn>
                  <para>
                    <paratext>the Construction Products Regulations 2013 (SI 2013/1387), the Construction Products Regulation (305/2011/EU), the Construction Products Regulations 1991 (SI 1991/1620) and the Construction Products Directive (89/109/EC).</paratext>
                  </para>
                </defn>
                <drafting.note id="a426512">
                  <head align="left" preservecase="true">
                    <headtext>Construction Products Regulations</headtext>
                  </head>
                  <division id="a000010" level="1">
                    <para>
                      <paratext>
                        This definition is used in the definition of 
                        <internal.reference refid="a260553"> Deleterious</internal.reference>
                        . It refers to the 1989 Directive and 1991 Regulations as well as the 2011 Regulation and the 2013 Regulations because the legislation that applies differs depending on whether a product was first placed on the market before 1 July 2013. For more information on the regulation of construction products, see 
                        <link href="4-504-5992" style="ACTLinkPLCtoPLC">
                          <ital>Practice note, Construction products regulation</ital>
                        </link>
                        .
                      </paratext>
                    </para>
                  </division>
                </drafting.note>
              </defn.item>
              <defn.item>
                <defn.term>Deleterious</defn.term>
                <defn>
                  <para>
                    <paratext>materials, equipment, products or kits that are generally accepted, or generally suspected, in the construction industry at the relevant time as:</paratext>
                  </para>
                  <list type="loweralpha">
                    <list.item>
                      <para>
                        <paratext>posing a threat to the health and safety of any person; or</paratext>
                      </para>
                    </list.item>
                    <list.item>
                      <para>
                        <paratext>posing a threat to the structural stability, performance or physical integrity of the Project or any part or component of the Project; or</paratext>
                      </para>
                    </list.item>
                    <list.item>
                      <para>
                        <paratext>reducing, or possibly reducing, the normal life expectancy of the Project or any part or component of the Project; or</paratext>
                      </para>
                    </list.item>
                    <list.item>
                      <para>
                        <paratext>not being in accordance with any relevant British Standard, relevant code of practice, good building practice or any applicable agrément certificate issued by the British Board of Agrément; or</paratext>
                      </para>
                    </list.item>
                    <list.item>
                      <para>
                        <paratext>having been supplied or placed on the market in breach of the Construction Products Regulations.</paratext>
                      </para>
                    </list.item>
                  </list>
                </defn>
                <drafting.note id="a573216">
                  <head align="left" preservecase="true">
                    <headtext>Deleterious</headtext>
                  </head>
                  <division id="a000011" level="1">
                    <para>
                      <paratext>
                        Deleterious, or "prohibited", materials may not be used or specified in the Project (see 
                        <internal.reference refid="a784490">clause 2.1(b)(ii)</internal.reference>
                        ).
                      </paratext>
                    </para>
                    <para>
                      <paratext>Each of the sub-clauses is qualified by reference to a "generally accepted, or generally suspected" level of knowledge in the construction industry.</paratext>
                    </para>
                    <para>
                      <paratext>
                        The "relevant time" referred to is determined by 
                        <internal.reference refid="a784490">clause 2.1(b)(ii)</internal.reference>
                        .
                      </paratext>
                    </para>
                    <para>
                      <paratext>
                        The 
                        <link href="5-381-3908" style="ACTLinkPLCtoPLC">
                          <ital>British Board of Agrément</ital>
                        </link>
                         issues certificates designed to demonstrate that a product:
                      </paratext>
                    </para>
                    <list type="bulleted">
                      <list.item>
                        <para>
                          <paratext>Has been rigorously assessed.</paratext>
                        </para>
                      </list.item>
                      <list.item>
                        <para>
                          <paratext>Will allow a contractor to comply with Building Regulations.</paratext>
                        </para>
                      </list.item>
                      <list.item>
                        <para>
                          <paratext>Will last for a defined period.</paratext>
                        </para>
                      </list.item>
                    </list>
                  </division>
                </drafting.note>
              </defn.item>
              <defn.item>
                <defn.term>Funder</defn.term>
                <defn>
                  <para>
                    <paratext>a person that has provided, or is to provide, finance in connection with:</paratext>
                  </para>
                  <list type="loweralpha">
                    <list.item>
                      <para>
                        <paratext>the whole or any part of the Project or the completed Project; or</paratext>
                      </para>
                    </list.item>
                    <list.item>
                      <para>
                        <paratext>the site of the Project,</paratext>
                      </para>
                    </list.item>
                  </list>
                  <para>
                    <paratext>whether that person acts on its own account, as agent for a syndicate of other parties or otherwise.</paratext>
                  </para>
                </defn>
                <drafting.note id="a468095">
                  <head align="left" preservecase="true">
                    <headtext>Funder</headtext>
                  </head>
                  <division id="a000012" level="1">
                    <para>
                      <paratext>
                        See the optional wording in 
                        <internal.reference refid="a920063">clause 11.1(b)(i)</internal.reference>
                        .
                      </paratext>
                    </para>
                  </division>
                </drafting.note>
              </defn.item>
              <defn.item>
                <defn.term>Material</defn.term>
                <defn>
                  <para>
                    <paratext>all designs, drawings, models, plans, specifications, design details, photographs, brochures, reports, notes of meetings, CAD materials, calculations, data, databases, schedules, programmes, bills of quantities, budgets and any other materials provided in connection with the Project and all updates, amendments, additions and revisions to them and any works, designs, or inventions incorporated or referred to in them for any purpose relating to the Project.</paratext>
                  </para>
                </defn>
                <drafting.note id="a45419">
                  <head align="left" preservecase="true">
                    <headtext>Material and Permitted Uses</headtext>
                  </head>
                  <division id="a000013" level="1">
                    <para>
                      <paratext>
                        These definitions relate to the copyright licence (see 
                        <internal.reference refid="a633969">clause 8.</internal.reference>
                        ). In the definition of Permitted Uses, including the optional word "extension" favours the Beneficiary (see 
                        <internal.reference refid="a914329">clause 8.2</internal.reference>
                        ).
                      </paratext>
                    </para>
                  </division>
                </drafting.note>
              </defn.item>
              <defn.item>
                <defn.term>Permitted Uses</defn.term>
                <defn>
                  <para>
                    <paratext>the design, construction, completion, reconstruction, modification, refurbishment, development, maintenance, facilities management, funding, disposal, letting, fitting-out, advertisement, decommissioning, demolition, reinstatement[, extension], building information modelling and repair of the Property and the Project.</paratext>
                  </para>
                </defn>
                <drafting.note id="a704543">
                  <head align="left" preservecase="true">
                    <headtext>Permitted Uses</headtext>
                  </head>
                  <division id="a000014" level="1">
                    <para>
                      <paratext>
                        For more information on building information modelling, see 
                        <link href="9-518-4297" style="ACTLinkPLCtoPLC">
                          <ital>Practice note, Building Information Modelling (BIM): an overview</ital>
                        </link>
                        .
                      </paratext>
                    </para>
                  </division>
                </drafting.note>
              </defn.item>
              <defn.item>
                <defn.term>Professional Appointment</defn.term>
                <defn>
                  <para>
                    <paratext>
                      an agreement in writing dated [DATE] between the Consultant and [the Client 
                      <bold>OR</bold>
                       [ORIGINAL CLIENT] and novated to the Client under a deed of novation dated [DATE] between the Consultant, [ORIGINAL CLIENT] and the Client].
                    </paratext>
                  </para>
                </defn>
                <drafting.note id="a516338">
                  <head align="left" preservecase="true">
                    <headtext>Professional Appointment</headtext>
                  </head>
                  <division id="a000015" level="1">
                    <para>
                      <paratext>
                        The wording referring to the original client should be used in a design and build project if the Professional Appointment has been novated to the (current) Client. In those circumstances, the "Client" would be the design and build contractor. (For information on design and build procurement, see 
                        <link href="6-376-3535" style="ACTLinkPLCtoPLC">
                          <ital>Practice note, Procurement route: design and build procurement</ital>
                        </link>
                        .)
                      </paratext>
                    </para>
                    <para>
                      <paratext>For more information on novation, see Practice notes:</paratext>
                    </para>
                    <list type="bulleted">
                      <list.item>
                        <para>
                          <paratext>
                            <link href="2-382-7247#a956120" style="ACTLinkPLCtoPLC">
                              <ital>Professional appointments: assignment and novation: Novation of the benefit and burden</ital>
                            </link>
                            .
                            <ital/>
                          </paratext>
                        </para>
                      </list.item>
                      <list.item>
                        <para>
                          <paratext>
                            <link href="1-315-1953" style="ACTLinkPLCtoPLC">
                              <ital>Novation of construction documents</ital>
                            </link>
                            .
                            <ital/>
                          </paratext>
                        </para>
                      </list.item>
                    </list>
                  </division>
                </drafting.note>
              </defn.item>
              <defn.item>
                <defn.term>Programme</defn.term>
                <defn>
                  <para>
                    <paratext>the programme, as defined in the Professional Appointment.</paratext>
                  </para>
                </defn>
              </defn.item>
              <defn.item>
                <defn.term>Project</defn.term>
                <defn>
                  <para>
                    <paratext>[DESCRIPTION OF PROJECT].</paratext>
                  </para>
                </defn>
              </defn.item>
              <defn.item>
                <defn.term>Property</defn.term>
                <defn>
                  <para>
                    <paratext>[DESCRIPTION OF PROPERTY].</paratext>
                  </para>
                </defn>
                <drafting.note id="a44151">
                  <head align="left" preservecase="true">
                    <headtext>Property</headtext>
                  </head>
                  <division id="a000016" level="1">
                    <para>
                      <paratext>The Property bought or leased by a Beneficiary may only be a part of the Project.</paratext>
                    </para>
                  </division>
                </drafting.note>
              </defn.item>
              <defn.item>
                <defn.term>Required Standard</defn.term>
                <defn>
                  <para>
                    <paratext>all the reasonable skill, care and diligence to be expected of a qualified and experienced member of the Consultant's profession undertaking the Services on works similar in scope and character to the Project.</paratext>
                  </para>
                </defn>
                <drafting.note id="a1035516">
                  <head align="left" preservecase="true">
                    <headtext>Required Standard</headtext>
                  </head>
                  <division id="a000017" level="1">
                    <para>
                      <paratext>
                        See 
                        <internal.reference refid="a960573">clause 2.1(b)</internal.reference>
                        .
                      </paratext>
                    </para>
                    <para>
                      <paratext>The parties should ensure that the standard of care under this collateral warranty is "back to back" with the standard of care under the Professional Appointment.</paratext>
                    </para>
                    <para>
                      <paratext>Note that many bespoke collateral warranties and forms of professional appointment use an equally effective alternative approach and do not define the Required Standard. Typically, they either repeat the standard of care in full each time it is referred to, or use a cross-reference to the clause where it is first introduced. We have chosen to define the Required Standard to ensure that the same standard of care applies to any clause that refers to it, with the parties needing to make only one amendment (to this definition) to achieve that consistency.</paratext>
                    </para>
                  </division>
                </drafting.note>
              </defn.item>
              <defn.item>
                <defn.term>Services</defn.term>
                <defn>
                  <para>
                    <paratext>the services referred to in the Professional Appointment, performed by or on behalf of the Consultant under the Professional Appointment.</paratext>
                  </para>
                </defn>
              </defn.item>
              <defn.item>
                <defn.term>Third Party Agreement</defn.term>
                <defn>
                  <para>
                    <paratext>any agreement between the Client and a third party relating to the Project and of which:</paratext>
                  </para>
                  <list type="loweralpha">
                    <list.item>
                      <para>
                        <paratext>
                          a copy, or relevant extract, is attached at [Schedule 5 
                          <bold>OR</bold>
                           [REFERENCE]] to the Professional Appointment; or
                        </paratext>
                      </para>
                    </list.item>
                    <list.item>
                      <para>
                        <paratext>the Client notifies the Consultant in writing after the date of the Professional Appointment [enclosing a copy or relevant extracts].</paratext>
                      </para>
                    </list.item>
                  </list>
                </defn>
                <drafting.note id="a405244">
                  <head align="left" preservecase="true">
                    <headtext>Third Party Agreement</headtext>
                  </head>
                  <division id="a000018" level="1">
                    <para>
                      <paratext>
                        In this definition, the reference to schedule 5 reflects the schedule numbering in the 
                        <link href="5-382-5666" style="ACTLinkPLCtoPLC">
                          <ital>Standard document, Professional appointment</ital>
                        </link>
                        .
                      </paratext>
                    </para>
                    <para>
                      <paratext>
                        For information on Third Party Agreements, see 
                        <link href="1-382-8389" style="ACTLinkPLCtoPLC">
                          <ital>Practice note, Professional appointments: third party agreements</ital>
                        </link>
                        .
                      </paratext>
                    </para>
                  </division>
                </drafting.note>
              </defn.item>
            </subclause1>
            <subclause1 id="a785293">
              <identifier>1.2</identifier>
              <para>
                <paratext>Clause headings shall not affect the interpretation of this agreement.</paratext>
              </para>
            </subclause1>
            <subclause1 id="a44345">
              <identifier>1.3</identifier>
              <para>
                <paratext>
                  A 
                  <defn.term>person</defn.term>
                   includes a natural person, corporate or unincorporated body (whether or not having separate legal personality).
                </paratext>
              </para>
              <drafting.note id="a990953">
                <head align="left" preservecase="true">
                  <headtext>Definitions of parties do not include permitted assigns</headtext>
                </head>
                <division id="a000019" level="1">
                  <para>
                    <paratext>
                      The definitions of the parties do not include a reference to permitted assigns. Instead, 
                      <internal.reference refid="a44345">clause 1.3</internal.reference>
                       refers to them, as does 
                      <internal.reference refid="a169606">clause 1.7</internal.reference>
                      .
                    </paratext>
                  </para>
                  <para>
                    <paratext>
                      <internal.reference refid="a549894">clause 11.3</internal.reference>
                       helps to prevent the Consultant arguing that an assignee would not have the same rights as an original party to the collateral warranty.
                      <ital/>
                    </paratext>
                  </para>
                </division>
              </drafting.note>
            </subclause1>
            <subclause1 id="a419854">
              <identifier>1.4</identifier>
              <para>
                <paratext>
                  A reference to a 
                  <defn.term>company</defn.term>
                   includes any company, corporation or other body corporate, wherever and however incorporated or established.
                </paratext>
              </para>
            </subclause1>
            <subclause1 id="a251282">
              <identifier>1.5</identifier>
              <para>
                <paratext>Unless the context otherwise requires, words in the singular shall include the plural and in the plural include the singular.</paratext>
              </para>
            </subclause1>
            <subclause1 id="a1003337">
              <identifier>1.6</identifier>
              <para>
                <paratext>Unless the context otherwise requires, a reference to one gender shall include a reference to the other genders.</paratext>
              </para>
            </subclause1>
            <subclause1 id="a169606">
              <identifier>1.7</identifier>
              <para>
                <paratext>This agreement shall be binding on, and enure to the benefit of, the parties to this agreement and their respective personal representatives, successors and permitted assigns, and references to any party shall include that party's personal representatives, successors and permitted assigns.</paratext>
              </para>
            </subclause1>
            <subclause1 id="a742538">
              <identifier>1.8</identifier>
              <para>
                <paratext>A reference to a statute or statutory provision is a reference to it as amended, extended or re-enacted from time to time.</paratext>
              </para>
            </subclause1>
            <subclause1 id="a714949">
              <identifier>1.9</identifier>
              <para>
                <paratext>A reference to a statute or statutory provision shall include all subordinate legislation made from time to time under that statute or statutory provision.</paratext>
              </para>
            </subclause1>
            <subclause1 id="a167100">
              <identifier>1.10</identifier>
              <para>
                <paratext>Any obligation on a party not to do something includes an obligation not to allow that thing to be done.</paratext>
              </para>
            </subclause1>
            <subclause1 id="a1030515">
              <identifier>1.11</identifier>
              <para>
                <paratext>
                  A reference to 
                  <defn.term>writing</defn.term>
                   or 
                  <defn.term>written</defn.term>
                   includes fax[ and email 
                  <bold>OR</bold>
                   but not email].
                </paratext>
              </para>
              <drafting.note id="a521067">
                <head align="left" preservecase="true">
                  <headtext>Email</headtext>
                </head>
                <division id="a000020" level="1">
                  <para>
                    <paratext>
                      In relation to the effectiveness of a notice given by email, see also 
                      <internal.reference refid="a779305">clause 12.8</internal.reference>
                      .
                    </paratext>
                  </para>
                </division>
              </drafting.note>
            </subclause1>
            <subclause1 condition="optional" id="a272196">
              <identifier>1.12</identifier>
              <para>
                <paratext>A reference to a document is a reference to that document as varied or novated (in each case, other than in breach of this agreement) at any time.</paratext>
              </para>
            </subclause1>
            <subclause1 id="a203243">
              <identifier>1.13</identifier>
              <para>
                <paratext>References to clauses are to the clauses of this agreement.</paratext>
              </para>
            </subclause1>
            <subclause1 condition="optional" id="a76853">
              <identifier>1.14</identifier>
              <para>
                <paratext>Any reference to an English legal term for any action, remedy, method of judicial proceeding, legal document, legal status, court, official or any legal concept or thing shall, in respect of any jurisdiction other than England, be deemed to include a reference to that which most nearly approximates to the English legal term in that jurisdiction.</paratext>
              </para>
            </subclause1>
            <subclause1 condition="optional" id="a957572">
              <identifier>1.15</identifier>
              <para>
                <paratext>Unless otherwise expressly provided, the obligations and liabilities of [the persons forming the] [PARTIES] under this agreement are joint and several.</paratext>
              </para>
              <drafting.note id="a632267">
                <head align="left" preservecase="true">
                  <headtext>Joint and several liability</headtext>
                </head>
                <division id="a000021" level="1">
                  <para>
                    <paratext>
                      If one of the parties is a partnership or unincorporated association, the parties may use 
                      <internal.reference refid="a957572">clause 1.15</internal.reference>
                       to confirm that each member of the partnership or association has joint and several liability. For more information on joint and several liability, see 
                      <link href="1-200-4741" style="ACTLinkPLCtoPLC">
                        <ital>Practice note, Joint, several and joint and several liability</ital>
                      </link>
                      .
                    </paratext>
                  </para>
                </division>
              </drafting.note>
            </subclause1>
            <subclause1 id="a959398">
              <identifier>1.16</identifier>
              <para>
                <paratext>
                  Any words following the terms 
                  <defn.term>including</defn.term>
                  , 
                  <defn.term>include</defn.term>
                  , 
                  <defn.term>in particular</defn.term>
                  , 
                  <defn.term>for example</defn.term>
                   or any similar expression shall be construed as illustrative and shall not limit the sense of the words, description, definition, phrase or term preceding those terms.
                </paratext>
              </para>
            </subclause1>
          </clause>
          <clause id="a1040158">
            <identifier>2.</identifier>
            <head align="left" preservecase="true">
              <headtext>Comply with Professional Appointment</headtext>
            </head>
            <drafting.note id="a557353">
              <head align="left" preservecase="true">
                <headtext>Comply with Professional Appointment</headtext>
              </head>
              <division id="a000022" level="1">
                <para>
                  <paratext>
                    The Consultant should warrant that it has complied with the Professional Appointment and will continue to comply with it (see 
                    <link href="0-371-6962#a460745" style="ACTLinkPLCtoPLC">
                      <ital>Practice note, Collateral warranties on construction projects: Key clauses in collateral warranties</ital>
                    </link>
                    ). For more information on the significance of that wording and the wider question of whether a collateral warranty is a construction contract, as defined by 
                    <link href="6-508-6533" style="ACTLinkPLCtoPLC">
                      <ital>section 104</ital>
                    </link>
                     of the 
                    <link href="1-508-6432" style="ACTLinkPLCtoPLC">
                      <ital>Construction Act 1996</ital>
                    </link>
                    , see 
                    <internal.reference refid="a913796">Drafting note, Is a collateral warranty subject to the Construction Act 1996?</internal.reference>
                  </paratext>
                </para>
              </division>
            </drafting.note>
            <subclause1 id="a435368">
              <identifier>2.1</identifier>
              <para>
                <paratext>The Consultant warrants to the Beneficiary that:</paratext>
              </para>
              <subclause2 id="a1054114">
                <identifier>(a)</identifier>
                <para>
                  <paratext>it has complied, and shall continue to comply, with its obligations under the Professional Appointment, including its obligations to:</paratext>
                </para>
                <subclause3 id="a971254">
                  <identifier>(i)</identifier>
                  <para>
                    <paratext>carry out and fulfil, in all respects, the duties of a designer [and principal designer] under the CDM Regulations;</paratext>
                  </para>
                </subclause3>
                <subclause3 id="a750991">
                  <identifier>(ii)</identifier>
                  <para>
                    <paratext>not, without the Client's written consent, make any material change to the designs or specifications for the Project after they have been settled or approved; and</paratext>
                  </para>
                </subclause3>
                <subclause3 id="a146201">
                  <identifier>(iii)</identifier>
                  <para>
                    <paratext>act fairly and impartially when exercising its power to issue certificates and award extensions of time under any building contract relating to the Project.</paratext>
                  </para>
                </subclause3>
              </subclause2>
              <subclause2 id="a960573">
                <identifier>(b)</identifier>
                <para>
                  <paratext>it has exercised and shall continue to exercise the Required Standard:</paratext>
                </para>
                <subclause3 id="a517457">
                  <identifier>(i)</identifier>
                  <para>
                    <paratext>when performing the Services;</paratext>
                  </para>
                </subclause3>
                <subclause3 id="a784490">
                  <identifier>(ii)</identifier>
                  <para>
                    <paratext>not to specify for use anything in the Project, which is Deleterious at the time of specification or use;</paratext>
                  </para>
                </subclause3>
                <subclause3 id="a983389">
                  <identifier>(iii)</identifier>
                  <para>
                    <paratext>to comply with (and ensure the completed Project complies with) any Act of Parliament and any instrument, rule or order made under any Act of Parliament;</paratext>
                  </para>
                </subclause3>
                <subclause3 id="a287117">
                  <identifier>(iv)</identifier>
                  <para>
                    <paratext>to comply with (and ensure the completed Project complies with) any regulation or bye-law of any local authority, statutory undertaker or public or private utility or undertaking that has any jurisdiction over the Project or with whose systems or property the Project is or will be connected;</paratext>
                  </para>
                </subclause3>
                <subclause3 id="a1042481">
                  <identifier>(v)</identifier>
                  <para>
                    <paratext>to perform the Services and prepare all Material for those elements of the Project for which the Consultant is responsible according to the Programme or, in the absence of a Programme, in sufficient time to facilitate the efficient progress of the Project;</paratext>
                  </para>
                </subclause3>
                <subclause3 id="a770266">
                  <identifier>(vi)</identifier>
                  <para>
                    <paratext>to ensure that the Project complies with all planning agreements, permissions and conditions; and</paratext>
                  </para>
                </subclause3>
                <subclause3 id="a524596">
                  <identifier>(vii)</identifier>
                  <para>
                    <paratext>not to cause or contribute to any breach by the Client of any Third Party Agreement provided that, where the Client notifies the Consultant of a Third Party Agreement after the date of the Professional Appointment, the Consultant is not required to act in any way that may increase its liability in excess of that which was reasonably foreseeable at the date of the Professional Appointment.</paratext>
                  </para>
                  <drafting.note id="a825389">
                    <head align="left" preservecase="true">
                      <headtext>Consultant's warranties</headtext>
                    </head>
                    <division id="a473408" level="1">
                      <head align="left" preservecase="true">
                        <headtext>Specific warranties</headtext>
                      </head>
                      <para>
                        <paratext>
                          Both 
                          <internal.reference refid="a971254">clause 2.1(a)(i)</internal.reference>
                           to 
                          <internal.reference refid="a146201">clause 2.1(a)(iii)</internal.reference>
                           and 
                          <internal.reference refid="a517457">clause 2.1(b)(i)</internal.reference>
                           to 
                          <internal.reference refid="a524596">clause 2.1(b)(vii)</internal.reference>
                           are "back-to-back" with 
                          <link href="5-382-5666" style="ACTLinkPLCtoPLC">
                            <ital>Standard document, Professional appointment</ital>
                          </link>
                          . If the Consultant is engaged under a different form of Professional Appointment, then the parties should amend these clauses to ensure that they are "back-to-back" with that Professional Appointment.
                        </paratext>
                      </para>
                    </division>
                    <division id="a905798" level="1">
                      <head align="left" preservecase="true">
                        <headtext>CDM Regulations</headtext>
                      </head>
                      <para>
                        <paratext>The optional reference to the principal designer should be included if the Consultant is the principal designer under the CDM 2015.</paratext>
                      </para>
                      <para>
                        <paratext>
                          For more information on the CDM Regulations, see 
                          <internal.reference refid="a85880">Drafting note, CDM Regulations</internal.reference>
                          .
                        </paratext>
                      </para>
                    </division>
                    <division id="a885256" level="1">
                      <head align="left" preservecase="true">
                        <headtext>Impartiality</headtext>
                      </head>
                      <para>
                        <paratext>
                          For more information, see 
                          <link href="3-382-8369#a968388" style="ACTLinkPLCtoPLC">
                            <ital>Practice note, Professional appointments: certificates: Duty to act impartially</ital>
                          </link>
                          .
                        </paratext>
                      </para>
                    </division>
                    <division id="a868255" level="1">
                      <head align="left" preservecase="true">
                        <headtext>Standard of care</headtext>
                      </head>
                      <para>
                        <paratext>
                          For information on a Consultant's standard of care (in this document, the Required Standard) under a Professional Appointment, see 
                          <link href="6-382-8382" style="ACTLinkPLCtoPLC">
                            <ital>Practice note, Professional appointments: standard of care</ital>
                          </link>
                          .
                        </paratext>
                      </para>
                    </division>
                    <division id="a184837" level="1">
                      <head align="left" preservecase="true">
                        <headtext>Deleterious materials</headtext>
                      </head>
                      <para>
                        <paratext>
                          For information on Deleterious materials, see 
                          <link href="0-382-8380" style="ACTLinkPLCtoPLC">
                            <ital>Practice note, Professional appointments: prohibited materials</ital>
                          </link>
                          .
                        </paratext>
                      </para>
                      <para>
                        <paratext>The Consultant sometimes requests removal of the words "or use", particularly if there is a significant period between design and construction of the Project. However, the Client usually resists this deletion unless the Project is very short.</paratext>
                      </para>
                    </division>
                    <division id="a202471" level="1">
                      <head align="left" preservecase="true">
                        <headtext>Statutory requirements</headtext>
                      </head>
                      <para>
                        <paratext>
                          For information on statutory requirements, see 
                          <link href="4-382-8383" style="ACTLinkPLCtoPLC">
                            <ital>Practice note, Professional appointments: statutory requirements</ital>
                          </link>
                          .
                        </paratext>
                      </para>
                    </division>
                    <division id="a87251" level="1">
                      <head align="left" preservecase="true">
                        <headtext>Programme</headtext>
                      </head>
                      <para>
                        <paratext>
                          For information on the programme, see 
                          <link href="3-382-8388" style="ACTLinkPLCtoPLC">
                            <ital>Practice note, Professional appointments: the programme, co-operation and co-ordination</ital>
                          </link>
                          .
                        </paratext>
                      </para>
                    </division>
                    <division id="a354284" level="1">
                      <head align="left" preservecase="true">
                        <headtext>Third Party Agreements</headtext>
                      </head>
                      <para>
                        <paratext>
                          For information on Third Party Agreements, see 
                          <link href="1-382-8389" style="ACTLinkPLCtoPLC">
                            <ital>Practice note, Professional appointments: third party agreements</ital>
                          </link>
                          .
                        </paratext>
                      </para>
                    </division>
                  </drafting.note>
                </subclause3>
              </subclause2>
            </subclause1>
            <subclause1 id="a62445">
              <identifier>2.2</identifier>
              <para>
                <paratext>
                  In proceedings for breach of this 
                  <internal.reference refid="a1040158">clause 2.</internal.reference>
                  , the Consultant may:
                </paratext>
              </para>
              <subclause2 id="a191787">
                <identifier>(a)</identifier>
                <para>
                  <paratext>rely on any limit of liability or other term of the Professional Appointment; and</paratext>
                </para>
              </subclause2>
              <subclause2 id="a594080">
                <identifier>(b)</identifier>
                <para>
                  <paratext>raise equivalent rights of defence as it would have had if the Beneficiary had been named as a joint client, with the Client, under the Professional Appointment [(for this purpose not taking into account any set-off or counterclaim against the actual client under the Professional Appointment)].</paratext>
                </para>
                <drafting.note id="a577080">
                  <head align="left" preservecase="true">
                    <headtext>Limits in favour of Consultant</headtext>
                  </head>
                  <division id="a000023" level="1">
                    <para>
                      <paratext>
                        <internal.reference refid="a62445">clause 2.2</internal.reference>
                         is one version of a common limitation in favour of a Consultant. A collateral warranty should be collateral to the Professional Appointment. It should only create additional duties for the Consultant where those duties specifically relate to the relationship between the Consultant and the Beneficiary (for example, step-in rights: see 
                        <internal.reference refid="a171112">clause 3.</internal.reference>
                        ). For more information, see 
                        <link href="0-371-6962#a520874" style="ACTLinkPLCtoPLC">
                          <ital>Practice note, Collateral warranties on construction projects: Key limitations in collateral warranties</ital>
                        </link>
                        .
                        <ital/>
                      </paratext>
                    </para>
                    <para>
                      <paratext>
                        If the parties amend 
                        <internal.reference refid="a62445">clause 2.2</internal.reference>
                         to include a net contribution clause in the collateral warranty, consider replacing 
                        <internal.reference refid="a62445">clause 2.2</internal.reference>
                         with 
                        <link href="4-381-2136" style="ACTLinkPLCtoPLC">
                          <ital>Standard clause, Limitation clause: Combined limitation clause for a collateral warranty</ital>
                        </link>
                        .
                      </paratext>
                    </para>
                    <para>
                      <paratext>
                        Beneficiaries prefer to include the optional wording at the end of 
                        <internal.reference refid="a594080">clause 2.2(b)</internal.reference>
                        . For more information, see 
                        <link href="D-007-7188" style="ACTLinkURL">
                          <ital>Safeway Stores Ltd v Interserve Project Services Ltd [2005] EWHC 3085 (TCC)</ital>
                        </link>
                        , referred to in 
                        <link href="9-202-0600" style="ACTLinkPLCtoPLC">
                          <ital>Legal update, Equitable set-off as a defence to a warranty claim</ital>
                        </link>
                        .
                      </paratext>
                    </para>
                  </division>
                </drafting.note>
              </subclause2>
            </subclause1>
            <subclause1 id="a1035864">
              <identifier>2.3</identifier>
              <para>
                <paratext>The Consultant's duties or liabilities under this agreement shall not be negated or diminished by:</paratext>
              </para>
              <subclause2 id="a412406">
                <identifier>(a)</identifier>
                <para>
                  <paratext>any approval or inspection of:</paratext>
                </para>
                <subclause3 id="a678347">
                  <identifier>(i)</identifier>
                  <para>
                    <paratext>the Property; or</paratext>
                  </para>
                </subclause3>
                <subclause3 id="a582718">
                  <identifier>(ii)</identifier>
                  <para>
                    <paratext>the Project; or</paratext>
                  </para>
                </subclause3>
                <subclause3 id="a931922">
                  <identifier>(iii)</identifier>
                  <para>
                    <paratext>any designs or specifications for the Property or the Project; or</paratext>
                  </para>
                </subclause3>
              </subclause2>
              <subclause2 id="a870928">
                <identifier>(b)</identifier>
                <para>
                  <paratext>any testing of any work, goods, materials, plant or equipment; or</paratext>
                </para>
              </subclause2>
              <subclause2 id="a991593">
                <identifier>(c)</identifier>
                <para>
                  <paratext>any omission to approve, inspect or test,</paratext>
                </para>
              </subclause2>
              <para>
                <paratext>by or on behalf of the Beneficiary or the Client.</paratext>
              </para>
            </subclause1>
            <subclause1 condition="optional" id="a77639">
              <identifier>2.4</identifier>
              <para>
                <paratext>This agreement shall not negate or diminish any other duty or liability otherwise owed to the Beneficiary by the Consultant.</paratext>
              </para>
              <drafting.note id="a654114">
                <head align="left" preservecase="true">
                  <headtext>Consultant's other liabilities</headtext>
                </head>
                <division id="a000024" level="1">
                  <para>
                    <paratext>
                      <internal.reference refid="a77639">clause 2.4</internal.reference>
                       is "Beneficiary-friendly" and may allow a Beneficiary to make a tort claim, unfettered by a limit of liability under the collateral warranty.  The parties often agree to delete this clause.
                      <ital/>
                    </paratext>
                  </para>
                </division>
              </drafting.note>
            </subclause1>
          </clause>
          <clause condition="optional" id="a171112">
            <identifier>3.</identifier>
            <head align="left" preservecase="true">
              <headtext>Step-in rights: Consultant may not terminate or discontinue</headtext>
            </head>
            <drafting.note id="a993574">
              <head align="left" preservecase="true">
                <headtext>Step-in rights in general</headtext>
              </head>
              <division id="a000025" level="1">
                <para>
                  <paratext>
                    <link href="8-107-7320" style="ACTLinkPLCtoPLC">
                      <bold>
                        <ital>Step-in rights</ital>
                      </bold>
                    </link>
                     allow a Beneficiary to take the place of the Client under the Professional Appointment. For example, if a funded Client becomes insolvent, a step-in right allows a Funder to take over the Client's role under a Professional Appointment. The Funder can then complete, or "build out", the Project.
                    <bold>
                      <ital/>
                    </bold>
                  </paratext>
                </para>
                <para>
                  <paratext>
                    A Funder or a purchaser of the whole of the Project will usually expect a collateral warranty that incorporates step-in rights (see 
                    <link href="0-371-6962#a708976" style="ACTLinkPLCtoPLC">
                      <ital>Practice note, Collateral warranties on construction projects: Key differences in funder collateral warranties</ital>
                    </link>
                    ). Typically, a tenant is not granted step-in rights, which is why all the step-in rights clauses are optional.
                  </paratext>
                </para>
                <para>
                  <paratext>The complete step-in rights for the collateral warranty are contained in the following clauses:</paratext>
                </para>
                <list type="bulleted">
                  <list.item>
                    <para>
                      <paratext>
                        <internal.reference refid="a171112">clause 3.</internal.reference>
                        .
                        <ital/>
                      </paratext>
                    </para>
                  </list.item>
                  <list.item>
                    <para>
                      <paratext>
                        <internal.reference refid="a347313">clause 4.</internal.reference>
                        .
                        <ital/>
                      </paratext>
                    </para>
                  </list.item>
                  <list.item>
                    <para>
                      <paratext>
                        <internal.reference refid="a95513">clause 5.</internal.reference>
                        .
                        <ital/>
                      </paratext>
                    </para>
                  </list.item>
                  <list.item>
                    <para>
                      <paratext>
                        <internal.reference refid="a453179">clause 6.</internal.reference>
                        .
                        <ital/>
                      </paratext>
                    </para>
                  </list.item>
                </list>
                <para>
                  <paratext>
                    We have drafted the step-in rights as a single package of rights and obligations, so the parties usually include all or none of the step-in rights clauses (although the step-in rights clauses do include some optional sub-clauses, such as 
                    <internal.reference refid="a237791">clause 3.6</internal.reference>
                    ). If the step-in clauses are deleted, the Client does not need to be a party to the collateral warranty (see 
                    <internal.reference refid="a442634">Drafting note, Client as a party</internal.reference>
                    ).
                  </paratext>
                </para>
                <para>
                  <paratext>In practice, step-in rights are often a formal back-drop to a commercial negotiation. If a Funder is faced with the prospect of the Employer going insolvent and it needs to enter into direct contract with the Consultant to complete the Services, the formal collateral warranty rights and obligations are often only one part of a complex puzzle. The parties are often simply trying to do a quick commercial deal to get paid and get a completed project.</paratext>
                </para>
              </division>
            </drafting.note>
            <subclause1 id="a725087">
              <identifier>3.1</identifier>
              <para>
                <paratext>
                  [Subject to 
                  <internal.reference refid="a237791">clause 3.6</internal.reference>
                  ,] the Consultant shall not exercise, or seek to exercise, any right to:
                </paratext>
              </para>
              <subclause2 id="a393966">
                <identifier>(a)</identifier>
                <para>
                  <paratext>terminate its employment under the Professional Appointment; or</paratext>
                </para>
              </subclause2>
              <subclause2 id="a387329">
                <identifier>(b)</identifier>
                <para>
                  <paratext>discontinue performance of the Services,</paratext>
                </para>
                <drafting.note id="a141659">
                  <head align="left" preservecase="true">
                    <headtext>Consultant may not terminate or discontinue</headtext>
                  </head>
                  <division id="a000026" level="1">
                    <para>
                      <paratext>Before it terminates its employment under the Professional Appointment, the Consultant must notify the Beneficiary of its intention to terminate. The Beneficiary may "step-in" within the agreed notice period.</paratext>
                    </para>
                    <para>
                      <paratext>15 Business Days is a typical compromise period for the exercise of step-in rights. On a larger Project, a Funder may require 20 or more Business Days' notice. We have used "Business Days" so that all time periods in the collateral warranty are calculated on the same basis.</paratext>
                    </para>
                    <para>
                      <paratext>
                        Some parties prefer to use "suspend" alongside "discontinue", bearing in mind the statutory right to suspend for non-payment under 
                        <link href="6-512-4870" style="ACTLinkPLCtoPLC">
                          <ital>section 112</ital>
                        </link>
                         of the Housing Grants, Construction and Regeneration Act 1996 (Construction Act 1996). However, it is difficult to square the statutory right to suspend with the terms of any typical collateral warranty. Following 
                        <ital>Parkwood</ital>
                         (see 
                        <internal.reference refid="a913796">Drafting note, Is a collateral warranty subject to the Construction Act 1996?</internal.reference>
                        ), if a court now finds that a particular collateral warranty is a construction contract, even then, the collateral warranty would not usually ever provide for payment to the Consultant for the Services (at least until after step-in). Accordingly, it would seem difficult for the Consultant to argue that it had a statutory right to suspend for "non-payment" under the collateral warranty.
                      </paratext>
                    </para>
                    <para>
                      <paratext>If the parties do choose to refer to suspension, they should add that reference throughout the step-in rights, for consistency.</paratext>
                    </para>
                  </division>
                </drafting.note>
              </subclause2>
              <para>
                <paratext>
                  for any reason (including any breach on the part of the Client) without giving the Beneficiary at least [ten 
                  <bold>OR</bold>
                   15 
                  <bold>OR</bold>
                   20] Business Days' written notice of its intention to do so. Any notice from the Consultant shall specify the grounds for the Consultant's proposed termination or discontinuance.
                </paratext>
              </para>
            </subclause1>
            <subclause1 id="a402056">
              <identifier>3.2</identifier>
              <para>
                <paratext>
                  If the Professional Appointment allows the Consultant a shorter notice period for the exercise of a right referred to in 
                  <internal.reference refid="a725087">clause 3.1</internal.reference>
                  , the notice period in the Professional Appointment shall be extended to take account of the notice period required under 
                  <internal.reference refid="a725087">clause 3.1</internal.reference>
                  .
                </paratext>
              </para>
              <drafting.note id="a661792">
                <head align="left" preservecase="true">
                  <headtext>Extending a Professional Appointment notice period</headtext>
                </head>
                <division id="a000027" level="1">
                  <para>
                    <paratext>
                      For more information on whether it is possible to extend the statutory notice period in connection with suspension for non-payment under a construction contract, see 
                      <link href="1-376-4542#a382444" style="ACTLinkPLCtoPLC">
                        <ital>Practice note, Suspension for non-payment under the Construction Act 1996: Written notice from the unpaid party</ital>
                      </link>
                      .
                    </paratext>
                  </para>
                </division>
              </drafting.note>
            </subclause1>
            <subclause1 id="a831900">
              <identifier>3.3</identifier>
              <para>
                <paratext>
                  The Consultant's right to terminate its employment under the Professional Appointment, or to discontinue performance of the Services, shall cease if, within the period referred to in 
                  <internal.reference refid="a725087">clause 3.1</internal.reference>
                  , the Beneficiary gives notice to the Consultant, copied to the Client:
                </paratext>
              </para>
              <subclause2 id="a73526">
                <identifier>(a)</identifier>
                <para>
                  <paratext>requiring the Consultant not to terminate its employment or not to discontinue performance of the Services under the Professional Appointment;</paratext>
                </para>
              </subclause2>
              <subclause2 id="a348649">
                <identifier>(b)</identifier>
                <para>
                  <paratext>acknowledging that the Beneficiary (or its nominee) will assume all the Client's obligations under the Professional Appointment; and</paratext>
                </para>
              </subclause2>
              <subclause2 id="a992120">
                <identifier>(c)</identifier>
                <para>
                  <paratext>undertaking that the Beneficiary or its nominee will pay to the Consultant:</paratext>
                </para>
                <subclause3 id="a327287">
                  <identifier>(i)</identifier>
                  <para>
                    <paratext>any sums due and payable to the Consultant under the Professional Appointment in future; and</paratext>
                  </para>
                </subclause3>
                <subclause3 id="a56209">
                  <identifier>(ii)</identifier>
                  <para>
                    <paratext>any sums then due and payable to the Consultant under the Professional Appointment that are unpaid.</paratext>
                  </para>
                </subclause3>
              </subclause2>
            </subclause1>
            <subclause1 id="a135023">
              <identifier>3.4</identifier>
              <para>
                <paratext>
                  If the Beneficiary (or its nominee) serves notice on the Consultant under 
                  <internal.reference refid="a831900">clause 3.3</internal.reference>
                  , then, from the date of service of the notice, the Professional Appointment shall continue in full force and effect, as if it had been entered into between the Consultant and the Beneficiary (to the exclusion of the Client).
                </paratext>
              </para>
            </subclause1>
            <subclause1 id="a633000">
              <identifier>3.5</identifier>
              <para>
                <paratext>
                  In complying with this 
                  <internal.reference refid="a171112">clause 3.</internal.reference>
                  , the Consultant:
                </paratext>
              </para>
              <subclause2 id="a404647">
                <identifier>(a)</identifier>
                <para>
                  <paratext>does not waive any breach of the Professional Appointment or default under the Professional Appointment by the Client; and</paratext>
                </para>
              </subclause2>
              <subclause2 id="a355285">
                <identifier>(b)</identifier>
                <para>
                  <paratext>
                    may exercise its right to terminate its employment under the Professional Appointment, or discontinue performance of the Services, after the expiry of the notice period referred to in 
                    <internal.reference refid="a725087">clause 3.1</internal.reference>
                    , unless the Consultant's right to terminate or discontinue has ceased under 
                    <internal.reference refid="a831900">clause 3.3</internal.reference>
                    .
                  </paratext>
                </para>
              </subclause2>
            </subclause1>
            <subclause1 condition="optional" id="a237791">
              <identifier>3.6</identifier>
              <para>
                <paratext>If:</paratext>
              </para>
              <subclause2 id="a590275">
                <identifier>(a)</identifier>
                <para>
                  <paratext>the Consultant enters into another agreement with a third party or grants third party rights to a third party concerning the Project at the request of the Client; and</paratext>
                </para>
              </subclause2>
              <subclause2 id="a532823">
                <identifier>(b)</identifier>
                <para>
                  <paratext>
                    that agreement or those third party rights include similar step-in rights to those in 
                    <internal.reference refid="a171112">clause 3.</internal.reference>
                     or 
                    <internal.reference refid="a347313">clause 4.</internal.reference>
                    ,
                  </paratext>
                </para>
              </subclause2>
              <para>
                <paratext>then, on that third party's (or that third party's nominee's) exercise of those step-in rights:</paratext>
              </para>
              <subclause2 id="a970757">
                <identifier>(c)</identifier>
                <para>
                  <paratext>
                    the Consultant shall no longer be bound by 
                    <internal.reference refid="a725087">clause 3.1</internal.reference>
                     and 
                    <internal.reference refid="a831900">clause 3.3</internal.reference>
                    ; and
                  </paratext>
                </para>
              </subclause2>
              <subclause2 id="a391375">
                <identifier>(d)</identifier>
                <para>
                  <paratext>
                    the Beneficiary may no longer exercise its rights under 
                    <internal.reference refid="a171112">clause 3.</internal.reference>
                     or 
                    <internal.reference refid="a347313">clause 4.</internal.reference>
                    .
                  </paratext>
                </para>
                <drafting.note id="a219558">
                  <head align="left" preservecase="true">
                    <headtext>Priority of step-in rights (optional clause)</headtext>
                  </head>
                  <division id="a000028" level="1">
                    <para>
                      <paratext>
                        <internal.reference refid="a237791">clause 3.6</internal.reference>
                         is a basic way to address one aspect of the "priority" of competing steps of step-in rights. For example, if a Funder and a purchaser are each a Beneficiary of a collateral warranty that includes step-in rights, this clause means that, if the Funder had already stepped in, the purchaser may not step-in afterwards.
                        <ital/>
                      </paratext>
                    </para>
                  </division>
                </drafting.note>
              </subclause2>
            </subclause1>
          </clause>
          <clause condition="optional" id="a347313">
            <identifier>4.</identifier>
            <head align="left" preservecase="true">
              <headtext>Step-in rights: Beneficiary may step-in</headtext>
            </head>
            <drafting.note id="a139820">
              <head align="left" preservecase="true">
                <headtext>Step-in rights: Beneficiary may step-in</headtext>
              </head>
              <division id="a000029" level="1">
                <para>
                  <paratext>
                    A Funder or a purchaser may have a right to step into a Professional Appointment under a funding agreement or an agreement for sale. 
                    <internal.reference refid="a347313">clause 4.</internal.reference>
                    :
                  </paratext>
                </para>
                <list type="bulleted">
                  <list.item>
                    <para>
                      <paratext>Allows the Beneficiary to step-in, even if the Consultant has no grounds for termination under the Professional Appointment.</paratext>
                    </para>
                  </list.item>
                  <list.item>
                    <para>
                      <paratext>
                        Is similar to, and relies on, 
                        <internal.reference refid="a171112">clause 3.</internal.reference>
                         (so it cannot be used if 
                        <internal.reference refid="a171112">clause 3.</internal.reference>
                         is deleted).
                      </paratext>
                    </para>
                  </list.item>
                </list>
                <para>
                  <paratext>For example, a Funder could choose to step in if the Client was in breach of the Client's banking covenants under a funding agreement, allowing the Funder (as between the Funder and the Client) to step-in in accordance with that agreement.</paratext>
                </para>
                <para>
                  <paratext>
                    The Client should ensure that this step-in right is regulated under the agreement between the Client and the Beneficiary. 
                    <internal.reference refid="a66822">clause 4.2</internal.reference>
                     requires the Consultant to accept the Beneficiary's step-in notice.
                  </paratext>
                </para>
              </division>
            </drafting.note>
            <subclause1 id="a314766">
              <identifier>4.1</identifier>
              <para>
                <paratext>
                  [Subject to 
                  <internal.reference refid="a237791">clause 3.6</internal.reference>
                   and] without affecting 
                  <internal.reference refid="a725087">clause 3.1</internal.reference>
                  , if the Beneficiary serves a notice on the Consultant, copied to the Client, that:
                </paratext>
              </para>
              <subclause2 id="a272854">
                <identifier>(a)</identifier>
                <para>
                  <paratext>confirms that the Beneficiary wishes to step-in to the Professional Appointment; and</paratext>
                </para>
              </subclause2>
              <subclause2 id="a539887">
                <identifier>(b)</identifier>
                <para>
                  <paratext>
                    complies with the requirements for a Beneficiary's notice under 
                    <internal.reference refid="a831900">clause 3.3</internal.reference>
                    ,
                  </paratext>
                </para>
              </subclause2>
              <para>
                <paratext>then, from the date of service of the notice, the Professional Appointment shall continue in full force and effect, as if it had been entered into between the Consultant and the Beneficiary (or its nominee), to the exclusion of the Client.</paratext>
              </para>
            </subclause1>
            <subclause1 id="a66822">
              <identifier>4.2</identifier>
              <para>
                <paratext>
                  The Consultant shall assume that, between the Client and the Beneficiary, the Beneficiary may give a notice under 
                  <internal.reference refid="a314766">clause 4.1</internal.reference>
                  . The Consultant shall not enquire whether the Beneficiary may give that notice.
                </paratext>
              </para>
            </subclause1>
            <subclause1 id="a561388">
              <identifier>4.3</identifier>
              <para>
                <paratext>
                  In complying with this 
                  <internal.reference refid="a347313">clause 4.</internal.reference>
                   the Consultant does not waive any breach of the Professional Appointment or default under the Professional Appointment by the Client.
                </paratext>
              </para>
            </subclause1>
          </clause>
          <clause condition="optional" id="a95513">
            <identifier>5.</identifier>
            <head align="left" preservecase="true">
              <headtext>Step-in rights: Consultant's position and Client's consent</headtext>
            </head>
            <subclause1 id="a278233">
              <identifier>5.1</identifier>
              <para>
                <paratext>
                  The Consultant shall not incur any liability to the Client by acting in accordance with 
                  <internal.reference refid="a171112">clause 3.</internal.reference>
                   or 
                  <internal.reference refid="a347313">clause 4.</internal.reference>
                  .
                </paratext>
              </para>
            </subclause1>
            <subclause1 id="a57970">
              <identifier>5.2</identifier>
              <para>
                <paratext>The Client has entered into this agreement to confirm its consent to the agreement.</paratext>
              </para>
            </subclause1>
          </clause>
          <clause condition="optional" id="a453179">
            <identifier>6.</identifier>
            <head align="left" preservecase="true">
              <headtext>Step-in rights: Beneficiary's guarantee</headtext>
            </head>
            <drafting.note id="a703769">
              <head align="left" preservecase="true">
                <headtext>Step-in rights: Beneficiary's guarantee</headtext>
              </head>
              <division id="a000030" level="1">
                <para>
                  <paratext>Some Consultants resist allowing a Beneficiary to nominate another person to exercise step-in rights. A common compromise is to allow the Beneficiary to use a nominee, as long as the Beneficiary remains liable for payments due to the Consultant.</paratext>
                </para>
                <para>
                  <paratext>
                    For example, if a Funder wants to step-in, it may use a replacement Client as the Funder's nominee to "build out" the Project. However, the Consultant can rely on the guarantee from the Funder to secure payment to the Consultant, rather than relying only the replacement Client. (The replacement Client could be a 
                    <link href="4-107-7534" style="ACTLinkPLCtoPLC">
                      <bold>
                        <ital>special purpose vehicle</ital>
                      </bold>
                    </link>
                     with no assets.)
                  </paratext>
                </para>
                <para>
                  <paratext>To exercise this simple guarantee, the Consultant would first have to bring proceedings against the nominee. To strengthen the guarantee, the Consultant could ask the Beneficiary to add "and primary obligor" after "guarantor", but this is typically resisted, particularly by a Funder.</paratext>
                </para>
              </division>
            </drafting.note>
            <subclause1 id="a668631">
              <para>
                <paratext>
                  If a Beneficiary's notice under 
                  <internal.reference refid="a171112">clause 3.</internal.reference>
                   or 
                  <internal.reference refid="a347313">clause 4.</internal.reference>
                   refers to the Beneficiary's nominee, the Beneficiary shall be liable to the Consultant, as guarantor, for the payment of any sums due and payable from time to time to the Consultant from the Beneficiary's nominee.
                </paratext>
              </para>
            </subclause1>
          </clause>
          <clause id="a867531">
            <identifier>7.</identifier>
            <head align="left" preservecase="true">
              <headtext>No instructions to Consultant by Beneficiary</headtext>
            </head>
            <drafting.note id="a579486">
              <head align="left" preservecase="true">
                <headtext>No instructions to Consultant by Beneficiary</headtext>
              </head>
              <division id="a000031" level="1">
                <para>
                  <paratext>If the collateral warranty does not include step-in rights, delete the optional wording at the beginning of this clause.</paratext>
                </para>
              </division>
            </drafting.note>
            <subclause1 id="a202546">
              <para>
                <paratext>
                  [Unless the Beneficiary has stepped-in under 
                  <internal.reference refid="a171112">clause 3.</internal.reference>
                   or 
                  <internal.reference refid="a347313">clause 4.</internal.reference>
                  ,] the Beneficiary may not give instructions to the Consultant under this agreement.
                </paratext>
              </para>
            </subclause1>
          </clause>
          <clause id="a633969">
            <identifier>8.</identifier>
            <head align="left" preservecase="true">
              <headtext>Copyright</headtext>
            </head>
            <drafting.note id="a987327">
              <head align="left" preservecase="true">
                <headtext>Copyright</headtext>
              </head>
              <division id="a000032" level="1">
                <para>
                  <paratext>
                    For more information on copyright licences, see 
                    <link href="2-380-9366" style="ACTLinkPLCtoPLC">
                      <ital>Standard clause, Copyright licence for a construction document</ital>
                    </link>
                    .
                  </paratext>
                </para>
                <para>
                  <paratext>
                    A Beneficiary may commonly concede that the copyright licence is limited to "use" of Material in connection with an extension (see 
                    <internal.reference refid="a914329">clause 8.2</internal.reference>
                    ).
                  </paratext>
                </para>
                <para>
                  <paratext>
                    In a copyright licence, the parties occasionally forget to use the same drafting "back-to-back" with the Professional Appointment, which can cause confusion (see 
                    <internal.reference refid="a740366">Drafting note, Drafting back-to-back</internal.reference>
                    ).
                  </paratext>
                </para>
              </division>
            </drafting.note>
            <subclause1 id="a162275">
              <identifier>8.1</identifier>
              <para>
                <paratext>The Consultant grants to the Beneficiary, with immediate effect, an irrevocable, non-exclusive, non-terminable, royalty-free licence to copy and make full use of any Material prepared by, or on behalf of, the Consultant for any purpose relating to the Project and the Property, including any of the Permitted Uses.</paratext>
              </para>
            </subclause1>
            <subclause1 condition="optional" id="a914329">
              <identifier>8.2</identifier>
              <para>
                <paratext>This licence allows the Beneficiary to use the Material in connection with any extension of the Project, but not to reproduce the designs contained in the Material in any such extension.</paratext>
              </para>
            </subclause1>
            <subclause1 id="a674475">
              <identifier>8.3</identifier>
              <para>
                <paratext>This licence carries the right to grant sub-licences[ and is transferable to third parties without the consent of the Consultant].</paratext>
              </para>
              <drafting.note id="a893694">
                <head align="left" preservecase="true">
                  <headtext>Sub-licences</headtext>
                </head>
                <division id="a000033" level="1">
                  <para>
                    <paratext>If the Beneficiary steps in, using a nominee, it may need to be able to grant a sub-licence (or transfer its licence) to the nominee.</paratext>
                  </para>
                </division>
              </drafting.note>
            </subclause1>
            <subclause1 id="a941508">
              <identifier>8.4</identifier>
              <para>
                <paratext>The Consultant shall not be liable for use of the Material for any purpose other than that for which it was prepared and/or provided.</paratext>
              </para>
            </subclause1>
            <subclause1 id="a78092">
              <identifier>8.5</identifier>
              <para>
                <paratext>The Beneficiary may request a copy (or copies) of some or all of the Material from the Consultant. On the Beneficiary's payment of the Consultant's reasonable charges for providing the copy (or copies), the Consultant shall provide the copy (or copies) to the Beneficiary.</paratext>
              </para>
            </subclause1>
          </clause>
          <clause id="a496637">
            <identifier>9.</identifier>
            <head align="left" preservecase="true">
              <headtext>Professional indemnity insurance</headtext>
            </head>
            <drafting.note id="a351461">
              <head align="left" preservecase="true">
                <headtext>Professional indemnity insurance</headtext>
              </head>
              <division id="a000034" level="1">
                <para>
                  <paratext>
                    In 
                    <internal.reference refid="a464090">clause 9.1</internal.reference>
                    , it is best practice to follow the brokers' details provided by the Consultant when agreeing how to refer to:
                  </paratext>
                </para>
                <list type="bulleted">
                  <list.item>
                    <para>
                      <paratext>The amount of insurance.</paratext>
                    </para>
                  </list.item>
                  <list.item>
                    <para>
                      <paratext>The type of insurance.</paratext>
                    </para>
                  </list.item>
                </list>
                <para>
                  <paratext>Different professional indemnity insurance brokers refer to different types of insurance in slightly different ways, depending on policy terms (for example, "each and every claim arising out of the same original cause or source"). Check that this clause is "back-to-back" with the Professional Appointment.</paratext>
                </para>
                <para>
                  <paratext>Consultants prefer to include the optional wording "and terms". While this favours Consultants, beneficiaries increasingly accept this addition.</paratext>
                </para>
              </division>
            </drafting.note>
            <subclause1 id="a464090">
              <identifier>9.1</identifier>
              <para>
                <paratext>
                  The Consultant shall maintain professional indemnity insurance for an amount of at least £[SUM] [for any one occurrence, or series of occurrences, arising out of any one event 
                  <bold>OR</bold>
                   in the annual aggregate] for a period beginning on the date of this agreement and ending [six 
                  <bold>OR</bold>
                   12] years after the date of [practical completion 
                  <bold>OR</bold>
                   making good of defects] of the Project, provided that such insurance is available at commercially reasonable rates [and terms]. The Consultant shall maintain that professional indemnity insurance:
                </paratext>
              </para>
              <subclause2 id="a652364">
                <identifier>(a)</identifier>
                <para>
                  <paratext>with reputable insurers lawfully carrying on insurance business in the [UK or EU];</paratext>
                </para>
              </subclause2>
              <subclause2 id="a412509">
                <identifier>(b)</identifier>
                <para>
                  <paratext>on customary and usual terms and conditions prevailing for the time being in the insurance market; and</paratext>
                </para>
              </subclause2>
              <subclause2 id="a679542">
                <identifier>(c)</identifier>
                <para>
                  <paratext>on terms that:</paratext>
                </para>
                <subclause3 id="a243555">
                  <identifier>(i)</identifier>
                  <para>
                    <paratext>do not require the Consultant to discharge any liability before being entitled to recover from the insurers; and</paratext>
                  </para>
                </subclause3>
                <subclause3 id="a850117">
                  <identifier>(ii)</identifier>
                  <para>
                    <paratext>would not adversely affect the rights of any person to recover from the insurers under the Third Parties (Rights Against Insurers) Act 2010.</paratext>
                  </para>
                </subclause3>
              </subclause2>
            </subclause1>
            <subclause1 id="a781164">
              <identifier>9.2</identifier>
              <para>
                <paratext>Any increased or additional premium required by insurers because of the Consultant's claims record or other acts, omissions, matters or things particular to the Consultant shall be deemed to be within commercially reasonable rates.</paratext>
              </para>
            </subclause1>
            <subclause1 id="a847077">
              <identifier>9.3</identifier>
              <para>
                <paratext>The Consultant shall not, without the Beneficiary's written consent:</paratext>
              </para>
              <subclause2 id="a898603">
                <identifier>(a)</identifier>
                <para>
                  <paratext>settle or compromise any claim with the insurers that relates to a claim by the Beneficiary against the Consultant; or</paratext>
                </para>
              </subclause2>
              <subclause2 id="a297355">
                <identifier>(b)</identifier>
                <para>
                  <paratext>by any act or omission lose or affect the Consultant's right to make, or proceed with, that claim against the insurers.</paratext>
                </para>
              </subclause2>
            </subclause1>
            <subclause1 id="a101101">
              <identifier>9.4</identifier>
              <para>
                <paratext>The Consultant shall immediately inform the Beneficiary if the Consultant's required professional indemnity insurance ceases to be available at commercially reasonable rates [and terms], so that the Consultant and the Beneficiary can discuss how best to protect the respective positions of the Beneficiary and the Consultant regarding the Project and the Property, without that insurance.</paratext>
              </para>
            </subclause1>
            <subclause1 condition="optional" id="a218093">
              <identifier>9.5</identifier>
              <para>
                <paratext>The Consultant shall fully co-operate with any measures reasonably required by the Beneficiary, including:</paratext>
              </para>
              <subclause2 id="a807730">
                <identifier>(a)</identifier>
                <para>
                  <paratext>completing any proposals for insurance and associated documents; or</paratext>
                </para>
              </subclause2>
              <subclause2 id="a326568">
                <identifier>(b)</identifier>
                <para>
                  <paratext>maintaining insurance at rates above commercially reasonable rates, if the Beneficiary reimburses the Consultant for the net cost of that insurance above commercially reasonable rates.</paratext>
                </para>
                <drafting.note id="a1035635">
                  <head align="left" preservecase="true">
                    <headtext>Consultant to co-operate with Beneficiary's reasonable insurance requirements</headtext>
                  </head>
                  <division id="a000035" level="1">
                    <para>
                      <paratext>
                        Although optional 
                        <internal.reference refid="a218093">clause 9.5</internal.reference>
                         potentially confers an advantage on the Beneficiary, the parties often rely on 
                        <internal.reference refid="a101101">clause 9.4</internal.reference>
                         alone, as a compromise. While 
                        <internal.reference refid="a218093">clause 9.5</internal.reference>
                         requires the Consultant's active co-operation with the Beneficiary, 
                        <internal.reference refid="a101101">clause 9.4</internal.reference>
                         only requires the Consultant to inform the Beneficiary. In practice, given the number of collateral warranties a Consultant enters into, Consultants cannot notify all beneficiaries if their professional indemnity insurance arrangements change, so 
                        <internal.reference refid="a218093">clause 9.5</internal.reference>
                         may be of limited value. It may be of greatest value to the Beneficiary if insurance arrangements have to change while the Consultant is performing its services.
                      </paratext>
                    </para>
                  </division>
                </drafting.note>
              </subclause2>
            </subclause1>
            <subclause1 id="a1033251">
              <identifier>9.6</identifier>
              <para>
                <paratext>Whenever the Beneficiary reasonably requests, the Consultant shall send the Beneficiary evidence that the Consultant's professional indemnity insurance is in force, including, if required by the Beneficiary, an original letter from the Consultant's insurers or brokers confirming:</paratext>
              </para>
              <subclause2 id="a905130">
                <identifier>(a)</identifier>
                <para>
                  <paratext>the Consultant's then current professional indemnity insurance; and</paratext>
                </para>
              </subclause2>
              <subclause2 id="a552143">
                <identifier>(b)</identifier>
                <para>
                  <paratext>that the premiums for that insurance have been paid in full at the date of that letter.</paratext>
                </para>
              </subclause2>
            </subclause1>
          </clause>
          <clause id="a829016">
            <identifier>10.</identifier>
            <head align="left" preservecase="true">
              <headtext>Liability period</headtext>
            </head>
            <drafting.note id="a586887">
              <head align="left" preservecase="true">
                <headtext>Liability period</headtext>
              </head>
              <division id="a000036" level="1">
                <para>
                  <paratext>
                    If the parties intend to increase the statutory limitation period for bringing a claim, they must use clear and unambiguous language (see 
                    <link href="D-008-5145" style="ACTLinkURL">
                      <ital>Oxford Architects Partnership v Cheltenham Ladies College [2006] EWHC 3156 (TCC)</ital>
                    </link>
                    , referred to in 
                    <link href="9-216-8955" style="ACTLinkPLCtoPLC">
                      <ital>Legal update, RIBA contractual timebar does not exclude statutory limitation rules</ital>
                    </link>
                    ).
                  </paratext>
                </para>
                <para>
                  <paratext>
                    We anticipate that a court would interpret 
                    <internal.reference refid="a829016">clause 10.</internal.reference>
                     as adding a contractual time-bar to the statutory mechanisms of the 
                    <link href="8-506-5723" style="ACTLinkPLCtoPLC">
                      <ital>Limitation Act 1980</ital>
                    </link>
                    . In other words, 
                    <internal.reference refid="a829016">clause 10.</internal.reference>
                     does 
                    <bold>not</bold>
                     automatically extend the time a party has to make a claim under the collateral warranty. If (unusually for a collateral warranty), the parties intend to extend the statutory time limits, they should say so expressly.
                  </paratext>
                </para>
                <para>
                  <paratext>
                    <link href="D-034-8978" style="ACTLinkURL">
                      <ital>Bloomberg LP v Malling Pre-Cast Ltd [2015] EWHC 2858 (TCC)</ital>
                    </link>
                     suggests that a clause such as this will act as a procedural bar to the Beneficiary bringing proceedings (see 
                    <link href="5-619-6098" style="ACTLinkPLCtoPLC">
                      <ital>Legal update, Court considers interplay between collateral warranty limitation clause and the Civil Liability (Contribution) Act 1978 (TCC)</ital>
                    </link>
                    ).
                    <ital/>
                  </paratext>
                </para>
                <para>
                  <paratext>
                    For more information on statutory limitation periods, see 
                    <link href="3-107-4908" style="ACTLinkPLCtoPLC">
                      <ital>Practice note, Limitation periods: an overview</ital>
                    </link>
                    .
                  </paratext>
                </para>
                <para>
                  <paratext>
                    If the collateral warranty is a "construction contract" as defined by the 
                    <link href="1-508-6432" style="ACTLinkPLCtoPLC">
                      <ital>Construction Act 1996</ital>
                    </link>
                    , the parties could consider amending its liability period wording to address the implied term found in 
                    <link href="D-033-3941" style="ACTLinkURL">
                      <ital>Aspect Contracts (Asbestos) Ltd v Higgins Construction plc [2015] UKSC 38</ital>
                    </link>
                    . For more information, see 
                    <internal.reference refid="a913796">Drafting note, Is a collateral warranty subject to the Construction Act 1996?</internal.reference>
                    .
                  </paratext>
                </para>
              </division>
            </drafting.note>
            <subclause1 id="a131188">
              <para>
                <paratext>
                  The Beneficiary may not commence any legal action against the Consultant under this agreement after [six 
                  <bold>OR</bold>
                   12] years from the date of [practical completion 
                  <bold>OR</bold>
                   making good of defects] of all of the Project.
                </paratext>
              </para>
            </subclause1>
          </clause>
          <clause id="a484961">
            <identifier>11.</identifier>
            <head align="left" preservecase="true">
              <headtext>Assignment</headtext>
            </head>
            <drafting.note id="a464418">
              <head align="left" preservecase="true">
                <headtext>Assignment or novation</headtext>
              </head>
              <division id="a000037" level="1">
                <para>
                  <paratext>It may be essential for a Beneficiary to be able to assign the benefit of the collateral warranty. For example, a purchaser may need to assign the benefit of its package of construction security when it sells its property interest.</paratext>
                </para>
                <para>
                  <paratext>The original Beneficiary and its assignee may prefer to novate the collateral warranty from the original Beneficiary, the Client and the Consultant to the assignee, the Client and the Consultant if:</paratext>
                </para>
                <list type="bulleted">
                  <list.item>
                    <para>
                      <paratext>The collateral warranty includes step-in rights.</paratext>
                    </para>
                  </list.item>
                  <list.item>
                    <para>
                      <paratext>The original Beneficiary and its assignee intend that the assignee may exercise the step-in rights.</paratext>
                    </para>
                  </list.item>
                </list>
                <para>
                  <paratext>
                    Novation requires the consent of the Client and the Consultant. Novation can transfer the benefit and burden of a contract, whereas an assignment can only transfer the benefit of a contract. The Beneficiary's obligations under the collateral warranty (for example, to pay the Consultant after stepping-in), may be interpreted by a court as a burden that must be transferred by novation. For more information, see 
                    <link href="3-314-7960#a855784" style="ACTLinkPLCtoPLC">
                      <ital>Practice note, Assignment of construction documents: Step-in rights: assign or novate?</ital>
                    </link>
                  </paratext>
                </para>
              </division>
            </drafting.note>
            <subclause1 id="a953878">
              <identifier>11.1</identifier>
              <para>
                <paratext>The Beneficiary may assign the benefit of this agreement:</paratext>
              </para>
              <subclause2 id="a830568">
                <identifier>(a)</identifier>
                <para>
                  <paratext>on two occasions to any person [with an interest in the Project]; and</paratext>
                </para>
              </subclause2>
              <subclause2 id="a653030">
                <identifier>(b)</identifier>
                <para>
                  <paratext>
                    without counting as an assignment under 
                    <internal.reference refid="a830568">clause 11.1(a)</internal.reference>
                    :
                  </paratext>
                </para>
                <subclause3 id="a920063">
                  <identifier>(i)</identifier>
                  <para>
                    <paratext>by way of security [to a Funder] (including any reassignment on redemption of security); or</paratext>
                  </para>
                  <drafting.note id="a932013">
                    <head align="left" preservecase="true">
                      <headtext>"To a Funder"</headtext>
                    </head>
                    <division id="a000038" level="1">
                      <para>
                        <paratext>If the Beneficiary is a Funder, do not refer to "to a Funder".</paratext>
                      </para>
                    </division>
                  </drafting.note>
                </subclause3>
                <subclause3 id="a594256">
                  <identifier>(ii)</identifier>
                  <para>
                    <paratext>to and from subsidiary or other associated companies within the same group of companies as the Beneficiary [so long as that assignee company remains within the same group of companies as the Beneficiary].</paratext>
                  </para>
                  <drafting.note id="a348585">
                    <head align="left" preservecase="true">
                      <headtext>Number of permitted assignments</headtext>
                    </head>
                    <division id="a000039" level="1">
                      <para>
                        <paratext>
                          The parties to a collateral warranty often reach a compromise, allowing the benefit of a collateral warranty to be assigned on two occasions. A Beneficiary might want a freely assignable collateral warranty. A Consultant (or its professional indemnity insurer) might prefer not to enter into a collateral warranty at all and, having agreed the collateral warranty, might want to limit its liabilities to the original party. For more information, see 
                          <link href="3-314-7960#a411160" style="ACTLinkPLCtoPLC">
                            <ital>Practice note, Assignment of construction documents: Assignment clauses</ital>
                          </link>
                          .
                        </paratext>
                      </para>
                    </division>
                  </drafting.note>
                </subclause3>
              </subclause2>
            </subclause1>
            <subclause1 id="a671299">
              <identifier>11.2</identifier>
              <para>
                <paratext>The Beneficiary shall notify the Consultant [and the Client] of any assignment. If the Beneficiary fails to do this, the assignment shall still be valid.</paratext>
              </para>
              <drafting.note id="a243229">
                <head align="left" preservecase="true">
                  <headtext>Notice of assignment</headtext>
                </head>
                <division id="a000040" level="1">
                  <para>
                    <paratext>
                      <internal.reference refid="a671299">clause 11.2</internal.reference>
                       is a compromise between the Consultant's need for certainty and a Beneficiary's (and its assignee's) need to ensure that the assignment of the benefit of the collateral warranty remains valid, even if the Beneficiary makes an administrative mistake and fails to give notice. If the Client is not a party to the agreement, delete the optional reference to the Client.
                      <ital/>
                    </paratext>
                  </para>
                </division>
              </drafting.note>
            </subclause1>
            <subclause1 id="a549894">
              <identifier>11.3</identifier>
              <para>
                <paratext>
                  The Consultant shall not contend that any person to whom the benefit of this agreement is assigned under 
                  <internal.reference refid="a953878">clause 11.1</internal.reference>
                   may not recover any sum under this agreement because that person is an assignee and not a named party to this agreement.
                </paratext>
              </para>
            </subclause1>
          </clause>
          <clause id="a484509">
            <identifier>12.</identifier>
            <head align="left" preservecase="true">
              <headtext>Notices</headtext>
            </head>
            <drafting.note id="a1052701">
              <head align="left" preservecase="true">
                <headtext>Notices</headtext>
              </head>
              <division id="a000041" level="1">
                <para>
                  <paratext>
                    See 
                    <link href="5-107-3842" style="ACTLinkPLCtoPLC">
                      <ital>Standard clause, Notices</ital>
                    </link>
                     and 
                    <link href="3-107-3843" style="ACTLinkPLCtoPLC">
                      <ital>Practice note, Notice clauses</ital>
                    </link>
                    .
                  </paratext>
                </para>
                <para>
                  <paratext>
                    When deciding whether to include the optional reference to communication by email, also consider 
                    <internal.reference refid="a1030515">clause 1.11</internal.reference>
                    .
                  </paratext>
                </para>
              </division>
            </drafting.note>
            <subclause1 condition="optional" id="a153388">
              <identifier>12.1</identifier>
              <para>
                <paratext>
                  For the purposes of this clause, but subject to 
                  <internal.reference refid="a255920">clause 12.7</internal.reference>
                  , notice includes any other communication.
                </paratext>
              </para>
            </subclause1>
            <subclause1 id="a748179">
              <identifier>12.2</identifier>
              <para>
                <paratext>A notice given to a party under or in connection with this agreement:</paratext>
              </para>
              <subclause2 id="a852270">
                <identifier>(a)</identifier>
                <para>
                  <paratext>shall be in writing [and in English[ or accompanied by an accurate translation into English]];</paratext>
                </para>
              </subclause2>
              <subclause2 id="a632007">
                <identifier>(b)</identifier>
                <para>
                  <paratext>[shall be signed by or on behalf of the party giving it;]</paratext>
                </para>
              </subclause2>
              <subclause2 id="a964899">
                <identifier>(c)</identifier>
                <para>
                  <paratext>
                    shall be sent to the party for the attention of the contact and at the address[, fax or DX number] listed in 
                    <internal.reference refid="a779272">clause 12.3</internal.reference>
                    ;
                  </paratext>
                </para>
              </subclause2>
              <subclause2 id="a993993">
                <identifier>(d)</identifier>
                <para>
                  <paratext>
                    [shall 
                    <bold>OR</bold>
                     may] be sent by a method listed in 
                    <internal.reference refid="a868091">clause 12.5</internal.reference>
                    ; and
                  </paratext>
                </para>
              </subclause2>
              <subclause2 id="a836047">
                <identifier>(e)</identifier>
                <para>
                  <paratext>
                    [unless proved otherwise] is deemed received as set out in 
                    <internal.reference refid="a868091">clause 12.5</internal.reference>
                     if prepared and sent in accordance with this clause.
                  </paratext>
                </para>
              </subclause2>
            </subclause1>
            <subclause1 id="a779272">
              <identifier>12.3</identifier>
              <para>
                <paratext>The parties' addresses and contacts are as set out in this table:</paratext>
              </para>
              <para>
                <paratext>
                  <table frame="all" pgwide="1">
                    <tgroup cols="5">
                      <colspec colname="1" colnum="1"/>
                      <colspec colname="2" colnum="2"/>
                      <colspec colname="3" colnum="3"/>
                      <colspec colname="4" colnum="4"/>
                      <colspec colname="5" colnum="5"/>
                      <tbody>
                        <row>
                          <entry valign="top">
                            <para>
                              <paratext>
                                <bold>Party</bold>
                              </paratext>
                            </para>
                          </entry>
                          <entry valign="top">
                            <para>
                              <paratext>
                                <bold>Contact</bold>
                              </paratext>
                            </para>
                          </entry>
                          <entry valign="top">
                            <para>
                              <paratext>
                                <bold>Address</bold>
                              </paratext>
                            </para>
                          </entry>
                          <entry valign="top">
                            <para>
                              <paratext>
                                <bold>Fax number</bold>
                              </paratext>
                            </para>
                          </entry>
                          <entry valign="top">
                            <para>
                              <paratext>
                                <bold>DX number</bold>
                              </paratext>
                            </para>
                          </entry>
                        </row>
                        <row>
                          <entry valign="top">
                            <para>
                              <paratext>Consultant</paratext>
                            </para>
                          </entry>
                          <entry valign="top">
                            <para>
                              <paratext>[POSITION OF CONTACT]</paratext>
                            </para>
                          </entry>
                          <entry valign="top">
                            <para>
                              <paratext>[ADDRESS]</paratext>
                            </para>
                          </entry>
                          <entry valign="top">
                            <para>
                              <paratext>[FAX NUMBER]</paratext>
                            </para>
                          </entry>
                          <entry valign="top">
                            <para>
                              <paratext>[DX NUMBER]</paratext>
                            </para>
                          </entry>
                        </row>
                        <row>
                          <entry valign="top">
                            <para>
                              <paratext>Client</paratext>
                            </para>
                          </entry>
                          <entry valign="top">
                            <para>
                              <paratext>[POSITION OF CONTACT]</paratext>
                            </para>
                          </entry>
                          <entry valign="top">
                            <para>
                              <paratext>[ADDRESS]</paratext>
                            </para>
                          </entry>
                          <entry valign="top">
                            <para>
                              <paratext>[FAX NUMBER]</paratext>
                            </para>
                          </entry>
                          <entry valign="top">
                            <para>
                              <paratext>[DX NUMBER]</paratext>
                            </para>
                          </entry>
                        </row>
                        <row>
                          <entry valign="top">
                            <para>
                              <paratext>Beneficiary</paratext>
                            </para>
                          </entry>
                          <entry valign="top">
                            <para>
                              <paratext>[POSITION OF CONTACT]</paratext>
                            </para>
                          </entry>
                          <entry valign="top">
                            <para>
                              <paratext>[ADDRESS]</paratext>
                            </para>
                          </entry>
                          <entry valign="top">
                            <para>
                              <paratext>[FAX NUMBER]</paratext>
                            </para>
                          </entry>
                          <entry valign="top">
                            <para>
                              <paratext>[DX NUMBER]</paratext>
                            </para>
                          </entry>
                        </row>
                      </tbody>
                    </tgroup>
                  </table>
                </paratext>
              </para>
            </subclause1>
            <subclause1 id="a788685">
              <identifier>12.4</identifier>
              <para>
                <paratext>
                  A party may change its details given in the table in 
                  <internal.reference refid="a779272">clause 12.3</internal.reference>
                   by giving notice, the change taking effect for the party notified of the change at [9.00 am] on the later of:
                </paratext>
              </para>
              <subclause2 id="a231257">
                <identifier>(a)</identifier>
                <para>
                  <paratext>the date, if any, specified in the notice as the effective date for the change; or</paratext>
                </para>
              </subclause2>
              <subclause2 id="a1045628">
                <identifier>(b)</identifier>
                <para>
                  <paratext>the date [five] Business Days after deemed receipt of the notice.</paratext>
                </para>
              </subclause2>
            </subclause1>
            <subclause1 id="a868091">
              <identifier>12.5</identifier>
              <para>
                <paratext>This table sets out:</paratext>
              </para>
              <subclause2 id="a841119">
                <identifier>(a)</identifier>
                <para>
                  <paratext>delivery methods for sending a notice to a party under this agreement; and</paratext>
                </para>
              </subclause2>
              <subclause2 id="a1040019">
                <identifier>(b)</identifier>
                <para>
                  <paratext>
                    for each delivery method, the corresponding delivery date and time when delivery of the notice is deemed to have taken place provided that all other requirements in this clause have been satisfied and subject to the provisions in 
                    <internal.reference refid="a771215">clause 12.6</internal.reference>
                    :
                  </paratext>
                </para>
                <para>
                  <paratext>
                    <table frame="all" pgwide="1">
                      <tgroup cols="2">
                        <colspec colname="1" colnum="1"/>
                        <colspec colname="2" colnum="2"/>
                        <tbody>
                          <row>
                            <entry valign="top">
                              <para>
                                <paratext>
                                  <bold>Delivery method</bold>
                                </paratext>
                              </para>
                            </entry>
                            <entry valign="top">
                              <para>
                                <paratext>
                                  <bold>Delivery date and time</bold>
                                </paratext>
                              </para>
                            </entry>
                          </row>
                          <row>
                            <entry valign="top">
                              <para>
                                <paratext>Delivery by hand.</paratext>
                              </para>
                            </entry>
                            <entry valign="top">
                              <para>
                                <paratext>On signature of a delivery receipt [or at the time the notice is left at the address].</paratext>
                              </para>
                            </entry>
                          </row>
                          <row>
                            <entry valign="top">
                              <para>
                                <paratext>
                                  Pre-paid first class [recorded delivery] post or other next working day delivery service[ providing [proof of postage 
                                  <bold>OR</bold>
                                   proof of delivery]].
                                </paratext>
                              </para>
                            </entry>
                            <entry valign="top">
                              <para>
                                <paratext>[9.00 am] on the [second] Business Day after posting [or at the time recorded by the delivery service].</paratext>
                              </para>
                            </entry>
                          </row>
                          <row>
                            <entry valign="top">
                              <para>
                                <paratext>
                                  Pre-paid airmail [providing [proof of postage 
                                  <bold>OR</bold>
                                   proof of delivery.]]
                                </paratext>
                              </para>
                            </entry>
                            <entry valign="top">
                              <para>
                                <paratext>[[9.00 am] on the [fifth] Business Day after posting [or at the time recorded by the delivery service.]</paratext>
                              </para>
                              <para>
                                <paratext>
                                  <bold>OR</bold>
                                </paratext>
                              </para>
                              <para>
                                <paratext>[INSERT TIME AND DATE].</paratext>
                              </para>
                            </entry>
                          </row>
                          <row>
                            <entry valign="top">
                              <para>
                                <paratext>Fax.</paratext>
                              </para>
                            </entry>
                            <entry valign="top">
                              <para>
                                <paratext>At the time of transmission.</paratext>
                              </para>
                            </entry>
                          </row>
                          <row>
                            <entry valign="top">
                              <para>
                                <paratext>Document exchange (DX).</paratext>
                              </para>
                            </entry>
                            <entry valign="top">
                              <para>
                                <paratext>[9.00 am] on the [second] Business Day after being put into the DX.</paratext>
                              </para>
                            </entry>
                          </row>
                        </tbody>
                      </tgroup>
                    </table>
                  </paratext>
                </para>
              </subclause2>
            </subclause1>
            <subclause1 id="a771215">
              <identifier>12.6</identifier>
              <para>
                <paratext>
                  For the purpose of 
                  <internal.reference refid="a868091">clause 12.5</internal.reference>
                   and calculating deemed receipt:
                </paratext>
              </para>
              <subclause2 id="a764579">
                <identifier>(a)</identifier>
                <para>
                  <paratext>all references to time are to local time in the place of deemed receipt; and</paratext>
                </para>
              </subclause2>
              <subclause2 id="a518908">
                <identifier>(b)</identifier>
                <para>
                  <paratext>if deemed receipt would occur in the place of deemed receipt on a Saturday or Sunday or a public holiday when banks are not open for business, deemed receipt is deemed to take place at 9.00 am on the day when business next starts in the place of receipt.</paratext>
                </para>
              </subclause2>
            </subclause1>
            <subclause1 id="a255920">
              <identifier>12.7</identifier>
              <para>
                <paratext>This clause does not apply to the service of any proceedings or other documents in any legal action or, where applicable, any arbitration or other method of dispute resolution.</paratext>
              </para>
            </subclause1>
            <subclause1 condition="optional" id="a779305">
              <identifier>12.8</identifier>
              <para>
                <paratext>A notice given under [or in connection with] this agreement is not valid if sent by email.</paratext>
              </para>
            </subclause1>
          </clause>
          <clause id="a317688">
            <identifier>13.</identifier>
            <head align="left" preservecase="true">
              <headtext>Third party rights</headtext>
            </head>
            <drafting.note id="a904002">
              <head align="left" preservecase="true">
                <headtext>Third party rights</headtext>
              </head>
              <division id="a000042" level="1">
                <para>
                  <paratext>
                    See 
                    <link href="6-107-3846" style="ACTLinkPLCtoPLC">
                      <ital>Standard clause, Third party rights</ital>
                    </link>
                    .
                  </paratext>
                </para>
              </division>
            </drafting.note>
            <subclause1 id="a1016631">
              <para>
                <paratext>A person who is not a party to this agreement shall not have any rights under the Contracts (Rights of Third Parties) Act 1999 to enforce any term of this agreement.</paratext>
              </para>
            </subclause1>
          </clause>
          <clause id="a271769">
            <identifier>14.</identifier>
            <head align="left" preservecase="true">
              <headtext>Governing law</headtext>
            </head>
            <drafting.note id="a684173">
              <head align="left" preservecase="true">
                <headtext>Governing law</headtext>
              </head>
              <division id="a000043" level="1">
                <para>
                  <paratext>
                    See 
                    <link href="4-107-3852" style="ACTLinkPLCtoPLC">
                      <ital>Practice note, Governing law and jurisdiction clauses</ital>
                    </link>
                    .
                  </paratext>
                </para>
              </division>
            </drafting.note>
            <subclause1 id="a880604">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862194">
            <identifier>15.</identifier>
            <head align="left" preservecase="true">
              <headtext>Jurisdiction</headtext>
            </head>
            <drafting.note id="a937858">
              <head align="left" preservecase="true">
                <headtext>Jurisdiction</headtext>
              </head>
              <division id="a000044" level="1">
                <para>
                  <paratext>
                    See 
                    <link href="4-107-3852" style="ACTLinkPLCtoPLC">
                      <ital>Practice note, Governing law and jurisdiction clauses</ital>
                    </link>
                    .
                  </paratext>
                </para>
              </division>
            </drafting.note>
            <subclause1 id="a717017">
              <para>
                <paratext>
                  Each party irrevocably agrees that the courts of England and Wales shall have [exclusive 
                  <bold>OR</bold>
                   non-exclusive] jurisdiction to settle any dispute or claim arising out of or in connection with this agreement or its subject matter or formation (including non-contractual disputes or claims).
                </paratext>
              </para>
            </subclause1>
          </clause>
        </operative>
        <testimonium wording="deed">
          <para>
            <paratext>This document has been executed as a deed and is delivered and takes effect on the date stated at the beginning of it.</paratext>
          </para>
        </testimonium>
        <signature pagebreak="true" signaturemessage="no">
          <para>
            <paratext>
              <table frame="all" pgwide="1">
                <tgroup cols="3">
                  <colspec colname="1" colnum="1"/>
                  <colspec colname="2" colnum="2"/>
                  <colspec colname="3" colnum="3"/>
                  <tbody>
                    <row>
                      <entry valign="top">
                        <para>
                          <paratext>Executed as a deed by [NAME OF CONSULTANT]</paratext>
                        </para>
                        <para>
                          <paratext>acting by [NAME OF FIRST DIRECTOR], a director and [NAME OF SECOND DIRECTOR/SECRETARY], [a director OR its secretary]</paratext>
                        </para>
                      </entry>
                      <entry valign="top">
                        <para>
                          <paratext space="default"> </paratext>
                        </para>
                      </entry>
                      <entry valign="top">
                        <para>
                          <paratext>....................</paratext>
                        </para>
                        <para>
                          <paratext>[SIGNATURE OF FIRST DIRECTOR]</paratext>
                        </para>
                        <para>
                          <paratext>Director</paratext>
                        </para>
                        <para>
                          <paratext>....................</paratext>
                        </para>
                        <para>
                          <paratext>[SIGNATURE OF SECOND DIRECTOR OR SECRETARY]</paratext>
                        </para>
                        <para>
                          <paratext>[Director OR Secretary]</paratext>
                        </para>
                      </entry>
                    </row>
                    <row>
                      <entry valign="top">
                        <para>
                          <paratext>OR</paratext>
                        </para>
                      </entry>
                      <entry valign="top">
                        <para>
                          <paratext space="default"> </paratext>
                        </para>
                      </entry>
                      <entry valign="top">
                        <para>
                          <paratext space="default"> </paratext>
                        </para>
                      </entry>
                    </row>
                    <row>
                      <entry valign="top">
                        <para>
                          <paratext>Executed as a deed by [NAME OF CONSULTANT]</paratext>
                        </para>
                        <para>
                          <paratext>acting by [NAME OF DIRECTOR] a director, in the presence of:</paratext>
                        </para>
                        <para>
                          <paratext>....................</paratext>
                        </para>
                        <para>
                          <paratext>[SIGNATURE OF WITNESS]</paratext>
                        </para>
                        <para>
                          <paratext>[NAME, ADDRESS [AND OCCUPATION] OF WITNESS]</paratext>
                        </para>
                      </entry>
                      <entry valign="top">
                        <para>
                          <paratext space="default"> </paratext>
                        </para>
                      </entry>
                      <entry valign="top">
                        <para>
                          <paratext>....................</paratext>
                        </para>
                        <para>
                          <paratext>[SIGNATURE OF DIRECTOR]</paratext>
                        </para>
                        <para>
                          <paratext>Director</paratext>
                        </para>
                      </entry>
                    </row>
                    <row>
                      <entry valign="top">
                        <para>
                          <paratext space="default"> </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row>
                      <entry valign="top">
                        <para>
                          <paratext>Executed as a deed by [NAME OF BENEFICIARY]</paratext>
                        </para>
                        <para>
                          <paratext>acting by [NAME OF FIRST DIRECTOR], a director and [NAME OF SECOND DIRECTOR/SECRETARY], [a director OR its secretary]</paratext>
                        </para>
                      </entry>
                      <entry valign="top">
                        <para>
                          <paratext space="default"> </paratext>
                        </para>
                      </entry>
                      <entry valign="top">
                        <para>
                          <paratext>....................</paratext>
                        </para>
                        <para>
                          <paratext>[SIGNATURE OF FIRST DIRECTOR]</paratext>
                        </para>
                        <para>
                          <paratext>Director</paratext>
                        </para>
                        <para>
                          <paratext>....................</paratext>
                        </para>
                        <para>
                          <paratext>[SIGNATURE OF SECOND DIRECTOR OR SECRETARY]</paratext>
                        </para>
                        <para>
                          <paratext>[Director OR Secretary]</paratext>
                        </para>
                      </entry>
                    </row>
                    <row>
                      <entry valign="top">
                        <para>
                          <paratext>OR</paratext>
                        </para>
                      </entry>
                      <entry valign="top">
                        <para>
                          <paratext space="default"> </paratext>
                        </para>
                      </entry>
                      <entry valign="top">
                        <para>
                          <paratext space="default"> </paratext>
                        </para>
                      </entry>
                    </row>
                    <row>
                      <entry valign="top">
                        <para>
                          <paratext>Executed as a deed by [NAME OF BENEFICIARY]</paratext>
                        </para>
                        <para>
                          <paratext>acting by [NAME OF DIRECTOR] a director, in the presence of:</paratext>
                        </para>
                        <para>
                          <paratext>....................</paratext>
                        </para>
                        <para>
                          <paratext>[SIGNATURE OF WITNESS]</paratext>
                        </para>
                        <para>
                          <paratext>[NAME, ADDRESS [AND OCCUPATION] OF WITNESS]</paratext>
                        </para>
                      </entry>
                      <entry valign="top">
                        <para>
                          <paratext space="default"> </paratext>
                        </para>
                      </entry>
                      <entry valign="top">
                        <para>
                          <paratext>....................</paratext>
                        </para>
                        <para>
                          <paratext>[SIGNATURE OF DIRECTOR]</paratext>
                        </para>
                        <para>
                          <paratext>Director</paratext>
                        </para>
                      </entry>
                    </row>
                    <row>
                      <entry valign="top">
                        <para>
                          <paratext space="default"> </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row>
                      <entry valign="top">
                        <para>
                          <paratext>Signed as a deed by [NAME OF CLIENT] in the presence of:</paratext>
                        </para>
                      </entry>
                      <entry valign="top">
                        <para>
                          <paratext space="default"> </paratext>
                        </para>
                      </entry>
                      <entry valign="top">
                        <para>
                          <paratext>....................</paratext>
                        </para>
                        <para>
                          <paratext>[SIGNATURE OF Client]</paratext>
                        </para>
                      </entry>
                    </row>
                    <row>
                      <entry valign="top">
                        <para>
                          <paratext>....................</paratext>
                        </para>
                        <para>
                          <paratext>[SIGNATURE OF WITNESS]</paratext>
                        </para>
                        <para>
                          <paratext>[NAME, ADDRESS [AND OCCUPATION] OF WITNESS]</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tbody>
                </tgroup>
              </table>
            </paratext>
          </para>
        </signature>
      </body>
      <rev.history>
        <rev.item>
          <rev.title>General review</rev.title>
          <rev.date>2016-12-15</rev.date>
          <rev.author>Practical Law Construction</rev.author>
          <rev.body>
            <division id="a000001" level="1">
              <para>
                <paratext>We have thoroughly reviewed this document, making only minor changes.</paratext>
              </para>
            </division>
          </rev.body>
        </rev.item>
        <rev.item>
          <rev.title>CDM 2015 ACoP unlikely</rev.title>
          <rev.date>2015-12-21</rev.date>
          <rev.author>Practical Law Construction</rev.author>
          <rev.body>
            <division id="a000002" level="1">
              <para>
                <paratext>
                  The HSE's Construction Industry Advisory Committee (CONIAC) November 2015 meeting suggests that the HSE will not publish an ACoP related to the CDM 2015. We have updated the drafting note to the definition of 
                  <internal.reference refid="a380379"> CDM Regulations</internal.reference>
                  .
                </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CDE56D51-8F7F-4FB5-9494-2FAF6F14EDA7}">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F8B6B6B5-6D9A-4868-8AE5-FD4258E26C3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GentTemplate.dotm</Template>
  <TotalTime>0</TotalTime>
  <Pages>15</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23865</CharactersWithSpaces>
  <SharedDoc>false</SharedDoc>
  <HLinks>
    <vt:vector size="84" baseType="variant">
      <vt:variant>
        <vt:i4>1310769</vt:i4>
      </vt:variant>
      <vt:variant>
        <vt:i4>86</vt:i4>
      </vt:variant>
      <vt:variant>
        <vt:i4>0</vt:i4>
      </vt:variant>
      <vt:variant>
        <vt:i4>5</vt:i4>
      </vt:variant>
      <vt:variant>
        <vt:lpwstr/>
      </vt:variant>
      <vt:variant>
        <vt:lpwstr>_Toc475631337</vt:lpwstr>
      </vt:variant>
      <vt:variant>
        <vt:i4>1310769</vt:i4>
      </vt:variant>
      <vt:variant>
        <vt:i4>80</vt:i4>
      </vt:variant>
      <vt:variant>
        <vt:i4>0</vt:i4>
      </vt:variant>
      <vt:variant>
        <vt:i4>5</vt:i4>
      </vt:variant>
      <vt:variant>
        <vt:lpwstr/>
      </vt:variant>
      <vt:variant>
        <vt:lpwstr>_Toc475631336</vt:lpwstr>
      </vt:variant>
      <vt:variant>
        <vt:i4>1310769</vt:i4>
      </vt:variant>
      <vt:variant>
        <vt:i4>74</vt:i4>
      </vt:variant>
      <vt:variant>
        <vt:i4>0</vt:i4>
      </vt:variant>
      <vt:variant>
        <vt:i4>5</vt:i4>
      </vt:variant>
      <vt:variant>
        <vt:lpwstr/>
      </vt:variant>
      <vt:variant>
        <vt:lpwstr>_Toc475631335</vt:lpwstr>
      </vt:variant>
      <vt:variant>
        <vt:i4>1310769</vt:i4>
      </vt:variant>
      <vt:variant>
        <vt:i4>68</vt:i4>
      </vt:variant>
      <vt:variant>
        <vt:i4>0</vt:i4>
      </vt:variant>
      <vt:variant>
        <vt:i4>5</vt:i4>
      </vt:variant>
      <vt:variant>
        <vt:lpwstr/>
      </vt:variant>
      <vt:variant>
        <vt:lpwstr>_Toc475631334</vt:lpwstr>
      </vt:variant>
      <vt:variant>
        <vt:i4>1310769</vt:i4>
      </vt:variant>
      <vt:variant>
        <vt:i4>62</vt:i4>
      </vt:variant>
      <vt:variant>
        <vt:i4>0</vt:i4>
      </vt:variant>
      <vt:variant>
        <vt:i4>5</vt:i4>
      </vt:variant>
      <vt:variant>
        <vt:lpwstr/>
      </vt:variant>
      <vt:variant>
        <vt:lpwstr>_Toc475631333</vt:lpwstr>
      </vt:variant>
      <vt:variant>
        <vt:i4>1310769</vt:i4>
      </vt:variant>
      <vt:variant>
        <vt:i4>56</vt:i4>
      </vt:variant>
      <vt:variant>
        <vt:i4>0</vt:i4>
      </vt:variant>
      <vt:variant>
        <vt:i4>5</vt:i4>
      </vt:variant>
      <vt:variant>
        <vt:lpwstr/>
      </vt:variant>
      <vt:variant>
        <vt:lpwstr>_Toc475631332</vt:lpwstr>
      </vt:variant>
      <vt:variant>
        <vt:i4>1310769</vt:i4>
      </vt:variant>
      <vt:variant>
        <vt:i4>50</vt:i4>
      </vt:variant>
      <vt:variant>
        <vt:i4>0</vt:i4>
      </vt:variant>
      <vt:variant>
        <vt:i4>5</vt:i4>
      </vt:variant>
      <vt:variant>
        <vt:lpwstr/>
      </vt:variant>
      <vt:variant>
        <vt:lpwstr>_Toc475631331</vt:lpwstr>
      </vt:variant>
      <vt:variant>
        <vt:i4>1310769</vt:i4>
      </vt:variant>
      <vt:variant>
        <vt:i4>44</vt:i4>
      </vt:variant>
      <vt:variant>
        <vt:i4>0</vt:i4>
      </vt:variant>
      <vt:variant>
        <vt:i4>5</vt:i4>
      </vt:variant>
      <vt:variant>
        <vt:lpwstr/>
      </vt:variant>
      <vt:variant>
        <vt:lpwstr>_Toc475631330</vt:lpwstr>
      </vt:variant>
      <vt:variant>
        <vt:i4>1376305</vt:i4>
      </vt:variant>
      <vt:variant>
        <vt:i4>38</vt:i4>
      </vt:variant>
      <vt:variant>
        <vt:i4>0</vt:i4>
      </vt:variant>
      <vt:variant>
        <vt:i4>5</vt:i4>
      </vt:variant>
      <vt:variant>
        <vt:lpwstr/>
      </vt:variant>
      <vt:variant>
        <vt:lpwstr>_Toc475631329</vt:lpwstr>
      </vt:variant>
      <vt:variant>
        <vt:i4>1376305</vt:i4>
      </vt:variant>
      <vt:variant>
        <vt:i4>30</vt:i4>
      </vt:variant>
      <vt:variant>
        <vt:i4>0</vt:i4>
      </vt:variant>
      <vt:variant>
        <vt:i4>5</vt:i4>
      </vt:variant>
      <vt:variant>
        <vt:lpwstr/>
      </vt:variant>
      <vt:variant>
        <vt:lpwstr>_Toc475631328</vt:lpwstr>
      </vt:variant>
      <vt:variant>
        <vt:i4>1376305</vt:i4>
      </vt:variant>
      <vt:variant>
        <vt:i4>22</vt:i4>
      </vt:variant>
      <vt:variant>
        <vt:i4>0</vt:i4>
      </vt:variant>
      <vt:variant>
        <vt:i4>5</vt:i4>
      </vt:variant>
      <vt:variant>
        <vt:lpwstr/>
      </vt:variant>
      <vt:variant>
        <vt:lpwstr>_Toc475631327</vt:lpwstr>
      </vt:variant>
      <vt:variant>
        <vt:i4>1376305</vt:i4>
      </vt:variant>
      <vt:variant>
        <vt:i4>14</vt:i4>
      </vt:variant>
      <vt:variant>
        <vt:i4>0</vt:i4>
      </vt:variant>
      <vt:variant>
        <vt:i4>5</vt:i4>
      </vt:variant>
      <vt:variant>
        <vt:lpwstr/>
      </vt:variant>
      <vt:variant>
        <vt:lpwstr>_Toc475631326</vt:lpwstr>
      </vt:variant>
      <vt:variant>
        <vt:i4>1376305</vt:i4>
      </vt:variant>
      <vt:variant>
        <vt:i4>8</vt:i4>
      </vt:variant>
      <vt:variant>
        <vt:i4>0</vt:i4>
      </vt:variant>
      <vt:variant>
        <vt:i4>5</vt:i4>
      </vt:variant>
      <vt:variant>
        <vt:lpwstr/>
      </vt:variant>
      <vt:variant>
        <vt:lpwstr>_Toc475631325</vt:lpwstr>
      </vt:variant>
      <vt:variant>
        <vt:i4>1376305</vt:i4>
      </vt:variant>
      <vt:variant>
        <vt:i4>2</vt:i4>
      </vt:variant>
      <vt:variant>
        <vt:i4>0</vt:i4>
      </vt:variant>
      <vt:variant>
        <vt:i4>5</vt:i4>
      </vt:variant>
      <vt:variant>
        <vt:lpwstr/>
      </vt:variant>
      <vt:variant>
        <vt:lpwstr>_Toc475631324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1601-01-01T00:00:00Z</cp:lastPrinted>
  <dcterms:created xsi:type="dcterms:W3CDTF">2019-03-06T00:41:00Z</dcterms:created>
  <dcterms:modified xsi:type="dcterms:W3CDTF">2019-03-06T00:41:00Z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ResourceType">
    <vt:lpwstr>Standard documents</vt:lpwstr>
  </property>
  <property fmtid="{D5CDD505-2E9C-101B-9397-08002B2CF9AE}" pid="3" name="ActStatus">
    <vt:lpwstr>Checked in by 'U0171423'</vt:lpwstr>
  </property>
  <property fmtid="{D5CDD505-2E9C-101B-9397-08002B2CF9AE}" pid="4" name="ActStatusDate">
    <vt:lpwstr>10:52:56 2016-12-15 EST</vt:lpwstr>
  </property>
  <property fmtid="{D5CDD505-2E9C-101B-9397-08002B2CF9AE}" pid="5" name="documentType">
    <vt:lpwstr>StandardDocFormal</vt:lpwstr>
  </property>
  <property fmtid="{D5CDD505-2E9C-101B-9397-08002B2CF9AE}" pid="6" name="DocumentVersion">
    <vt:lpwstr>1</vt:lpwstr>
  </property>
  <property fmtid="{D5CDD505-2E9C-101B-9397-08002B2CF9AE}" pid="7" name="Solution ID">
    <vt:lpwstr>{15727DE6-F92D-4E46-ACB4-0E2C58B31A18}</vt:lpwstr>
  </property>
</Properties>
</file>