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Dotační manuál spolku Živý zámek Toužim</w:t>
      </w:r>
    </w:p>
    <w:p>
      <w:pPr/>
      <w:r>
        <w:t xml:space="preserve">Oct 20, 2026</w:t>
      </w:r>
      <w:r>
        <w:t xml:space="preserve"> · </w:t>
      </w:r>
      <w:r>
        <w:t xml:space="preserve">@Michal Nedvídek</w:t>
      </w:r>
    </w:p>
    <w:p>
      <w:pPr/>
      <w:r>
        <w:rPr>
          <w:b/>
        </w:rPr>
        <w:t xml:space="preserve">Živý zámek Toužim, z. s.</w:t>
      </w:r>
      <w:r>
        <w:t xml:space="preserve"> · IČO 04690770 · sídlo Na Výsluní 346, 364 01 Toužim · spolkový rejstřík Krajského soudu v Plzni, sp. zn. L 7540 · transparentní účet 2301034510/2010 · není plátce DPH</w:t>
      </w:r>
    </w:p>
    <w:p>
      <w:pPr/>
      <w:r>
        <w:t xml:space="preserve">Předsedkyně Pavla Vokurková, místopředsedkyně Alena Šlajerová; každá jedná za spolek samostatně (čl. VII stanov).</w:t>
      </w:r>
    </w:p>
    <w:p>
      <w:pPr>
        <w:pStyle w:val="Heading2"/>
      </w:pPr>
      <w:r>
        <w:t xml:space="preserve">Dotační kalendář</w:t>
      </w:r>
    </w:p>
    <w:p>
      <w:pPr/>
      <w:r>
        <w:t xml:space="preserve">Termíny všech dotací, nejbližší uzávěrky a rok po měsících jsou na webové stránce </w:t>
      </w:r>
      <w:hyperlink r:id="rId3" w:history="1">
        <w:r>
          <w:rPr>
            <w:rStyle w:val="Hyperlink"/>
            <w:b/>
          </w:rPr>
          <w:t xml:space="preserve">Dotační kalendář</w:t>
        </w:r>
      </w:hyperlink>
      <w:r>
        <w:t xml:space="preserve">. Otevře ji kdokoli s odkazem, bez přihlášení. Claude ji každé pondělí ráno aktualizuje.</w:t>
      </w:r>
    </w:p>
    <w:p>
      <w:pPr>
        <w:pStyle w:val="Heading2"/>
      </w:pPr>
      <w:r>
        <w:t xml:space="preserve">Postup u každé dotace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Najít výzvu a přečíst pravidla.</w:t>
      </w:r>
      <w:r>
        <w:t xml:space="preserve"> Zjistit, kdo smí žádat, uzávěrku, způsob podání, nejvyšší částku, povinnou spoluúčast a uznatelné náklady.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Rozhodnout, kdo žádá.</w:t>
      </w:r>
      <w:r>
        <w:t xml:space="preserve"> Zámek patří městu Toužim. Pokud výzva připouští jen vlastníka, žádá město a spolek může být partner. Smlouva o výpůjčce kryje jen velké nádvoří, zahrada má písemný souhlas města. U projektu na malém nádvoří nebo v Horním hradu bude nejspíš potřeba písemný souhlas města.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Připravit žádost.</w:t>
      </w:r>
      <w:r>
        <w:t xml:space="preserve"> Popis projektu, rozpočet, harmonogram a přílohy podle výzvy. Obvykle se přikládají stanovy a výpis ze spolkového rejstříku (poslední z 20. 10. 2026). Podepisuje předsedkyně nebo místopředsedkyně.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Podat žádost.</w:t>
      </w:r>
      <w:r>
        <w:t xml:space="preserve"> Kraj elektronicky v dotačním portálu kraje, město přes podatelnu, MAS e-mailem, nadace přes svůj formulář. Kopii podané žádosti uložit.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Smlouva.</w:t>
      </w:r>
      <w:r>
        <w:t xml:space="preserve"> Po schválení vypsat ze smlouvy období realizace, do kdy utratit, uznatelné náklady, povinnou publicitu a termín vyúčtování.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Realizace.</w:t>
      </w:r>
      <w:r>
        <w:t xml:space="preserve"> Faktury a doklady o zaplacení schovávat zvlášť pro každý projekt. Akce a práce fotit s datem.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Vyúčtování a závěrečná zpráva.</w:t>
      </w:r>
      <w:r>
        <w:t xml:space="preserve"> V termínu podle smlouvy. Podklady o akcích jdou vytáhnout z příspěvků na Facebooku spolku.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Archivace.</w:t>
      </w:r>
      <w:r>
        <w:t xml:space="preserve"> Doklady uchovat tak dlouho, jak určuje smlouva.</w:t>
      </w:r>
    </w:p>
    <w:p>
      <w:pPr>
        <w:pStyle w:val="Heading2"/>
      </w:pPr>
      <w:r>
        <w:t xml:space="preserve">Publicita</w:t>
      </w:r>
    </w:p>
    <w:p>
      <w:pPr/>
      <w:r>
        <w:t xml:space="preserve">Co přesně musí spolek zveřejnit, určuje každá smlouva zvlášť, proto je potřeba ji při podpisu vypsat. Dosud spolek publicitu plnil takto:</w:t>
      </w:r>
    </w:p>
    <w:p>
      <w:pPr>
        <w:pStyle w:val="ListParagraph"/>
        <w:numPr>
          <w:ilvl w:val="0"/>
          <w:numId w:val="3"/>
        </w:numPr>
      </w:pPr>
      <w:r>
        <w:t xml:space="preserve">logo poskytovatele na plakátech akce,</w:t>
      </w:r>
    </w:p>
    <w:p>
      <w:pPr>
        <w:pStyle w:val="ListParagraph"/>
        <w:numPr>
          <w:ilvl w:val="0"/>
          <w:numId w:val="3"/>
        </w:numPr>
      </w:pPr>
      <w:r>
        <w:t xml:space="preserve">text „realizováno za podpory“ na pohlednicích a cedulích,</w:t>
      </w:r>
    </w:p>
    <w:p>
      <w:pPr>
        <w:pStyle w:val="ListParagraph"/>
        <w:numPr>
          <w:ilvl w:val="0"/>
          <w:numId w:val="3"/>
        </w:numPr>
      </w:pPr>
      <w:r>
        <w:t xml:space="preserve">logo v pruhu „Podporují nás“ na webu spolku.</w:t>
      </w:r>
    </w:p>
    <w:p>
      <w:pPr/>
      <w:r>
        <w:t xml:space="preserve">Splnění se dokládá fotkou plakátu nebo cedule s datem, kterou je dobré uložit k dokladům dané dotace.</w:t>
      </w:r>
    </w:p>
    <w:p>
      <w:pPr>
        <w:pStyle w:val="Heading2"/>
      </w:pPr>
      <w:r>
        <w:t xml:space="preserve">Poskytovatelé a výzvy</w:t>
      </w:r>
    </w:p>
    <w:p>
      <w:pPr/>
      <w:r>
        <w:t xml:space="preserve">Termíny jsou poslední známé a ověřené na webech poskytovatelů (20. 10. 2026). Před podáním je potřeba je zkontrolovat na odkazu, aktuální stav je vždy v kalendáři.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70"/>
        <w:gridCol w:w="2007"/>
        <w:gridCol w:w="1572"/>
        <w:gridCol w:w="2811"/>
      </w:tblGrid>
      <w:tr>
        <w:trPr>
          <w:tblHeader/>
        </w:trPr>
        <w:tc>
          <w:tcPr>
            <w:tcW w:w="2970" w:type="dxa"/>
            <w:shd w:val="clear" w:color="auto" w:fill="F2F2F2"/>
          </w:tcPr>
          <w:p>
            <w:pPr/>
            <w:r>
              <w:t xml:space="preserve">Poskytovatel a program</w:t>
            </w:r>
          </w:p>
        </w:tc>
        <w:tc>
          <w:tcPr>
            <w:tcW w:w="2007" w:type="dxa"/>
            <w:shd w:val="clear" w:color="auto" w:fill="F2F2F2"/>
          </w:tcPr>
          <w:p>
            <w:pPr/>
            <w:r>
              <w:t xml:space="preserve">Na co</w:t>
            </w:r>
          </w:p>
        </w:tc>
        <w:tc>
          <w:tcPr>
            <w:tcW w:w="1572" w:type="dxa"/>
            <w:shd w:val="clear" w:color="auto" w:fill="F2F2F2"/>
          </w:tcPr>
          <w:p>
            <w:pPr/>
            <w:r>
              <w:t xml:space="preserve">Poslední známý termín</w:t>
            </w:r>
          </w:p>
        </w:tc>
        <w:tc>
          <w:tcPr>
            <w:tcW w:w="2811" w:type="dxa"/>
            <w:shd w:val="clear" w:color="auto" w:fill="F2F2F2"/>
          </w:tcPr>
          <w:p>
            <w:pPr/>
            <w:r>
              <w:t xml:space="preserve">Jak podat</w:t>
            </w:r>
          </w:p>
        </w:tc>
      </w:tr>
      <w:tr>
        <w:tc>
          <w:tcPr>
            <w:tcW w:w="2970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Karlovarský kraj: Podpora kulturních aktivit</w:t>
              </w:r>
            </w:hyperlink>
          </w:p>
        </w:tc>
        <w:tc>
          <w:tcPr>
            <w:tcW w:w="2007" w:type="dxa"/>
          </w:tcPr>
          <w:p>
            <w:pPr/>
            <w:r>
              <w:t xml:space="preserve">kulturní akce na příští rok</w:t>
            </w:r>
          </w:p>
        </w:tc>
        <w:tc>
          <w:tcPr>
            <w:tcW w:w="1572" w:type="dxa"/>
          </w:tcPr>
          <w:p>
            <w:pPr/>
            <w:r>
              <w:t xml:space="preserve">27. 10.–9. 11. 2026</w:t>
            </w:r>
          </w:p>
        </w:tc>
        <w:tc>
          <w:tcPr>
            <w:tcW w:w="2811" w:type="dxa"/>
          </w:tcPr>
          <w:p>
            <w:pPr/>
            <w:r>
              <w:t xml:space="preserve">dotační portál kraje; smlouva jen s uznávaným el. podpisem; účetní závěrka ve sbírce listin</w:t>
            </w:r>
          </w:p>
        </w:tc>
      </w:tr>
      <w:tr>
        <w:tc>
          <w:tcPr>
            <w:tcW w:w="2970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Karlovarský kraj: Podpora aktivit v cestovním ruchu</w:t>
              </w:r>
            </w:hyperlink>
          </w:p>
        </w:tc>
        <w:tc>
          <w:tcPr>
            <w:tcW w:w="2007" w:type="dxa"/>
          </w:tcPr>
          <w:p>
            <w:pPr/>
            <w:r>
              <w:t xml:space="preserve">cestovní ruch</w:t>
            </w:r>
          </w:p>
        </w:tc>
        <w:tc>
          <w:tcPr>
            <w:tcW w:w="1572" w:type="dxa"/>
          </w:tcPr>
          <w:p>
            <w:pPr/>
            <w:r>
              <w:t xml:space="preserve">2026: 27. 1.–9. 2.</w:t>
            </w:r>
          </w:p>
        </w:tc>
        <w:tc>
          <w:tcPr>
            <w:tcW w:w="2811" w:type="dxa"/>
          </w:tcPr>
          <w:p>
            <w:pPr/>
            <w:r>
              <w:t xml:space="preserve">dotační portál kraje</w:t>
            </w:r>
          </w:p>
        </w:tc>
      </w:tr>
      <w:tr>
        <w:tc>
          <w:tcPr>
            <w:tcW w:w="2970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Město Toužim: individuální dotace</w:t>
              </w:r>
            </w:hyperlink>
          </w:p>
        </w:tc>
        <w:tc>
          <w:tcPr>
            <w:tcW w:w="2007" w:type="dxa"/>
          </w:tcPr>
          <w:p>
            <w:pPr/>
            <w:r>
              <w:t xml:space="preserve">činnost na celý rok</w:t>
            </w:r>
          </w:p>
        </w:tc>
        <w:tc>
          <w:tcPr>
            <w:tcW w:w="1572" w:type="dxa"/>
          </w:tcPr>
          <w:p>
            <w:pPr/>
            <w:r>
              <w:t xml:space="preserve">do 20. 1. 2027 na rok 2027</w:t>
            </w:r>
          </w:p>
        </w:tc>
        <w:tc>
          <w:tcPr>
            <w:tcW w:w="2811" w:type="dxa"/>
          </w:tcPr>
          <w:p>
            <w:pPr/>
            <w:r>
              <w:t xml:space="preserve">podatelna města</w:t>
            </w:r>
          </w:p>
        </w:tc>
      </w:tr>
      <w:tr>
        <w:tc>
          <w:tcPr>
            <w:tcW w:w="2970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Město Toužim: Program na podporu kulturních a sportovních aktivit</w:t>
              </w:r>
            </w:hyperlink>
          </w:p>
        </w:tc>
        <w:tc>
          <w:tcPr>
            <w:tcW w:w="2007" w:type="dxa"/>
          </w:tcPr>
          <w:p>
            <w:pPr/>
            <w:r>
              <w:t xml:space="preserve">konkrétní akce, 5 000–50 000 Kč, nejvýš 2 žádosti</w:t>
            </w:r>
          </w:p>
        </w:tc>
        <w:tc>
          <w:tcPr>
            <w:tcW w:w="1572" w:type="dxa"/>
          </w:tcPr>
          <w:p>
            <w:pPr/>
            <w:r>
              <w:t xml:space="preserve">2026: 16. 2.–16. 3.</w:t>
            </w:r>
          </w:p>
        </w:tc>
        <w:tc>
          <w:tcPr>
            <w:tcW w:w="2811" w:type="dxa"/>
          </w:tcPr>
          <w:p>
            <w:pPr/>
            <w:r>
              <w:t xml:space="preserve">podatelna města</w:t>
            </w:r>
          </w:p>
        </w:tc>
      </w:tr>
      <w:tr>
        <w:tc>
          <w:tcPr>
            <w:tcW w:w="2970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MAS Kraj živých vod: Dr. ŽIVODA</w:t>
              </w:r>
            </w:hyperlink>
          </w:p>
        </w:tc>
        <w:tc>
          <w:tcPr>
            <w:tcW w:w="2007" w:type="dxa"/>
          </w:tcPr>
          <w:p>
            <w:pPr/>
            <w:r>
              <w:t xml:space="preserve">kulturní a sportovní akce s místními spolky</w:t>
            </w:r>
          </w:p>
        </w:tc>
        <w:tc>
          <w:tcPr>
            <w:tcW w:w="1572" w:type="dxa"/>
          </w:tcPr>
          <w:p>
            <w:pPr/>
            <w:r>
              <w:t xml:space="preserve">cca březen</w:t>
            </w:r>
          </w:p>
        </w:tc>
        <w:tc>
          <w:tcPr>
            <w:tcW w:w="2811" w:type="dxa"/>
          </w:tcPr>
          <w:p>
            <w:pPr/>
            <w:r>
              <w:t xml:space="preserve">e-mailem na krajzivychvod@seznam.cz</w:t>
            </w:r>
          </w:p>
        </w:tc>
      </w:tr>
      <w:tr>
        <w:tc>
          <w:tcPr>
            <w:tcW w:w="2970" w:type="dxa"/>
          </w:tcPr>
          <w:p>
            <w:pPr/>
            <w:hyperlink r:id="rId8" w:history="1">
              <w:r>
                <w:rPr>
                  <w:rStyle w:val="Hyperlink"/>
                </w:rPr>
                <w:t xml:space="preserve">Nadace ČEZ: Zaměstnanecké granty</w:t>
              </w:r>
            </w:hyperlink>
          </w:p>
        </w:tc>
        <w:tc>
          <w:tcPr>
            <w:tcW w:w="2007" w:type="dxa"/>
          </w:tcPr>
          <w:p>
            <w:pPr/>
            <w:r>
              <w:t xml:space="preserve">až 50 000 Kč na činnost</w:t>
            </w:r>
          </w:p>
        </w:tc>
        <w:tc>
          <w:tcPr>
            <w:tcW w:w="1572" w:type="dxa"/>
          </w:tcPr>
          <w:p>
            <w:pPr/>
            <w:r>
              <w:t xml:space="preserve">2026: 1.–31. 3.</w:t>
            </w:r>
          </w:p>
        </w:tc>
        <w:tc>
          <w:tcPr>
            <w:tcW w:w="2811" w:type="dxa"/>
          </w:tcPr>
          <w:p>
            <w:pPr/>
            <w:r>
              <w:t xml:space="preserve">doporučení zaměstnance skupiny ČEZ, který ve spolku dobrovolničí; ne dva roky po sobě</w:t>
            </w:r>
          </w:p>
        </w:tc>
      </w:tr>
      <w:tr>
        <w:tc>
          <w:tcPr>
            <w:tcW w:w="2970" w:type="dxa"/>
          </w:tcPr>
          <w:p>
            <w:pPr/>
            <w:hyperlink r:id="rId9" w:history="1">
              <w:r>
                <w:rPr>
                  <w:rStyle w:val="Hyperlink"/>
                </w:rPr>
                <w:t xml:space="preserve">Nadace VIA</w:t>
              </w:r>
            </w:hyperlink>
          </w:p>
        </w:tc>
        <w:tc>
          <w:tcPr>
            <w:tcW w:w="2007" w:type="dxa"/>
          </w:tcPr>
          <w:p>
            <w:pPr/>
            <w:r>
              <w:t xml:space="preserve">komunitní projekty</w:t>
            </w:r>
          </w:p>
        </w:tc>
        <w:tc>
          <w:tcPr>
            <w:tcW w:w="1572" w:type="dxa"/>
          </w:tcPr>
          <w:p>
            <w:pPr/>
            <w:r>
              <w:t xml:space="preserve">nepravidelně</w:t>
            </w:r>
          </w:p>
        </w:tc>
        <w:tc>
          <w:tcPr>
            <w:tcW w:w="2811" w:type="dxa"/>
          </w:tcPr>
          <w:p>
            <w:pPr/>
            <w:r>
              <w:t xml:space="preserve">podle výzvy</w:t>
            </w:r>
          </w:p>
        </w:tc>
      </w:tr>
      <w:tr>
        <w:tc>
          <w:tcPr>
            <w:tcW w:w="2970" w:type="dxa"/>
          </w:tcPr>
          <w:p>
            <w:pPr/>
            <w:hyperlink r:id="rId10" w:history="1">
              <w:r>
                <w:rPr>
                  <w:rStyle w:val="Hyperlink"/>
                </w:rPr>
                <w:t xml:space="preserve">Nadace Život umělce</w:t>
              </w:r>
            </w:hyperlink>
          </w:p>
        </w:tc>
        <w:tc>
          <w:tcPr>
            <w:tcW w:w="2007" w:type="dxa"/>
          </w:tcPr>
          <w:p>
            <w:pPr/>
            <w:r>
              <w:t xml:space="preserve">kultura</w:t>
            </w:r>
          </w:p>
        </w:tc>
        <w:tc>
          <w:tcPr>
            <w:tcW w:w="1572" w:type="dxa"/>
          </w:tcPr>
          <w:p>
            <w:pPr/>
            <w:r>
              <w:t xml:space="preserve">termín nezjištěn</w:t>
            </w:r>
          </w:p>
        </w:tc>
        <w:tc>
          <w:tcPr>
            <w:tcW w:w="2811" w:type="dxa"/>
          </w:tcPr>
          <w:p>
            <w:pPr/>
            <w:r>
              <w:t xml:space="preserve">podle výzvy</w:t>
            </w:r>
          </w:p>
        </w:tc>
      </w:tr>
    </w:tbl>
    <w:p>
      <w:pPr/>
      <w:r>
        <w:t xml:space="preserve">Ministerstvo kultury se nehlídá: v roce 2026 byla žádost zpoplatněná a nebyla podpořena.</w:t>
      </w:r>
    </w:p>
    <w:p>
      <w:pPr>
        <w:pStyle w:val="Heading2"/>
      </w:pPr>
      <w:r>
        <w:t xml:space="preserve">Nové zdroje</w:t>
      </w:r>
    </w:p>
    <w:p>
      <w:pPr/>
      <w:r>
        <w:t xml:space="preserve">Každé pondělí ráno Claude hledá nové výzvy, na všechno, co pomůže činnosti spolku: kulturu, zeleň a zahradu, památky, provoz, vybavení i budování. Když najde novinku nebo se blíží uzávěrka (3 týdny a poslední týden předem), napíše do vlákna Dotace a kartu v kalendáři označí štítkem „novinka“. Když se nic neděje, nepíše nic.</w:t>
      </w:r>
    </w:p>
    <w:p>
      <w:pPr/>
      <w:r>
        <w:t xml:space="preserve">Zatím nalezení kandidáti, o které spolek nežádal: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77"/>
        <w:gridCol w:w="4525"/>
        <w:gridCol w:w="2358"/>
      </w:tblGrid>
      <w:tr>
        <w:trPr>
          <w:tblHeader/>
        </w:trPr>
        <w:tc>
          <w:tcPr>
            <w:tcW w:w="2477" w:type="dxa"/>
            <w:shd w:val="clear" w:color="auto" w:fill="F2F2F2"/>
          </w:tcPr>
          <w:p>
            <w:pPr/>
            <w:r>
              <w:t xml:space="preserve">Program</w:t>
            </w:r>
          </w:p>
        </w:tc>
        <w:tc>
          <w:tcPr>
            <w:tcW w:w="4525" w:type="dxa"/>
            <w:shd w:val="clear" w:color="auto" w:fill="F2F2F2"/>
          </w:tcPr>
          <w:p>
            <w:pPr/>
            <w:r>
              <w:t xml:space="preserve">Na co</w:t>
            </w:r>
          </w:p>
        </w:tc>
        <w:tc>
          <w:tcPr>
            <w:tcW w:w="2358" w:type="dxa"/>
            <w:shd w:val="clear" w:color="auto" w:fill="F2F2F2"/>
          </w:tcPr>
          <w:p>
            <w:pPr/>
            <w:r>
              <w:t xml:space="preserve">Poslední známý termín</w:t>
            </w:r>
          </w:p>
        </w:tc>
      </w:tr>
      <w:tr>
        <w:tc>
          <w:tcPr>
            <w:tcW w:w="2477" w:type="dxa"/>
          </w:tcPr>
          <w:p>
            <w:pPr/>
            <w:hyperlink r:id="rId11" w:history="1">
              <w:r>
                <w:rPr>
                  <w:rStyle w:val="Hyperlink"/>
                </w:rPr>
                <w:t xml:space="preserve">Nadace ČEZ: Podpora regionů</w:t>
              </w:r>
            </w:hyperlink>
          </w:p>
        </w:tc>
        <w:tc>
          <w:tcPr>
            <w:tcW w:w="4525" w:type="dxa"/>
          </w:tcPr>
          <w:p>
            <w:pPr/>
            <w:r>
              <w:t xml:space="preserve">bez stropu a bez spoluúčasti, i vybavení</w:t>
            </w:r>
          </w:p>
        </w:tc>
        <w:tc>
          <w:tcPr>
            <w:tcW w:w="2358" w:type="dxa"/>
          </w:tcPr>
          <w:p>
            <w:pPr/>
            <w:r>
              <w:t xml:space="preserve">2026: do 12. 11.; 2027 od 1. 1.</w:t>
            </w:r>
          </w:p>
        </w:tc>
      </w:tr>
      <w:tr>
        <w:tc>
          <w:tcPr>
            <w:tcW w:w="2477" w:type="dxa"/>
          </w:tcPr>
          <w:p>
            <w:pPr/>
            <w:hyperlink r:id="rId12" w:history="1">
              <w:r>
                <w:rPr>
                  <w:rStyle w:val="Hyperlink"/>
                </w:rPr>
                <w:t xml:space="preserve">Nadace VIA: Fond Kaufland, komunitní zahrady</w:t>
              </w:r>
            </w:hyperlink>
          </w:p>
        </w:tc>
        <w:tc>
          <w:tcPr>
            <w:tcW w:w="4525" w:type="dxa"/>
          </w:tcPr>
          <w:p>
            <w:pPr/>
            <w:r>
              <w:t xml:space="preserve">20 000–100 000 Kč na komunitní zahradu; nutný souhlas vlastníka (města)</w:t>
            </w:r>
          </w:p>
        </w:tc>
        <w:tc>
          <w:tcPr>
            <w:tcW w:w="2358" w:type="dxa"/>
          </w:tcPr>
          <w:p>
            <w:pPr/>
            <w:r>
              <w:t xml:space="preserve">2026: dotazník 5. 1.–8. 2.</w:t>
            </w:r>
          </w:p>
        </w:tc>
      </w:tr>
      <w:tr>
        <w:tc>
          <w:tcPr>
            <w:tcW w:w="2477" w:type="dxa"/>
          </w:tcPr>
          <w:p>
            <w:pPr/>
            <w:hyperlink r:id="rId13" w:history="1">
              <w:r>
                <w:rPr>
                  <w:rStyle w:val="Hyperlink"/>
                </w:rPr>
                <w:t xml:space="preserve">MMR: dotace pro nestátní neziskové organizace</w:t>
              </w:r>
            </w:hyperlink>
            <w:r>
              <w:t xml:space="preserve"> (</w:t>
            </w:r>
            <w:hyperlink r:id="rId14" w:history="1">
              <w:r>
                <w:rPr>
                  <w:rStyle w:val="Hyperlink"/>
                </w:rPr>
                <w:t xml:space="preserve">podmínky 2026</w:t>
              </w:r>
            </w:hyperlink>
            <w:r>
              <w:t xml:space="preserve">)</w:t>
            </w:r>
          </w:p>
        </w:tc>
        <w:tc>
          <w:tcPr>
            <w:tcW w:w="4525" w:type="dxa"/>
          </w:tcPr>
          <w:p>
            <w:pPr/>
            <w:r>
              <w:t xml:space="preserve">rozvoj regionů a cestovní ruch celostátního významu; 100 000 Kč–5 mil. Kč, nejvýš 70 % nákladů; pro místní akce se hodí málo</w:t>
            </w:r>
          </w:p>
        </w:tc>
        <w:tc>
          <w:tcPr>
            <w:tcW w:w="2358" w:type="dxa"/>
          </w:tcPr>
          <w:p>
            <w:pPr/>
            <w:r>
              <w:t xml:space="preserve">na 2026 příjem 19. 11.–31. 12. 2025; na 2027 se čeká kolem listopadu 2026</w:t>
            </w:r>
          </w:p>
        </w:tc>
      </w:tr>
      <w:tr>
        <w:tc>
          <w:tcPr>
            <w:tcW w:w="2477" w:type="dxa"/>
          </w:tcPr>
          <w:p>
            <w:pPr/>
            <w:hyperlink r:id="rId15" w:history="1">
              <w:r>
                <w:rPr>
                  <w:rStyle w:val="Hyperlink"/>
                </w:rPr>
                <w:t xml:space="preserve">Nadace Občanského fóra: Opomíjené památky</w:t>
              </w:r>
            </w:hyperlink>
          </w:p>
        </w:tc>
        <w:tc>
          <w:tcPr>
            <w:tcW w:w="4525" w:type="dxa"/>
          </w:tcPr>
          <w:p>
            <w:pPr/>
            <w:r>
              <w:t xml:space="preserve">obnova drobných památek (kapličky, kříže), do 50 000 Kč; nutný souhlas vlastníka</w:t>
            </w:r>
          </w:p>
        </w:tc>
        <w:tc>
          <w:tcPr>
            <w:tcW w:w="2358" w:type="dxa"/>
          </w:tcPr>
          <w:p>
            <w:pPr/>
            <w:r>
              <w:t xml:space="preserve">2026: do 15. 7.; další ročník čekám v létě 2027 (odhad)</w:t>
            </w:r>
          </w:p>
        </w:tc>
      </w:tr>
      <w:tr>
        <w:tc>
          <w:tcPr>
            <w:tcW w:w="2477" w:type="dxa"/>
          </w:tcPr>
          <w:p>
            <w:pPr/>
            <w:hyperlink r:id="rId16" w:history="1">
              <w:r>
                <w:rPr>
                  <w:rStyle w:val="Hyperlink"/>
                </w:rPr>
                <w:t xml:space="preserve">Nadace Partnerství: Pro odolná města a zdravou krajinu</w:t>
              </w:r>
            </w:hyperlink>
            <w:r>
              <w:t xml:space="preserve"> (</w:t>
            </w:r>
            <w:hyperlink r:id="rId17" w:history="1">
              <w:r>
                <w:rPr>
                  <w:rStyle w:val="Hyperlink"/>
                </w:rPr>
                <w:t xml:space="preserve">výzva 2026</w:t>
              </w:r>
            </w:hyperlink>
            <w:r>
              <w:t xml:space="preserve">)</w:t>
            </w:r>
          </w:p>
        </w:tc>
        <w:tc>
          <w:tcPr>
            <w:tcW w:w="4525" w:type="dxa"/>
          </w:tcPr>
          <w:p>
            <w:pPr/>
            <w:r>
              <w:t xml:space="preserve">50 000–200 000 Kč na přírodě blízká opatření v obci, výslovně i komunitní zahrady; souhlas vlastníka, veřejně přístupné; vyvýšené záhony nelze</w:t>
            </w:r>
          </w:p>
        </w:tc>
        <w:tc>
          <w:tcPr>
            <w:tcW w:w="2358" w:type="dxa"/>
          </w:tcPr>
          <w:p>
            <w:pPr/>
            <w:r>
              <w:t xml:space="preserve">2026: 24. 8.–15. 10.; další ročník čekám na podzim 2027 (odhad)</w:t>
            </w:r>
          </w:p>
        </w:tc>
      </w:tr>
      <w:tr>
        <w:tc>
          <w:tcPr>
            <w:tcW w:w="2477" w:type="dxa"/>
          </w:tcPr>
          <w:p>
            <w:pPr/>
            <w:hyperlink r:id="rId18" w:history="1">
              <w:r>
                <w:rPr>
                  <w:rStyle w:val="Hyperlink"/>
                </w:rPr>
                <w:t xml:space="preserve">Nadace Partnerství: Péče o mladé stromy</w:t>
              </w:r>
            </w:hyperlink>
          </w:p>
        </w:tc>
        <w:tc>
          <w:tcPr>
            <w:tcW w:w="4525" w:type="dxa"/>
          </w:tcPr>
          <w:p>
            <w:pPr/>
            <w:r>
              <w:t xml:space="preserve">20 000–100 000 Kč na ošetření stromů vysazených v posledních 10 letech; na zahradě až po výsadbě lípy</w:t>
            </w:r>
          </w:p>
        </w:tc>
        <w:tc>
          <w:tcPr>
            <w:tcW w:w="2358" w:type="dxa"/>
          </w:tcPr>
          <w:p>
            <w:pPr/>
            <w:r>
              <w:t xml:space="preserve">do 15. 11. 2026</w:t>
            </w:r>
          </w:p>
        </w:tc>
      </w:tr>
    </w:tbl>
    <w:p>
      <w:pPr/>
      <w:r>
        <w:t xml:space="preserve">Kde hledat další: </w:t>
      </w:r>
      <w:hyperlink r:id="rId19" w:history="1">
        <w:r>
          <w:rPr>
            <w:rStyle w:val="Hyperlink"/>
          </w:rPr>
          <w:t xml:space="preserve">Hlavní oblasti dotační politiky vůči NNO</w:t>
        </w:r>
      </w:hyperlink>
      <w:r>
        <w:t xml:space="preserve"> (Úřad vlády, státní programy pro neziskovky), </w:t>
      </w:r>
      <w:hyperlink r:id="rId13" w:history="1">
        <w:r>
          <w:rPr>
            <w:rStyle w:val="Hyperlink"/>
          </w:rPr>
          <w:t xml:space="preserve">národní dotace MMR pro neziskovky</w:t>
        </w:r>
      </w:hyperlink>
      <w:r>
        <w:t xml:space="preserve">, </w:t>
      </w:r>
      <w:hyperlink r:id="rId20" w:history="1">
        <w:r>
          <w:rPr>
            <w:rStyle w:val="Hyperlink"/>
          </w:rPr>
          <w:t xml:space="preserve">aktuální výzvy Nadace Partnerství</w:t>
        </w:r>
      </w:hyperlink>
      <w:r>
        <w:t xml:space="preserve"> a </w:t>
      </w:r>
      <w:hyperlink r:id="rId21" w:history="1">
        <w:r>
          <w:rPr>
            <w:rStyle w:val="Hyperlink"/>
          </w:rPr>
          <w:t xml:space="preserve">přehled dotačních výzev na památky</w:t>
        </w:r>
      </w:hyperlink>
      <w:r>
        <w:t xml:space="preserve"> na propamatky.cz. Propamatky.cz je jen rozcestník, podmínky je vždy potřeba ověřit u poskytovatele.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zametouzim.github.io/zivyzamek-web/dotace/" TargetMode="External"/><Relationship Id="rId4" Type="http://schemas.openxmlformats.org/officeDocument/2006/relationships/hyperlink" Target="https://www.kr-karlovarsky.cz/dotace/podpora-kulturnich-aktivit" TargetMode="External"/><Relationship Id="rId5" Type="http://schemas.openxmlformats.org/officeDocument/2006/relationships/hyperlink" Target="https://www.kr-karlovarsky.cz/dotace/podpora-aktivit-v-cestovnim-ruchu" TargetMode="External"/><Relationship Id="rId6" Type="http://schemas.openxmlformats.org/officeDocument/2006/relationships/hyperlink" Target="https://www.touzim.cz/obcan/poskytovani-dotaci/" TargetMode="External"/><Relationship Id="rId7" Type="http://schemas.openxmlformats.org/officeDocument/2006/relationships/hyperlink" Target="https://www.krajzivychvod.cz/drzivoda/" TargetMode="External"/><Relationship Id="rId8" Type="http://schemas.openxmlformats.org/officeDocument/2006/relationships/hyperlink" Target="https://www.nadacecez.cz/cs/vyhlasovana-grantova-rizeni/zamestnanecke-granty-110067" TargetMode="External"/><Relationship Id="rId9" Type="http://schemas.openxmlformats.org/officeDocument/2006/relationships/hyperlink" Target="https://www.nadacevia.cz/" TargetMode="External"/><Relationship Id="rId10" Type="http://schemas.openxmlformats.org/officeDocument/2006/relationships/hyperlink" Target="https://www.nadace-zivot-umelce.cz/" TargetMode="External"/><Relationship Id="rId11" Type="http://schemas.openxmlformats.org/officeDocument/2006/relationships/hyperlink" Target="https://www.nadacecez.cz/cs/vyhlasovana-grantova-rizeni/podpora-regionu-110046" TargetMode="External"/><Relationship Id="rId12" Type="http://schemas.openxmlformats.org/officeDocument/2006/relationships/hyperlink" Target="https://www.nadacevia.cz/nabidka-programu/fond-kaufland/zahrady/" TargetMode="External"/><Relationship Id="rId13" Type="http://schemas.openxmlformats.org/officeDocument/2006/relationships/hyperlink" Target="https://mmr.gov.cz/cs/narodni-dotace/dotace-pro-nestatni-neziskove-organizace" TargetMode="External"/><Relationship Id="rId14" Type="http://schemas.openxmlformats.org/officeDocument/2006/relationships/hyperlink" Target="https://mmr.gov.cz/getmedia/6fa9fc58-dc93-4313-bc6d-8b66e813e4ea/2026_NNO_Oblasti-podpory-a-podminky.pdf.aspx?ext=.pdf" TargetMode="External"/><Relationship Id="rId15" Type="http://schemas.openxmlformats.org/officeDocument/2006/relationships/hyperlink" Target="https://www.nadaceof.cz/grantove-programy/opomijene-pamatky" TargetMode="External"/><Relationship Id="rId16" Type="http://schemas.openxmlformats.org/officeDocument/2006/relationships/hyperlink" Target="https://www.nadacepartnerstvi.cz/pro-odolna-mesta-zdravou-krajinu-2026" TargetMode="External"/><Relationship Id="rId17" Type="http://schemas.openxmlformats.org/officeDocument/2006/relationships/hyperlink" Target="https://www.nadacepartnerstvi.cz/NAP/media/Dokumenty/Vyzva-Pro-odolna-mesta-a-zdravou-krajinu-2026.pdf" TargetMode="External"/><Relationship Id="rId18" Type="http://schemas.openxmlformats.org/officeDocument/2006/relationships/hyperlink" Target="https://www.nadacepartnerstvi.cz/pece-o-mlade-stromy-2027" TargetMode="External"/><Relationship Id="rId19" Type="http://schemas.openxmlformats.org/officeDocument/2006/relationships/hyperlink" Target="https://uv.gov.cz/assets/ppov/rnno/dokumenty/Hlavni_oblasti_2026.pdf" TargetMode="External"/><Relationship Id="rId20" Type="http://schemas.openxmlformats.org/officeDocument/2006/relationships/hyperlink" Target="https://www.nadacepartnerstvi.cz/granty#vyzvy" TargetMode="External"/><Relationship Id="rId21" Type="http://schemas.openxmlformats.org/officeDocument/2006/relationships/hyperlink" Target="https://www.propamatky.cz/financovani/dotacni-vyzvy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Dotační manuál spolku Živý zámek Toužim</dc:title>
  <dc:description>Claude Docs node/1ff78571-ae72@38 docx-w7</dc:description>
  <cp:revision>38</cp:revision>
</cp:coreProperties>
</file>