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F"/>
          <w:sz w:val="44"/>
          <w:szCs w:val="44"/>
        </w:rPr>
        <w:t xml:space="preserve">Project Requirements Document</w:t>
      </w:r>
    </w:p>
    <w:p>
      <w:pPr>
        <w:spacing w:after="300"/>
      </w:pPr>
      <w:r>
        <w:rPr>
          <w:i/>
          <w:iCs/>
          <w:color w:val="555555"/>
          <w:sz w:val="28"/>
          <w:szCs w:val="28"/>
        </w:rPr>
        <w:t xml:space="preserve">Insurance &amp; Lending Risk Analysis &amp; Predictive Modeling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1F4E5F" w:val="clear"/>
          </w:tcPr>
          <w:p>
            <w:r>
              <w:rPr>
                <w:b/>
                <w:bCs/>
                <w:color w:val="FFFFFF"/>
                <w:sz w:val="20"/>
                <w:szCs w:val="20"/>
              </w:rPr>
              <w:t xml:space="preserve">Field</w:t>
            </w:r>
          </w:p>
        </w:tc>
        <w:tc>
          <w:tcPr>
            <w:tcW w:type="dxa" w:w="6800"/>
            <w:shd w:fill="1F4E5F" w:val="clear"/>
          </w:tcPr>
          <w:p>
            <w:r>
              <w:rPr>
                <w:b/>
                <w:bCs/>
                <w:color w:val="FFFFFF"/>
                <w:sz w:val="20"/>
                <w:szCs w:val="20"/>
              </w:rPr>
              <w:t xml:space="preserve">Detail</w:t>
            </w:r>
          </w:p>
        </w:tc>
      </w:tr>
      <w:tr>
        <w:tc>
          <w:tcPr>
            <w:tcW w:type="dxa" w:w="3000"/>
          </w:tcPr>
          <w:p>
            <w:r>
              <w:rPr>
                <w:b w:val="false"/>
                <w:bCs w:val="false"/>
                <w:color w:val="000000"/>
                <w:sz w:val="20"/>
                <w:szCs w:val="20"/>
              </w:rPr>
              <w:t xml:space="preserve">Project Type</w:t>
            </w:r>
          </w:p>
        </w:tc>
        <w:tc>
          <w:tcPr>
            <w:tcW w:type="dxa" w:w="6800"/>
          </w:tcPr>
          <w:p>
            <w:r>
              <w:rPr>
                <w:b w:val="false"/>
                <w:bCs w:val="false"/>
                <w:color w:val="000000"/>
                <w:sz w:val="20"/>
                <w:szCs w:val="20"/>
              </w:rPr>
              <w:t xml:space="preserve">Personal data analyst portfolio project</w:t>
            </w:r>
          </w:p>
        </w:tc>
      </w:tr>
      <w:tr>
        <w:tc>
          <w:tcPr>
            <w:tcW w:type="dxa" w:w="3000"/>
          </w:tcPr>
          <w:p>
            <w:r>
              <w:rPr>
                <w:b w:val="false"/>
                <w:bCs w:val="false"/>
                <w:color w:val="000000"/>
                <w:sz w:val="20"/>
                <w:szCs w:val="20"/>
              </w:rPr>
              <w:t xml:space="preserve">Domain</w:t>
            </w:r>
          </w:p>
        </w:tc>
        <w:tc>
          <w:tcPr>
            <w:tcW w:type="dxa" w:w="6800"/>
          </w:tcPr>
          <w:p>
            <w:r>
              <w:rPr>
                <w:b w:val="false"/>
                <w:bCs w:val="false"/>
                <w:color w:val="000000"/>
                <w:sz w:val="20"/>
                <w:szCs w:val="20"/>
              </w:rPr>
              <w:t xml:space="preserve">Insurance &amp; Lending / Credit Risk</w:t>
            </w:r>
          </w:p>
        </w:tc>
      </w:tr>
      <w:tr>
        <w:tc>
          <w:tcPr>
            <w:tcW w:type="dxa" w:w="3000"/>
          </w:tcPr>
          <w:p>
            <w:r>
              <w:rPr>
                <w:b w:val="false"/>
                <w:bCs w:val="false"/>
                <w:color w:val="000000"/>
                <w:sz w:val="20"/>
                <w:szCs w:val="20"/>
              </w:rPr>
              <w:t xml:space="preserve">Target Audience</w:t>
            </w:r>
          </w:p>
        </w:tc>
        <w:tc>
          <w:tcPr>
            <w:tcW w:type="dxa" w:w="6800"/>
          </w:tcPr>
          <w:p>
            <w:r>
              <w:rPr>
                <w:b w:val="false"/>
                <w:bCs w:val="false"/>
                <w:color w:val="000000"/>
                <w:sz w:val="20"/>
                <w:szCs w:val="20"/>
              </w:rPr>
              <w:t xml:space="preserve">GitHub portfolio, CV showcase, technical interview walkthrough</w:t>
            </w:r>
          </w:p>
        </w:tc>
      </w:tr>
      <w:tr>
        <w:tc>
          <w:tcPr>
            <w:tcW w:type="dxa" w:w="3000"/>
          </w:tcPr>
          <w:p>
            <w:r>
              <w:rPr>
                <w:b w:val="false"/>
                <w:bCs w:val="false"/>
                <w:color w:val="000000"/>
                <w:sz w:val="20"/>
                <w:szCs w:val="20"/>
              </w:rPr>
              <w:t xml:space="preserve">Primary Tools</w:t>
            </w:r>
          </w:p>
        </w:tc>
        <w:tc>
          <w:tcPr>
            <w:tcW w:type="dxa" w:w="6800"/>
          </w:tcPr>
          <w:p>
            <w:r>
              <w:rPr>
                <w:b w:val="false"/>
                <w:bCs w:val="false"/>
                <w:color w:val="000000"/>
                <w:sz w:val="20"/>
                <w:szCs w:val="20"/>
              </w:rPr>
              <w:t xml:space="preserve">Python (Pandas, NumPy, scikit-learn), SQL (SQLite), Power BI / Plotly / Streamlit</w:t>
            </w:r>
          </w:p>
        </w:tc>
      </w:tr>
      <w:tr>
        <w:tc>
          <w:tcPr>
            <w:tcW w:type="dxa" w:w="3000"/>
          </w:tcPr>
          <w:p>
            <w:r>
              <w:rPr>
                <w:b w:val="false"/>
                <w:bCs w:val="false"/>
                <w:color w:val="000000"/>
                <w:sz w:val="20"/>
                <w:szCs w:val="20"/>
              </w:rPr>
              <w:t xml:space="preserve">Estimated Effort</w:t>
            </w:r>
          </w:p>
        </w:tc>
        <w:tc>
          <w:tcPr>
            <w:tcW w:type="dxa" w:w="6800"/>
          </w:tcPr>
          <w:p>
            <w:r>
              <w:rPr>
                <w:b w:val="false"/>
                <w:bCs w:val="false"/>
                <w:color w:val="000000"/>
                <w:sz w:val="20"/>
                <w:szCs w:val="20"/>
              </w:rPr>
              <w:t xml:space="preserve">1–2 weeks (data engineering, SQL, dashboarding, modeling)</w:t>
            </w:r>
          </w:p>
        </w:tc>
      </w:tr>
    </w:tbl>
    <w:p>
      <w:pPr>
        <w:pStyle w:val="Heading1"/>
        <w:spacing w:after="150" w:before="300"/>
      </w:pPr>
      <w:r>
        <w:t xml:space="preserve">1. Objective</w:t>
      </w:r>
    </w:p>
    <w:p>
      <w:pPr>
        <w:spacing w:after="120"/>
      </w:pPr>
      <w:r>
        <w:t xml:space="preserve">To perform end-to-end data engineering, risk segmentation, and KPI storytelling across interconnected customer, financial, and insurance claims datasets, delivering a risk-profiling and reporting solution that streamlines credit evaluations, claim status tracking, and default risk management.</w:t>
      </w:r>
    </w:p>
    <w:p>
      <w:pPr>
        <w:pStyle w:val="Heading1"/>
        <w:spacing w:after="150" w:before="300"/>
      </w:pPr>
      <w:r>
        <w:t xml:space="preserve">2. Background &amp; Business Context</w:t>
      </w:r>
    </w:p>
    <w:p>
      <w:pPr>
        <w:spacing w:after="120"/>
      </w:pPr>
      <w:r>
        <w:t xml:space="preserve">Lenders and insurers routinely need a unified view of a customer that spans their demographic profile, their financial position, and their claims history in order to price risk accurately, evaluate credit applications, and manage default exposure. In practice, this data arrives from separate systems (a CRM, a loan origination platform, and a claims management system), each with its own data-quality issues. This project simulates that scenario end to end: three separately-sourced, imperfect datasets are cleaned, merged, and turned into a decision-ready risk profile per customer.</w:t>
      </w:r>
    </w:p>
    <w:p>
      <w:pPr>
        <w:pStyle w:val="Heading1"/>
        <w:spacing w:after="150" w:before="300"/>
      </w:pPr>
      <w:r>
        <w:t xml:space="preserve">3. Datasets</w:t>
      </w:r>
    </w:p>
    <w:p>
      <w:pPr>
        <w:spacing w:after="120"/>
      </w:pPr>
      <w:r>
        <w:t xml:space="preserve">Three interconnected CSV extracts, joined on customer_id, totalling 56,000+ records: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700"/>
      </w:tblGrid>
      <w:tr>
        <w:tc>
          <w:tcPr>
            <w:tcW w:type="dxa" w:w="2600"/>
            <w:shd w:fill="1F4E5F" w:val="clear"/>
          </w:tcPr>
          <w:p>
            <w:r>
              <w:rPr>
                <w:b/>
                <w:bCs/>
                <w:color w:val="FFFFFF"/>
                <w:sz w:val="20"/>
                <w:szCs w:val="20"/>
              </w:rPr>
              <w:t xml:space="preserve">Dataset</w:t>
            </w:r>
          </w:p>
        </w:tc>
        <w:tc>
          <w:tcPr>
            <w:tcW w:type="dxa" w:w="1500"/>
            <w:shd w:fill="1F4E5F" w:val="clear"/>
          </w:tcPr>
          <w:p>
            <w:r>
              <w:rPr>
                <w:b/>
                <w:bCs/>
                <w:color w:val="FFFFFF"/>
                <w:sz w:val="20"/>
                <w:szCs w:val="20"/>
              </w:rPr>
              <w:t xml:space="preserve">Records</w:t>
            </w:r>
          </w:p>
        </w:tc>
        <w:tc>
          <w:tcPr>
            <w:tcW w:type="dxa" w:w="5700"/>
            <w:shd w:fill="1F4E5F" w:val="clear"/>
          </w:tcPr>
          <w:p>
            <w:r>
              <w:rPr>
                <w:b/>
                <w:bCs/>
                <w:color w:val="FFFFFF"/>
                <w:sz w:val="20"/>
                <w:szCs w:val="20"/>
              </w:rPr>
              <w:t xml:space="preserve">Key Fields</w:t>
            </w:r>
          </w:p>
        </w:tc>
      </w:tr>
      <w:tr>
        <w:tc>
          <w:tcPr>
            <w:tcW w:type="dxa" w:w="2600"/>
          </w:tcPr>
          <w:p>
            <w:r>
              <w:rPr>
                <w:b w:val="false"/>
                <w:bCs w:val="false"/>
                <w:color w:val="000000"/>
                <w:sz w:val="20"/>
                <w:szCs w:val="20"/>
              </w:rPr>
              <w:t xml:space="preserve">customers_raw.csv</w:t>
            </w:r>
          </w:p>
        </w:tc>
        <w:tc>
          <w:tcPr>
            <w:tcW w:type="dxa" w:w="1500"/>
          </w:tcPr>
          <w:p>
            <w:r>
              <w:rPr>
                <w:b w:val="false"/>
                <w:bCs w:val="false"/>
                <w:color w:val="000000"/>
                <w:sz w:val="20"/>
                <w:szCs w:val="20"/>
              </w:rPr>
              <w:t xml:space="preserve">20,808</w:t>
            </w:r>
          </w:p>
        </w:tc>
        <w:tc>
          <w:tcPr>
            <w:tcW w:type="dxa" w:w="5700"/>
          </w:tcPr>
          <w:p>
            <w:r>
              <w:rPr>
                <w:b w:val="false"/>
                <w:bCs w:val="false"/>
                <w:color w:val="000000"/>
                <w:sz w:val="20"/>
                <w:szCs w:val="20"/>
              </w:rPr>
              <w:t xml:space="preserve">customer_id, age, gender, region, employment_type, education_level, marital_status, credit_score, signup_date</w:t>
            </w:r>
          </w:p>
        </w:tc>
      </w:tr>
      <w:tr>
        <w:tc>
          <w:tcPr>
            <w:tcW w:type="dxa" w:w="2600"/>
          </w:tcPr>
          <w:p>
            <w:r>
              <w:rPr>
                <w:b w:val="false"/>
                <w:bCs w:val="false"/>
                <w:color w:val="000000"/>
                <w:sz w:val="20"/>
                <w:szCs w:val="20"/>
              </w:rPr>
              <w:t xml:space="preserve">financials_raw.csv</w:t>
            </w:r>
          </w:p>
        </w:tc>
        <w:tc>
          <w:tcPr>
            <w:tcW w:type="dxa" w:w="1500"/>
          </w:tcPr>
          <w:p>
            <w:r>
              <w:rPr>
                <w:b w:val="false"/>
                <w:bCs w:val="false"/>
                <w:color w:val="000000"/>
                <w:sz w:val="20"/>
                <w:szCs w:val="20"/>
              </w:rPr>
              <w:t xml:space="preserve">20,500</w:t>
            </w:r>
          </w:p>
        </w:tc>
        <w:tc>
          <w:tcPr>
            <w:tcW w:type="dxa" w:w="5700"/>
          </w:tcPr>
          <w:p>
            <w:r>
              <w:rPr>
                <w:b w:val="false"/>
                <w:bCs w:val="false"/>
                <w:color w:val="000000"/>
                <w:sz w:val="20"/>
                <w:szCs w:val="20"/>
              </w:rPr>
              <w:t xml:space="preserve">customer_id, annual_income, monthly_debt_payment, loan_amount, loan_term_months, existing_loans_count, account_open_date</w:t>
            </w:r>
          </w:p>
        </w:tc>
      </w:tr>
      <w:tr>
        <w:tc>
          <w:tcPr>
            <w:tcW w:type="dxa" w:w="2600"/>
          </w:tcPr>
          <w:p>
            <w:r>
              <w:rPr>
                <w:b w:val="false"/>
                <w:bCs w:val="false"/>
                <w:color w:val="000000"/>
                <w:sz w:val="20"/>
                <w:szCs w:val="20"/>
              </w:rPr>
              <w:t xml:space="preserve">claims_raw.csv</w:t>
            </w:r>
          </w:p>
        </w:tc>
        <w:tc>
          <w:tcPr>
            <w:tcW w:type="dxa" w:w="1500"/>
          </w:tcPr>
          <w:p>
            <w:r>
              <w:rPr>
                <w:b w:val="false"/>
                <w:bCs w:val="false"/>
                <w:color w:val="000000"/>
                <w:sz w:val="20"/>
                <w:szCs w:val="20"/>
              </w:rPr>
              <w:t xml:space="preserve">14,956</w:t>
            </w:r>
          </w:p>
        </w:tc>
        <w:tc>
          <w:tcPr>
            <w:tcW w:type="dxa" w:w="5700"/>
          </w:tcPr>
          <w:p>
            <w:r>
              <w:rPr>
                <w:b w:val="false"/>
                <w:bCs w:val="false"/>
                <w:color w:val="000000"/>
                <w:sz w:val="20"/>
                <w:szCs w:val="20"/>
              </w:rPr>
              <w:t xml:space="preserve">claim_id, customer_id, claim_date, claim_type, claim_amount, claim_status</w:t>
            </w:r>
          </w:p>
        </w:tc>
      </w:tr>
    </w:tbl>
    <w:p>
      <w:pPr>
        <w:spacing w:after="150"/>
      </w:pPr>
    </w:p>
    <w:p>
      <w:pPr>
        <w:spacing w:after="120"/>
      </w:pPr>
      <w:r>
        <w:rPr>
          <w:b/>
          <w:bCs/>
        </w:rPr>
        <w:t xml:space="preserve">Datasets are intentionally seeded with realistic data-quality issues for the cleaning phase to resolve:</w:t>
      </w:r>
    </w:p>
    <w:p>
      <w:pPr>
        <w:pStyle w:val="ListParagraph"/>
        <w:numPr>
          <w:ilvl w:val="0"/>
          <w:numId w:val="2"/>
        </w:numPr>
        <w:spacing w:after="60"/>
      </w:pPr>
      <w:r>
        <w:t xml:space="preserve">Negative or impossible values (incomes, claim amounts)</w:t>
      </w:r>
    </w:p>
    <w:p>
      <w:pPr>
        <w:pStyle w:val="ListParagraph"/>
        <w:numPr>
          <w:ilvl w:val="0"/>
          <w:numId w:val="2"/>
        </w:numPr>
        <w:spacing w:after="60"/>
      </w:pPr>
      <w:r>
        <w:t xml:space="preserve">Out-of-range or missing credit scores (negative, &gt; 850, 0, null)</w:t>
      </w:r>
    </w:p>
    <w:p>
      <w:pPr>
        <w:pStyle w:val="ListParagraph"/>
        <w:numPr>
          <w:ilvl w:val="0"/>
          <w:numId w:val="2"/>
        </w:numPr>
        <w:spacing w:after="60"/>
      </w:pPr>
      <w:r>
        <w:t xml:space="preserve">Inconsistent categorical formatting (e.g. "Male" / "male" / "M")</w:t>
      </w:r>
    </w:p>
    <w:p>
      <w:pPr>
        <w:pStyle w:val="ListParagraph"/>
        <w:numPr>
          <w:ilvl w:val="0"/>
          <w:numId w:val="2"/>
        </w:numPr>
        <w:spacing w:after="60"/>
      </w:pPr>
      <w:r>
        <w:t xml:space="preserve">Mixed date formats across records</w:t>
      </w:r>
    </w:p>
    <w:p>
      <w:pPr>
        <w:pStyle w:val="ListParagraph"/>
        <w:numPr>
          <w:ilvl w:val="0"/>
          <w:numId w:val="2"/>
        </w:numPr>
        <w:spacing w:after="60"/>
      </w:pPr>
      <w:r>
        <w:t xml:space="preserve">Duplicate customer and claim rows</w:t>
      </w:r>
    </w:p>
    <w:p>
      <w:pPr>
        <w:pStyle w:val="ListParagraph"/>
        <w:numPr>
          <w:ilvl w:val="0"/>
          <w:numId w:val="2"/>
        </w:numPr>
        <w:spacing w:after="60"/>
      </w:pPr>
      <w:r>
        <w:t xml:space="preserve">Scattered missing values across multiple columns</w:t>
      </w:r>
    </w:p>
    <w:p>
      <w:pPr>
        <w:pStyle w:val="Heading1"/>
        <w:spacing w:after="150" w:before="300"/>
      </w:pPr>
      <w:r>
        <w:t xml:space="preserve">4. Scope of Work</w:t>
      </w:r>
    </w:p>
    <w:p>
      <w:pPr>
        <w:pStyle w:val="Heading2"/>
        <w:spacing w:after="120" w:before="240"/>
      </w:pPr>
      <w:r>
        <w:t xml:space="preserve">4.1 Data Engineering &amp; Cleaning (Python)</w:t>
      </w:r>
    </w:p>
    <w:p>
      <w:pPr>
        <w:pStyle w:val="ListParagraph"/>
        <w:numPr>
          <w:ilvl w:val="0"/>
          <w:numId w:val="2"/>
        </w:numPr>
        <w:spacing w:after="60"/>
      </w:pPr>
      <w:r>
        <w:t xml:space="preserve">Load and profile all three raw datasets; document data-quality issues found</w:t>
      </w:r>
    </w:p>
    <w:p>
      <w:pPr>
        <w:pStyle w:val="ListParagraph"/>
        <w:numPr>
          <w:ilvl w:val="0"/>
          <w:numId w:val="2"/>
        </w:numPr>
        <w:spacing w:after="60"/>
      </w:pPr>
      <w:r>
        <w:t xml:space="preserve">Resolve negative/invalid incomes, claim amounts, and credit scores</w:t>
      </w:r>
    </w:p>
    <w:p>
      <w:pPr>
        <w:pStyle w:val="ListParagraph"/>
        <w:numPr>
          <w:ilvl w:val="0"/>
          <w:numId w:val="2"/>
        </w:numPr>
        <w:spacing w:after="60"/>
      </w:pPr>
      <w:r>
        <w:t xml:space="preserve">Standardise categorical labels and parse mixed date formats</w:t>
      </w:r>
    </w:p>
    <w:p>
      <w:pPr>
        <w:pStyle w:val="ListParagraph"/>
        <w:numPr>
          <w:ilvl w:val="0"/>
          <w:numId w:val="2"/>
        </w:numPr>
        <w:spacing w:after="60"/>
      </w:pPr>
      <w:r>
        <w:t xml:space="preserve">Remove duplicate records without silently dropping valid customers</w:t>
      </w:r>
    </w:p>
    <w:p>
      <w:pPr>
        <w:pStyle w:val="ListParagraph"/>
        <w:numPr>
          <w:ilvl w:val="0"/>
          <w:numId w:val="2"/>
        </w:numPr>
        <w:spacing w:after="60"/>
      </w:pPr>
      <w:r>
        <w:t xml:space="preserve">Merge datasets into a single customer-level analytical table</w:t>
      </w:r>
    </w:p>
    <w:p>
      <w:pPr>
        <w:pStyle w:val="Heading2"/>
        <w:spacing w:after="120" w:before="240"/>
      </w:pPr>
      <w:r>
        <w:t xml:space="preserve">4.2 Feature Engineering</w:t>
      </w:r>
    </w:p>
    <w:p>
      <w:pPr>
        <w:pStyle w:val="ListParagraph"/>
        <w:numPr>
          <w:ilvl w:val="0"/>
          <w:numId w:val="2"/>
        </w:numPr>
        <w:spacing w:after="60"/>
      </w:pPr>
      <w:r>
        <w:t xml:space="preserve">debt_to_income ratio from income and debt payment fields</w:t>
      </w:r>
    </w:p>
    <w:p>
      <w:pPr>
        <w:pStyle w:val="ListParagraph"/>
        <w:numPr>
          <w:ilvl w:val="0"/>
          <w:numId w:val="2"/>
        </w:numPr>
        <w:spacing w:after="60"/>
      </w:pPr>
      <w:r>
        <w:t xml:space="preserve">Per-customer claim aggregates: claim_count, total/average claim amount, approved/rejected counts</w:t>
      </w:r>
    </w:p>
    <w:p>
      <w:pPr>
        <w:pStyle w:val="ListParagraph"/>
        <w:numPr>
          <w:ilvl w:val="0"/>
          <w:numId w:val="2"/>
        </w:numPr>
        <w:spacing w:after="60"/>
      </w:pPr>
      <w:r>
        <w:t xml:space="preserve">A weighted composite risk_score (0–100) from credit score, debt-to-income, claims history, and employment type</w:t>
      </w:r>
    </w:p>
    <w:p>
      <w:pPr>
        <w:pStyle w:val="ListParagraph"/>
        <w:numPr>
          <w:ilvl w:val="0"/>
          <w:numId w:val="2"/>
        </w:numPr>
        <w:spacing w:after="60"/>
      </w:pPr>
      <w:r>
        <w:t xml:space="preserve">A percentile-based risk_category (Low / Medium / High)</w:t>
      </w:r>
    </w:p>
    <w:p>
      <w:pPr>
        <w:pStyle w:val="ListParagraph"/>
        <w:numPr>
          <w:ilvl w:val="0"/>
          <w:numId w:val="2"/>
        </w:numPr>
        <w:spacing w:after="60"/>
      </w:pPr>
      <w:r>
        <w:t xml:space="preserve">A default_flag target label for the predictive modeling phase</w:t>
      </w:r>
    </w:p>
    <w:p>
      <w:pPr>
        <w:pStyle w:val="Heading2"/>
        <w:spacing w:after="120" w:before="240"/>
      </w:pPr>
      <w:r>
        <w:t xml:space="preserve">4.3 SQL Analysis</w:t>
      </w:r>
    </w:p>
    <w:p>
      <w:pPr>
        <w:spacing w:after="120"/>
      </w:pPr>
      <w:r>
        <w:t xml:space="preserve">Load the cleaned dataset into a queryable SQL database and answer:</w:t>
      </w:r>
    </w:p>
    <w:p>
      <w:pPr>
        <w:pStyle w:val="ListParagraph"/>
        <w:numPr>
          <w:ilvl w:val="0"/>
          <w:numId w:val="2"/>
        </w:numPr>
        <w:spacing w:after="60"/>
      </w:pPr>
      <w:r>
        <w:t xml:space="preserve">Regional risk segmentation — customer volume and risk mix by region</w:t>
      </w:r>
    </w:p>
    <w:p>
      <w:pPr>
        <w:pStyle w:val="ListParagraph"/>
        <w:numPr>
          <w:ilvl w:val="0"/>
          <w:numId w:val="2"/>
        </w:numPr>
        <w:spacing w:after="60"/>
      </w:pPr>
      <w:r>
        <w:t xml:space="preserve">Claim status outcomes (approved / rejected / pending) for high-risk customer profiles</w:t>
      </w:r>
    </w:p>
    <w:p>
      <w:pPr>
        <w:pStyle w:val="ListParagraph"/>
        <w:numPr>
          <w:ilvl w:val="0"/>
          <w:numId w:val="2"/>
        </w:numPr>
        <w:spacing w:after="60"/>
      </w:pPr>
      <w:r>
        <w:t xml:space="preserve">Default rates across employment types</w:t>
      </w:r>
    </w:p>
    <w:p>
      <w:pPr>
        <w:pStyle w:val="Heading2"/>
        <w:spacing w:after="120" w:before="240"/>
      </w:pPr>
      <w:r>
        <w:t xml:space="preserve">4.4 Visualization &amp; Dashboarding</w:t>
      </w:r>
    </w:p>
    <w:p>
      <w:pPr>
        <w:pStyle w:val="ListParagraph"/>
        <w:numPr>
          <w:ilvl w:val="0"/>
          <w:numId w:val="2"/>
        </w:numPr>
        <w:spacing w:after="60"/>
      </w:pPr>
      <w:r>
        <w:t xml:space="preserve">Regional risk heatmap</w:t>
      </w:r>
    </w:p>
    <w:p>
      <w:pPr>
        <w:pStyle w:val="ListParagraph"/>
        <w:numPr>
          <w:ilvl w:val="0"/>
          <w:numId w:val="2"/>
        </w:numPr>
        <w:spacing w:after="60"/>
      </w:pPr>
      <w:r>
        <w:t xml:space="preserve">Claim-type time-series chart</w:t>
      </w:r>
    </w:p>
    <w:p>
      <w:pPr>
        <w:pStyle w:val="ListParagraph"/>
        <w:numPr>
          <w:ilvl w:val="0"/>
          <w:numId w:val="2"/>
        </w:numPr>
        <w:spacing w:after="60"/>
      </w:pPr>
      <w:r>
        <w:t xml:space="preserve">Core risk KPI tracker (customer risk mix, default rate by tier, average debt-to-income)</w:t>
      </w:r>
    </w:p>
    <w:p>
      <w:pPr>
        <w:pStyle w:val="ListParagraph"/>
        <w:numPr>
          <w:ilvl w:val="0"/>
          <w:numId w:val="2"/>
        </w:numPr>
        <w:spacing w:after="60"/>
      </w:pPr>
      <w:r>
        <w:t xml:space="preserve">An interactive filterable dashboard (Streamlit + Plotly) reproducing the above</w:t>
      </w:r>
    </w:p>
    <w:p>
      <w:pPr>
        <w:pStyle w:val="Heading2"/>
        <w:spacing w:after="120" w:before="240"/>
      </w:pPr>
      <w:r>
        <w:t xml:space="preserve">4.5 Predictive Modeling</w:t>
      </w:r>
    </w:p>
    <w:p>
      <w:pPr>
        <w:pStyle w:val="ListParagraph"/>
        <w:numPr>
          <w:ilvl w:val="0"/>
          <w:numId w:val="2"/>
        </w:numPr>
        <w:spacing w:after="60"/>
      </w:pPr>
      <w:r>
        <w:t xml:space="preserve">Train a baseline Logistic Regression and a Random Forest classifier to predict default_flag</w:t>
      </w:r>
    </w:p>
    <w:p>
      <w:pPr>
        <w:pStyle w:val="ListParagraph"/>
        <w:numPr>
          <w:ilvl w:val="0"/>
          <w:numId w:val="2"/>
        </w:numPr>
        <w:spacing w:after="60"/>
      </w:pPr>
      <w:r>
        <w:t xml:space="preserve">Address class imbalance (≈16% default rate) appropriately</w:t>
      </w:r>
    </w:p>
    <w:p>
      <w:pPr>
        <w:pStyle w:val="ListParagraph"/>
        <w:numPr>
          <w:ilvl w:val="0"/>
          <w:numId w:val="2"/>
        </w:numPr>
        <w:spacing w:after="60"/>
      </w:pPr>
      <w:r>
        <w:t xml:space="preserve">Evaluate with accuracy, precision, recall, F1, and ROC-AUC</w:t>
      </w:r>
    </w:p>
    <w:p>
      <w:pPr>
        <w:pStyle w:val="ListParagraph"/>
        <w:numPr>
          <w:ilvl w:val="0"/>
          <w:numId w:val="2"/>
        </w:numPr>
        <w:spacing w:after="60"/>
      </w:pPr>
      <w:r>
        <w:t xml:space="preserve">Report feature importance to validate the model against domain expectations</w:t>
      </w:r>
    </w:p>
    <w:p>
      <w:pPr>
        <w:pStyle w:val="Heading1"/>
        <w:spacing w:after="150" w:before="300"/>
      </w:pPr>
      <w:r>
        <w:t xml:space="preserve">5. Deliverables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c>
          <w:tcPr>
            <w:tcW w:type="dxa" w:w="4200"/>
            <w:shd w:fill="1F4E5F" w:val="clear"/>
          </w:tcPr>
          <w:p>
            <w:r>
              <w:rPr>
                <w:b/>
                <w:bCs/>
                <w:color w:val="FFFFFF"/>
                <w:sz w:val="20"/>
                <w:szCs w:val="20"/>
              </w:rPr>
              <w:t xml:space="preserve">Deliverable</w:t>
            </w:r>
          </w:p>
        </w:tc>
        <w:tc>
          <w:tcPr>
            <w:tcW w:type="dxa" w:w="5600"/>
            <w:shd w:fill="1F4E5F" w:val="clear"/>
          </w:tcPr>
          <w:p>
            <w:r>
              <w:rPr>
                <w:b/>
                <w:bCs/>
                <w:color w:val="FFFFFF"/>
                <w:sz w:val="20"/>
                <w:szCs w:val="20"/>
              </w:rPr>
              <w:t xml:space="preserve">Format</w:t>
            </w:r>
          </w:p>
        </w:tc>
      </w:tr>
      <w:tr>
        <w:tc>
          <w:tcPr>
            <w:tcW w:type="dxa" w:w="4200"/>
          </w:tcPr>
          <w:p>
            <w:r>
              <w:rPr>
                <w:b w:val="false"/>
                <w:bCs w:val="false"/>
                <w:color w:val="000000"/>
                <w:sz w:val="20"/>
                <w:szCs w:val="20"/>
              </w:rPr>
              <w:t xml:space="preserve">Raw datasets</w:t>
            </w:r>
          </w:p>
        </w:tc>
        <w:tc>
          <w:tcPr>
            <w:tcW w:type="dxa" w:w="5600"/>
          </w:tcPr>
          <w:p>
            <w:r>
              <w:rPr>
                <w:b w:val="false"/>
                <w:bCs w:val="false"/>
                <w:color w:val="000000"/>
                <w:sz w:val="20"/>
                <w:szCs w:val="20"/>
              </w:rPr>
              <w:t xml:space="preserve">CSV (data/raw/)</w:t>
            </w:r>
          </w:p>
        </w:tc>
      </w:tr>
      <w:tr>
        <w:tc>
          <w:tcPr>
            <w:tcW w:type="dxa" w:w="4200"/>
          </w:tcPr>
          <w:p>
            <w:r>
              <w:rPr>
                <w:b w:val="false"/>
                <w:bCs w:val="false"/>
                <w:color w:val="000000"/>
                <w:sz w:val="20"/>
                <w:szCs w:val="20"/>
              </w:rPr>
              <w:t xml:space="preserve">Cleaned, merged analytical dataset</w:t>
            </w:r>
          </w:p>
        </w:tc>
        <w:tc>
          <w:tcPr>
            <w:tcW w:type="dxa" w:w="5600"/>
          </w:tcPr>
          <w:p>
            <w:r>
              <w:rPr>
                <w:b w:val="false"/>
                <w:bCs w:val="false"/>
                <w:color w:val="000000"/>
                <w:sz w:val="20"/>
                <w:szCs w:val="20"/>
              </w:rPr>
              <w:t xml:space="preserve">CSV (data/processed/)</w:t>
            </w:r>
          </w:p>
        </w:tc>
      </w:tr>
      <w:tr>
        <w:tc>
          <w:tcPr>
            <w:tcW w:type="dxa" w:w="4200"/>
          </w:tcPr>
          <w:p>
            <w:r>
              <w:rPr>
                <w:b w:val="false"/>
                <w:bCs w:val="false"/>
                <w:color w:val="000000"/>
                <w:sz w:val="20"/>
                <w:szCs w:val="20"/>
              </w:rPr>
              <w:t xml:space="preserve">SQL analysis queries + results</w:t>
            </w:r>
          </w:p>
        </w:tc>
        <w:tc>
          <w:tcPr>
            <w:tcW w:type="dxa" w:w="5600"/>
          </w:tcPr>
          <w:p>
            <w:r>
              <w:rPr>
                <w:b w:val="false"/>
                <w:bCs w:val="false"/>
                <w:color w:val="000000"/>
                <w:sz w:val="20"/>
                <w:szCs w:val="20"/>
              </w:rPr>
              <w:t xml:space="preserve">.sql + CSV (sql/, outputs/sql_query_results/)</w:t>
            </w:r>
          </w:p>
        </w:tc>
      </w:tr>
      <w:tr>
        <w:tc>
          <w:tcPr>
            <w:tcW w:type="dxa" w:w="4200"/>
          </w:tcPr>
          <w:p>
            <w:r>
              <w:rPr>
                <w:b w:val="false"/>
                <w:bCs w:val="false"/>
                <w:color w:val="000000"/>
                <w:sz w:val="20"/>
                <w:szCs w:val="20"/>
              </w:rPr>
              <w:t xml:space="preserve">Static charts</w:t>
            </w:r>
          </w:p>
        </w:tc>
        <w:tc>
          <w:tcPr>
            <w:tcW w:type="dxa" w:w="5600"/>
          </w:tcPr>
          <w:p>
            <w:r>
              <w:rPr>
                <w:b w:val="false"/>
                <w:bCs w:val="false"/>
                <w:color w:val="000000"/>
                <w:sz w:val="20"/>
                <w:szCs w:val="20"/>
              </w:rPr>
              <w:t xml:space="preserve">PNG (outputs/charts/)</w:t>
            </w:r>
          </w:p>
        </w:tc>
      </w:tr>
      <w:tr>
        <w:tc>
          <w:tcPr>
            <w:tcW w:type="dxa" w:w="4200"/>
          </w:tcPr>
          <w:p>
            <w:r>
              <w:rPr>
                <w:b w:val="false"/>
                <w:bCs w:val="false"/>
                <w:color w:val="000000"/>
                <w:sz w:val="20"/>
                <w:szCs w:val="20"/>
              </w:rPr>
              <w:t xml:space="preserve">Interactive dashboard</w:t>
            </w:r>
          </w:p>
        </w:tc>
        <w:tc>
          <w:tcPr>
            <w:tcW w:type="dxa" w:w="5600"/>
          </w:tcPr>
          <w:p>
            <w:r>
              <w:rPr>
                <w:b w:val="false"/>
                <w:bCs w:val="false"/>
                <w:color w:val="000000"/>
                <w:sz w:val="20"/>
                <w:szCs w:val="20"/>
              </w:rPr>
              <w:t xml:space="preserve">Streamlit app (dashboard/app.py)</w:t>
            </w:r>
          </w:p>
        </w:tc>
      </w:tr>
      <w:tr>
        <w:tc>
          <w:tcPr>
            <w:tcW w:type="dxa" w:w="4200"/>
          </w:tcPr>
          <w:p>
            <w:r>
              <w:rPr>
                <w:b w:val="false"/>
                <w:bCs w:val="false"/>
                <w:color w:val="000000"/>
                <w:sz w:val="20"/>
                <w:szCs w:val="20"/>
              </w:rPr>
              <w:t xml:space="preserve">Predictive model + metrics</w:t>
            </w:r>
          </w:p>
        </w:tc>
        <w:tc>
          <w:tcPr>
            <w:tcW w:type="dxa" w:w="5600"/>
          </w:tcPr>
          <w:p>
            <w:r>
              <w:rPr>
                <w:b w:val="false"/>
                <w:bCs w:val="false"/>
                <w:color w:val="000000"/>
                <w:sz w:val="20"/>
                <w:szCs w:val="20"/>
              </w:rPr>
              <w:t xml:space="preserve">Python script + CSV (scripts/, outputs/model_metrics.csv)</w:t>
            </w:r>
          </w:p>
        </w:tc>
      </w:tr>
      <w:tr>
        <w:tc>
          <w:tcPr>
            <w:tcW w:type="dxa" w:w="4200"/>
          </w:tcPr>
          <w:p>
            <w:r>
              <w:rPr>
                <w:b w:val="false"/>
                <w:bCs w:val="false"/>
                <w:color w:val="000000"/>
                <w:sz w:val="20"/>
                <w:szCs w:val="20"/>
              </w:rPr>
              <w:t xml:space="preserve">Documentation</w:t>
            </w:r>
          </w:p>
        </w:tc>
        <w:tc>
          <w:tcPr>
            <w:tcW w:type="dxa" w:w="5600"/>
          </w:tcPr>
          <w:p>
            <w:r>
              <w:rPr>
                <w:b w:val="false"/>
                <w:bCs w:val="false"/>
                <w:color w:val="000000"/>
                <w:sz w:val="20"/>
                <w:szCs w:val="20"/>
              </w:rPr>
              <w:t xml:space="preserve">README.md + this requirements document</w:t>
            </w:r>
          </w:p>
        </w:tc>
      </w:tr>
    </w:tbl>
    <w:p>
      <w:pPr>
        <w:pStyle w:val="Heading1"/>
        <w:spacing w:after="150" w:before="300"/>
      </w:pPr>
      <w:r>
        <w:t xml:space="preserve">6. Success Criteria</w:t>
      </w:r>
    </w:p>
    <w:p>
      <w:pPr>
        <w:pStyle w:val="ListParagraph"/>
        <w:numPr>
          <w:ilvl w:val="0"/>
          <w:numId w:val="2"/>
        </w:numPr>
        <w:spacing w:after="60"/>
      </w:pPr>
      <w:r>
        <w:t xml:space="preserve">All data-quality anomalies identified and resolved with a documented, reproducible method</w:t>
      </w:r>
    </w:p>
    <w:p>
      <w:pPr>
        <w:pStyle w:val="ListParagraph"/>
        <w:numPr>
          <w:ilvl w:val="0"/>
          <w:numId w:val="2"/>
        </w:numPr>
        <w:spacing w:after="60"/>
      </w:pPr>
      <w:r>
        <w:t xml:space="preserve">Risk segmentation produces a materially different default rate across Low/Medium/High tiers</w:t>
      </w:r>
    </w:p>
    <w:p>
      <w:pPr>
        <w:pStyle w:val="ListParagraph"/>
        <w:numPr>
          <w:ilvl w:val="0"/>
          <w:numId w:val="2"/>
        </w:numPr>
        <w:spacing w:after="60"/>
      </w:pPr>
      <w:r>
        <w:t xml:space="preserve">SQL queries directly answer the three required business questions</w:t>
      </w:r>
    </w:p>
    <w:p>
      <w:pPr>
        <w:pStyle w:val="ListParagraph"/>
        <w:numPr>
          <w:ilvl w:val="0"/>
          <w:numId w:val="2"/>
        </w:numPr>
        <w:spacing w:after="60"/>
      </w:pPr>
      <w:r>
        <w:t xml:space="preserve">Dashboard is interactive, filterable, and loads without manual data wrangling</w:t>
      </w:r>
    </w:p>
    <w:p>
      <w:pPr>
        <w:pStyle w:val="ListParagraph"/>
        <w:numPr>
          <w:ilvl w:val="0"/>
          <w:numId w:val="2"/>
        </w:numPr>
        <w:spacing w:after="60"/>
      </w:pPr>
      <w:r>
        <w:t xml:space="preserve">Predictive model achieves ROC-AUC meaningfully above 0.5 (random baseline) and is explainable</w:t>
      </w:r>
    </w:p>
    <w:p>
      <w:pPr>
        <w:pStyle w:val="ListParagraph"/>
        <w:numPr>
          <w:ilvl w:val="0"/>
          <w:numId w:val="2"/>
        </w:numPr>
        <w:spacing w:after="60"/>
      </w:pPr>
      <w:r>
        <w:t xml:space="preserve">Full project is reproducible end-to-end from a clean checkout via requirements.txt</w:t>
      </w:r>
    </w:p>
    <w:p>
      <w:pPr>
        <w:pStyle w:val="Heading1"/>
        <w:spacing w:after="150" w:before="300"/>
      </w:pPr>
      <w:r>
        <w:t xml:space="preserve">7. Repository Structure</w:t>
      </w:r>
    </w:p>
    <w:p>
      <w:pPr>
        <w:spacing w:after="120"/>
      </w:pPr>
      <w:r>
        <w:rPr>
          <w:i/>
          <w:iCs/>
          <w:color w:val="555555"/>
        </w:rPr>
        <w:t xml:space="preserve">insurance-lending-risk-analysis/ — data/raw, data/processed, database/, sql/, scripts/, dashboard/, outputs/charts, outputs/sql_query_results, docs/, README.md, requirements.txt</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2026-09-11T12:59:23.159Z</dcterms:created>
  <dcterms:modified xsi:type="dcterms:W3CDTF">2026-09-11T12:59:23.171Z</dcterms:modified>
</cp:coreProperties>
</file>

<file path=docProps/custom.xml><?xml version="1.0" encoding="utf-8"?>
<Properties xmlns="http://schemas.openxmlformats.org/officeDocument/2006/custom-properties" xmlns:vt="http://schemas.openxmlformats.org/officeDocument/2006/docPropsVTypes"/>
</file>