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34ED" w14:textId="75A61348" w:rsidR="00924EC7" w:rsidRPr="00C67BF6" w:rsidRDefault="00924EC7" w:rsidP="00C67BF6">
      <w:pPr>
        <w:rPr>
          <w:rFonts w:asciiTheme="majorBidi" w:hAnsiTheme="majorBidi" w:cstheme="majorBidi"/>
          <w:b/>
          <w:bCs/>
          <w:lang w:val="de-DE"/>
        </w:rPr>
      </w:pPr>
      <w:r w:rsidRPr="00C67BF6">
        <w:rPr>
          <w:rFonts w:asciiTheme="majorBidi" w:hAnsiTheme="majorBidi" w:cstheme="majorBidi"/>
          <w:b/>
          <w:bCs/>
          <w:lang w:val="de-DE"/>
        </w:rPr>
        <w:t>Mohsen Zahedi</w:t>
      </w:r>
      <w:r w:rsidR="00021897" w:rsidRPr="00C67BF6">
        <w:rPr>
          <w:rFonts w:asciiTheme="majorBidi" w:hAnsiTheme="majorBidi" w:cstheme="majorBidi"/>
          <w:b/>
          <w:bCs/>
          <w:lang w:val="de-DE"/>
        </w:rPr>
        <w:tab/>
      </w:r>
      <w:r w:rsidR="008F28C8">
        <w:rPr>
          <w:rFonts w:asciiTheme="majorBidi" w:hAnsiTheme="majorBidi" w:cstheme="majorBidi"/>
          <w:b/>
          <w:bCs/>
          <w:lang w:val="de-DE"/>
        </w:rPr>
        <w:t xml:space="preserve">     </w:t>
      </w:r>
      <w:r w:rsidR="00C67BF6" w:rsidRPr="00C67BF6">
        <w:rPr>
          <w:rFonts w:asciiTheme="majorBidi" w:hAnsiTheme="majorBidi" w:cstheme="majorBidi"/>
          <w:b/>
          <w:bCs/>
          <w:lang w:val="de-DE"/>
        </w:rPr>
        <w:t xml:space="preserve">Matrikelnummer: </w:t>
      </w:r>
      <w:r w:rsidR="00C67BF6" w:rsidRPr="00C67BF6">
        <w:rPr>
          <w:rFonts w:asciiTheme="majorBidi" w:hAnsiTheme="majorBidi" w:cstheme="majorBidi"/>
          <w:lang w:val="de-DE"/>
        </w:rPr>
        <w:t>6841065</w:t>
      </w:r>
      <w:r w:rsidR="00C67BF6" w:rsidRPr="00C67BF6">
        <w:rPr>
          <w:rFonts w:asciiTheme="majorBidi" w:hAnsiTheme="majorBidi" w:cstheme="majorBidi"/>
          <w:b/>
          <w:bCs/>
          <w:lang w:val="de-DE"/>
        </w:rPr>
        <w:tab/>
      </w:r>
      <w:r w:rsidR="008F28C8">
        <w:rPr>
          <w:rFonts w:asciiTheme="majorBidi" w:hAnsiTheme="majorBidi" w:cstheme="majorBidi"/>
          <w:b/>
          <w:bCs/>
          <w:lang w:val="de-DE"/>
        </w:rPr>
        <w:t xml:space="preserve">              </w:t>
      </w:r>
      <w:r w:rsidR="00C67BF6" w:rsidRPr="00C67BF6">
        <w:rPr>
          <w:rFonts w:asciiTheme="majorBidi" w:hAnsiTheme="majorBidi" w:cstheme="majorBidi"/>
          <w:b/>
          <w:bCs/>
          <w:lang w:val="de-DE"/>
        </w:rPr>
        <w:t xml:space="preserve">Studiengang: </w:t>
      </w:r>
      <w:r w:rsidR="00C67BF6" w:rsidRPr="00C67BF6">
        <w:rPr>
          <w:rFonts w:asciiTheme="majorBidi" w:hAnsiTheme="majorBidi" w:cstheme="majorBidi"/>
          <w:lang w:val="de-DE"/>
        </w:rPr>
        <w:t>Wirtschaftsinformatik</w:t>
      </w:r>
    </w:p>
    <w:p w14:paraId="414AD0F8" w14:textId="39C5186F" w:rsidR="00F07E29" w:rsidRPr="007F6A76" w:rsidRDefault="00F07E29" w:rsidP="00B3408B">
      <w:pPr>
        <w:rPr>
          <w:rFonts w:asciiTheme="majorBidi" w:hAnsiTheme="majorBidi" w:cstheme="majorBidi"/>
          <w:b/>
          <w:bCs/>
        </w:rPr>
      </w:pPr>
      <w:r w:rsidRPr="00B3408B">
        <w:rPr>
          <w:rFonts w:asciiTheme="majorBidi" w:hAnsiTheme="majorBidi" w:cstheme="majorBidi"/>
          <w:b/>
          <w:bCs/>
        </w:rPr>
        <w:br/>
      </w:r>
      <w:r w:rsidR="00586811" w:rsidRPr="00B3408B">
        <w:rPr>
          <w:rFonts w:asciiTheme="majorBidi" w:hAnsiTheme="majorBidi" w:cstheme="majorBidi"/>
          <w:b/>
          <w:bCs/>
        </w:rPr>
        <w:t xml:space="preserve">1. </w:t>
      </w:r>
      <w:r w:rsidR="00586811" w:rsidRPr="007F6A76">
        <w:rPr>
          <w:rFonts w:asciiTheme="majorBidi" w:hAnsiTheme="majorBidi" w:cstheme="majorBidi"/>
          <w:b/>
          <w:bCs/>
        </w:rPr>
        <w:t>Context and Motivation</w:t>
      </w:r>
    </w:p>
    <w:p w14:paraId="29236251" w14:textId="77777777" w:rsidR="005D7843" w:rsidRDefault="004153A5" w:rsidP="0091479A">
      <w:pPr>
        <w:rPr>
          <w:rFonts w:asciiTheme="majorBidi" w:hAnsiTheme="majorBidi" w:cstheme="majorBidi"/>
        </w:rPr>
      </w:pPr>
      <w:r w:rsidRPr="00B64A41">
        <w:rPr>
          <w:rFonts w:asciiTheme="majorBidi" w:hAnsiTheme="majorBidi" w:cstheme="majorBidi"/>
        </w:rPr>
        <w:t>The Digital Services Act (DSA) establishes a harmonized framework for platform accountability, mandating that Very Large Online Platforms (VLOPs) submit detailed "Statements of Reasons" (SoRs) for every content moderation decision to the public</w:t>
      </w:r>
      <w:r w:rsidR="00BA444B" w:rsidRPr="00B64A41">
        <w:rPr>
          <w:rFonts w:asciiTheme="majorBidi" w:hAnsiTheme="majorBidi" w:cstheme="majorBidi"/>
        </w:rPr>
        <w:t xml:space="preserve"> Digital Service Act</w:t>
      </w:r>
      <w:r w:rsidRPr="00B64A41">
        <w:rPr>
          <w:rFonts w:asciiTheme="majorBidi" w:hAnsiTheme="majorBidi" w:cstheme="majorBidi"/>
        </w:rPr>
        <w:t xml:space="preserve"> </w:t>
      </w:r>
      <w:r w:rsidR="00BA444B" w:rsidRPr="00B64A41">
        <w:rPr>
          <w:rFonts w:asciiTheme="majorBidi" w:hAnsiTheme="majorBidi" w:cstheme="majorBidi"/>
        </w:rPr>
        <w:t>(</w:t>
      </w:r>
      <w:r w:rsidRPr="00B64A41">
        <w:rPr>
          <w:rFonts w:asciiTheme="majorBidi" w:hAnsiTheme="majorBidi" w:cstheme="majorBidi"/>
        </w:rPr>
        <w:t>DSA</w:t>
      </w:r>
      <w:r w:rsidR="00BA444B" w:rsidRPr="00B64A41">
        <w:rPr>
          <w:rFonts w:asciiTheme="majorBidi" w:hAnsiTheme="majorBidi" w:cstheme="majorBidi"/>
        </w:rPr>
        <w:t>)</w:t>
      </w:r>
      <w:r w:rsidRPr="00B64A41">
        <w:rPr>
          <w:rFonts w:asciiTheme="majorBidi" w:hAnsiTheme="majorBidi" w:cstheme="majorBidi"/>
        </w:rPr>
        <w:t xml:space="preserve"> Transparency Database. Early empirical studies have leveraged this unprecedented dataset to establish moderation baselines, revealing vast disparities in automated enforcement between platforms like TikTok and X</w:t>
      </w:r>
      <w:r w:rsidR="00BC5825" w:rsidRPr="00B64A41">
        <w:rPr>
          <w:rFonts w:asciiTheme="majorBidi" w:hAnsiTheme="majorBidi" w:cstheme="majorBidi"/>
        </w:rPr>
        <w:t xml:space="preserve"> (</w:t>
      </w:r>
      <w:proofErr w:type="spellStart"/>
      <w:r w:rsidR="00BC5825" w:rsidRPr="00B64A41">
        <w:rPr>
          <w:rFonts w:asciiTheme="majorBidi" w:hAnsiTheme="majorBidi" w:cstheme="majorBidi"/>
        </w:rPr>
        <w:t>Drolsbach</w:t>
      </w:r>
      <w:proofErr w:type="spellEnd"/>
      <w:r w:rsidR="00BC5825" w:rsidRPr="00B64A41">
        <w:rPr>
          <w:rFonts w:asciiTheme="majorBidi" w:hAnsiTheme="majorBidi" w:cstheme="majorBidi"/>
        </w:rPr>
        <w:t xml:space="preserve"> e</w:t>
      </w:r>
      <w:r w:rsidR="00087F70" w:rsidRPr="00B64A41">
        <w:rPr>
          <w:rFonts w:asciiTheme="majorBidi" w:hAnsiTheme="majorBidi" w:cstheme="majorBidi"/>
        </w:rPr>
        <w:t xml:space="preserve">t. </w:t>
      </w:r>
      <w:proofErr w:type="gramStart"/>
      <w:r w:rsidR="00087F70" w:rsidRPr="00B64A41">
        <w:rPr>
          <w:rFonts w:asciiTheme="majorBidi" w:hAnsiTheme="majorBidi" w:cstheme="majorBidi"/>
        </w:rPr>
        <w:t>al</w:t>
      </w:r>
      <w:proofErr w:type="gramEnd"/>
      <w:r w:rsidR="00087F70" w:rsidRPr="00B64A41">
        <w:rPr>
          <w:rFonts w:asciiTheme="majorBidi" w:hAnsiTheme="majorBidi" w:cstheme="majorBidi"/>
        </w:rPr>
        <w:t>., 2024)</w:t>
      </w:r>
      <w:r w:rsidRPr="00B64A41">
        <w:rPr>
          <w:rFonts w:asciiTheme="majorBidi" w:hAnsiTheme="majorBidi" w:cstheme="majorBidi"/>
        </w:rPr>
        <w:t>, while also exposing significant reporting inconsistencies and a lack of adaptive moderation strategies during the 2024 European Parliament elections</w:t>
      </w:r>
      <w:r w:rsidR="00AD6D1A" w:rsidRPr="00B64A41">
        <w:rPr>
          <w:rFonts w:asciiTheme="majorBidi" w:hAnsiTheme="majorBidi" w:cstheme="majorBidi"/>
        </w:rPr>
        <w:t xml:space="preserve"> (Shahi</w:t>
      </w:r>
      <w:r w:rsidR="00D33FA4" w:rsidRPr="00B64A41">
        <w:rPr>
          <w:rFonts w:asciiTheme="majorBidi" w:hAnsiTheme="majorBidi" w:cstheme="majorBidi"/>
        </w:rPr>
        <w:t xml:space="preserve"> et. </w:t>
      </w:r>
      <w:proofErr w:type="gramStart"/>
      <w:r w:rsidR="00D33FA4" w:rsidRPr="00B64A41">
        <w:rPr>
          <w:rFonts w:asciiTheme="majorBidi" w:hAnsiTheme="majorBidi" w:cstheme="majorBidi"/>
        </w:rPr>
        <w:t>al</w:t>
      </w:r>
      <w:proofErr w:type="gramEnd"/>
      <w:r w:rsidRPr="00B64A41">
        <w:rPr>
          <w:rFonts w:asciiTheme="majorBidi" w:hAnsiTheme="majorBidi" w:cstheme="majorBidi"/>
        </w:rPr>
        <w:t>.</w:t>
      </w:r>
      <w:r w:rsidR="00F76AD4" w:rsidRPr="00B64A41">
        <w:rPr>
          <w:rFonts w:asciiTheme="majorBidi" w:hAnsiTheme="majorBidi" w:cstheme="majorBidi"/>
        </w:rPr>
        <w:t>, 2025).</w:t>
      </w:r>
    </w:p>
    <w:p w14:paraId="2B5E8CF9" w14:textId="59ED9CC5" w:rsidR="00586811" w:rsidRPr="00B64A41" w:rsidRDefault="00435EF9" w:rsidP="0091479A">
      <w:pPr>
        <w:rPr>
          <w:rFonts w:asciiTheme="majorBidi" w:hAnsiTheme="majorBidi" w:cstheme="majorBidi"/>
          <w:b/>
          <w:bCs/>
        </w:rPr>
      </w:pPr>
      <w:r>
        <w:rPr>
          <w:rFonts w:asciiTheme="majorBidi" w:hAnsiTheme="majorBidi" w:cstheme="majorBidi"/>
        </w:rPr>
        <w:br/>
      </w:r>
      <w:r w:rsidRPr="00435EF9">
        <w:rPr>
          <w:rFonts w:asciiTheme="majorBidi" w:hAnsiTheme="majorBidi" w:cstheme="majorBidi"/>
        </w:rPr>
        <w:t>However, existing literature has not yet addressed the moderation dynamics of the 2025 German Federal Snap Election, nor the methodological challenge posed by the database's structural break between API schema v1 and v2 in July 2025. This thesis bridges this gap by developing a harmonized taxonomy mapping to integrate the incompatible category schemas, enabling a longitudinal analysis of how platform affordances (video vs. text) shaped algorithmic governance during this high-salience political crisis.</w:t>
      </w:r>
      <w:r w:rsidR="0091479A">
        <w:rPr>
          <w:rFonts w:asciiTheme="majorBidi" w:hAnsiTheme="majorBidi" w:cstheme="majorBidi"/>
        </w:rPr>
        <w:br/>
      </w:r>
      <w:r w:rsidR="0091479A">
        <w:rPr>
          <w:rFonts w:asciiTheme="majorBidi" w:hAnsiTheme="majorBidi" w:cstheme="majorBidi"/>
        </w:rPr>
        <w:br/>
      </w:r>
      <w:r w:rsidR="00586811" w:rsidRPr="00B64A41">
        <w:rPr>
          <w:rFonts w:asciiTheme="majorBidi" w:hAnsiTheme="majorBidi" w:cstheme="majorBidi"/>
          <w:b/>
          <w:bCs/>
        </w:rPr>
        <w:t>Proposed Title:</w:t>
      </w:r>
      <w:r w:rsidR="00586811" w:rsidRPr="00B64A41">
        <w:rPr>
          <w:rFonts w:asciiTheme="majorBidi" w:hAnsiTheme="majorBidi" w:cstheme="majorBidi"/>
        </w:rPr>
        <w:t xml:space="preserve"> </w:t>
      </w:r>
      <w:r w:rsidR="00BF6565" w:rsidRPr="00B64A41">
        <w:rPr>
          <w:rFonts w:asciiTheme="majorBidi" w:hAnsiTheme="majorBidi" w:cstheme="majorBidi"/>
          <w:i/>
          <w:iCs/>
        </w:rPr>
        <w:t>Moderation Dynamics in Transition</w:t>
      </w:r>
      <w:r w:rsidR="007F6A76">
        <w:rPr>
          <w:rFonts w:asciiTheme="majorBidi" w:hAnsiTheme="majorBidi" w:cstheme="majorBidi"/>
          <w:i/>
          <w:iCs/>
        </w:rPr>
        <w:t xml:space="preserve"> </w:t>
      </w:r>
      <w:r w:rsidR="0091479A">
        <w:rPr>
          <w:rFonts w:asciiTheme="majorBidi" w:hAnsiTheme="majorBidi" w:cstheme="majorBidi"/>
          <w:i/>
          <w:iCs/>
        </w:rPr>
        <w:br/>
      </w:r>
      <w:r w:rsidR="0091479A">
        <w:rPr>
          <w:rFonts w:asciiTheme="majorBidi" w:hAnsiTheme="majorBidi" w:cstheme="majorBidi"/>
          <w:i/>
          <w:iCs/>
        </w:rPr>
        <w:br/>
      </w:r>
      <w:r w:rsidR="00586811" w:rsidRPr="00B64A41">
        <w:rPr>
          <w:rFonts w:asciiTheme="majorBidi" w:hAnsiTheme="majorBidi" w:cstheme="majorBidi"/>
          <w:b/>
          <w:bCs/>
        </w:rPr>
        <w:t>2. Research Questions and Hypotheses</w:t>
      </w:r>
    </w:p>
    <w:p w14:paraId="6552F98E" w14:textId="4F498937" w:rsidR="00586811" w:rsidRPr="00B64A41" w:rsidRDefault="00506391" w:rsidP="00586811">
      <w:pPr>
        <w:rPr>
          <w:rFonts w:asciiTheme="majorBidi" w:hAnsiTheme="majorBidi" w:cstheme="majorBidi"/>
        </w:rPr>
      </w:pPr>
      <w:r w:rsidRPr="00506391">
        <w:rPr>
          <w:rFonts w:asciiTheme="majorBidi" w:hAnsiTheme="majorBidi" w:cstheme="majorBidi"/>
        </w:rPr>
        <w:t>The study is guided by Media Affordance Theory (Bucher &amp; Helmond, 2017) and Agenda-Setting Theory (McCombs &amp; Shaw, 1972; Feezell, 2018)</w:t>
      </w:r>
      <w:r w:rsidR="00197564" w:rsidRPr="00197564">
        <w:rPr>
          <w:rFonts w:asciiTheme="majorBidi" w:hAnsiTheme="majorBidi" w:cstheme="majorBidi"/>
        </w:rPr>
        <w:t>:</w:t>
      </w:r>
    </w:p>
    <w:p w14:paraId="3B3CB944" w14:textId="2841C7E3" w:rsidR="00586811" w:rsidRPr="00B64A41" w:rsidRDefault="00586811" w:rsidP="00586811">
      <w:pPr>
        <w:numPr>
          <w:ilvl w:val="0"/>
          <w:numId w:val="13"/>
        </w:numPr>
        <w:rPr>
          <w:rFonts w:asciiTheme="majorBidi" w:hAnsiTheme="majorBidi" w:cstheme="majorBidi"/>
        </w:rPr>
      </w:pPr>
      <w:r w:rsidRPr="00B64A41">
        <w:rPr>
          <w:rFonts w:asciiTheme="majorBidi" w:hAnsiTheme="majorBidi" w:cstheme="majorBidi"/>
          <w:b/>
          <w:bCs/>
        </w:rPr>
        <w:t>RQ1 (Comparative Architecture):</w:t>
      </w:r>
      <w:r w:rsidRPr="00B64A41">
        <w:rPr>
          <w:rFonts w:asciiTheme="majorBidi" w:hAnsiTheme="majorBidi" w:cstheme="majorBidi"/>
        </w:rPr>
        <w:t xml:space="preserve"> </w:t>
      </w:r>
      <w:r w:rsidR="008B0F19" w:rsidRPr="008B0F19">
        <w:rPr>
          <w:rFonts w:asciiTheme="majorBidi" w:hAnsiTheme="majorBidi" w:cstheme="majorBidi"/>
        </w:rPr>
        <w:t>To what extent does platform modality (video vs. text) shape both the distribution of removal categories and the reliance on automated decision-making, and what does this imply for the comparability and granularity of DSA transparency reporting?</w:t>
      </w:r>
    </w:p>
    <w:p w14:paraId="239C4923" w14:textId="106413D6" w:rsidR="00586811" w:rsidRPr="00B64A41" w:rsidRDefault="00586811" w:rsidP="00505A3D">
      <w:pPr>
        <w:numPr>
          <w:ilvl w:val="1"/>
          <w:numId w:val="13"/>
        </w:numPr>
        <w:rPr>
          <w:rFonts w:asciiTheme="majorBidi" w:hAnsiTheme="majorBidi" w:cstheme="majorBidi"/>
        </w:rPr>
      </w:pPr>
      <w:r w:rsidRPr="00B64A41">
        <w:rPr>
          <w:rFonts w:asciiTheme="majorBidi" w:hAnsiTheme="majorBidi" w:cstheme="majorBidi"/>
          <w:i/>
          <w:iCs/>
        </w:rPr>
        <w:t>Hypothesis</w:t>
      </w:r>
      <w:r w:rsidR="003D0221" w:rsidRPr="00B64A41">
        <w:rPr>
          <w:rFonts w:asciiTheme="majorBidi" w:hAnsiTheme="majorBidi" w:cstheme="majorBidi"/>
          <w:i/>
          <w:iCs/>
        </w:rPr>
        <w:t xml:space="preserve"> 1</w:t>
      </w:r>
      <w:r w:rsidRPr="00B64A41">
        <w:rPr>
          <w:rFonts w:asciiTheme="majorBidi" w:hAnsiTheme="majorBidi" w:cstheme="majorBidi"/>
          <w:i/>
          <w:iCs/>
        </w:rPr>
        <w:t>:</w:t>
      </w:r>
      <w:r w:rsidRPr="00B64A41">
        <w:rPr>
          <w:rFonts w:asciiTheme="majorBidi" w:hAnsiTheme="majorBidi" w:cstheme="majorBidi"/>
        </w:rPr>
        <w:t xml:space="preserve"> </w:t>
      </w:r>
      <w:r w:rsidR="00505A3D" w:rsidRPr="00505A3D">
        <w:rPr>
          <w:rFonts w:asciiTheme="majorBidi" w:hAnsiTheme="majorBidi" w:cstheme="majorBidi"/>
        </w:rPr>
        <w:t>Driven by platform modality, TikTok (video) is expected to exhibit significantly higher automation rates in visually mediated harm categories compared to X (text). This reliance on automation is hypothesized to correlate with a reduction in reporting granularity, creating a systemic risk for the comparability of cross-platform transparency reports.</w:t>
      </w:r>
    </w:p>
    <w:p w14:paraId="3DAE789D" w14:textId="1AE4F9DF" w:rsidR="00586811" w:rsidRPr="00B64A41" w:rsidRDefault="00586811" w:rsidP="00FD4EA0">
      <w:pPr>
        <w:numPr>
          <w:ilvl w:val="0"/>
          <w:numId w:val="13"/>
        </w:numPr>
        <w:rPr>
          <w:rFonts w:asciiTheme="majorBidi" w:hAnsiTheme="majorBidi" w:cstheme="majorBidi"/>
        </w:rPr>
      </w:pPr>
      <w:r w:rsidRPr="00B64A41">
        <w:rPr>
          <w:rFonts w:asciiTheme="majorBidi" w:hAnsiTheme="majorBidi" w:cstheme="majorBidi"/>
          <w:b/>
          <w:bCs/>
        </w:rPr>
        <w:t>RQ2 (Event Dynamics):</w:t>
      </w:r>
      <w:r w:rsidRPr="00B64A41">
        <w:rPr>
          <w:rFonts w:asciiTheme="majorBidi" w:hAnsiTheme="majorBidi" w:cstheme="majorBidi"/>
        </w:rPr>
        <w:t xml:space="preserve"> </w:t>
      </w:r>
      <w:r w:rsidR="00FD4EA0" w:rsidRPr="00FD4EA0">
        <w:rPr>
          <w:rFonts w:asciiTheme="majorBidi" w:hAnsiTheme="majorBidi" w:cstheme="majorBidi"/>
        </w:rPr>
        <w:t>To what extent does a high-salience political event trigger a shift in moderation intensity and automation reliance, and does increased automation during event periods correspond to a reduction in reporting granularity?</w:t>
      </w:r>
    </w:p>
    <w:p w14:paraId="141AED52" w14:textId="6A7B0460" w:rsidR="00B22DBA" w:rsidRPr="00983697" w:rsidRDefault="00A540D6" w:rsidP="004F65E7">
      <w:pPr>
        <w:numPr>
          <w:ilvl w:val="1"/>
          <w:numId w:val="13"/>
        </w:numPr>
        <w:rPr>
          <w:rFonts w:asciiTheme="majorBidi" w:hAnsiTheme="majorBidi" w:cstheme="majorBidi"/>
        </w:rPr>
      </w:pPr>
      <w:r w:rsidRPr="00FD4EA0">
        <w:rPr>
          <w:rFonts w:asciiTheme="majorBidi" w:hAnsiTheme="majorBidi" w:cstheme="majorBidi"/>
          <w:i/>
          <w:iCs/>
        </w:rPr>
        <w:t>Hypothesis</w:t>
      </w:r>
      <w:r w:rsidR="00812537" w:rsidRPr="00FD4EA0">
        <w:rPr>
          <w:rFonts w:asciiTheme="majorBidi" w:hAnsiTheme="majorBidi" w:cstheme="majorBidi"/>
          <w:i/>
          <w:iCs/>
        </w:rPr>
        <w:t xml:space="preserve"> 2</w:t>
      </w:r>
      <w:r w:rsidRPr="00B64A41">
        <w:rPr>
          <w:rFonts w:asciiTheme="majorBidi" w:hAnsiTheme="majorBidi" w:cstheme="majorBidi"/>
        </w:rPr>
        <w:t>:</w:t>
      </w:r>
      <w:r w:rsidR="002A3483" w:rsidRPr="002A3483">
        <w:t xml:space="preserve"> </w:t>
      </w:r>
      <w:r w:rsidR="00FD4EA0" w:rsidRPr="00FD4EA0">
        <w:rPr>
          <w:rFonts w:asciiTheme="majorBidi" w:hAnsiTheme="majorBidi" w:cstheme="majorBidi"/>
        </w:rPr>
        <w:t xml:space="preserve">Following the principle of "Event-Dependency," the 2025 snap election will trigger a </w:t>
      </w:r>
      <w:r w:rsidR="004F65E7" w:rsidRPr="004F65E7">
        <w:rPr>
          <w:rFonts w:asciiTheme="majorBidi" w:hAnsiTheme="majorBidi" w:cstheme="majorBidi"/>
        </w:rPr>
        <w:t>statistically significant increase in moderation intensity and automation reliance</w:t>
      </w:r>
      <w:r w:rsidR="00FD4EA0" w:rsidRPr="00FD4EA0">
        <w:rPr>
          <w:rFonts w:asciiTheme="majorBidi" w:hAnsiTheme="majorBidi" w:cstheme="majorBidi"/>
        </w:rPr>
        <w:t>. It is hypothesized that this "content burst" forces platforms to prioritize processing speed over detail, resulting in a measurable reduction in reporting granularity during the election period compared to the annual baseline.</w:t>
      </w:r>
    </w:p>
    <w:p w14:paraId="31F8D9C7" w14:textId="77777777" w:rsidR="00F82E02" w:rsidRDefault="00F82E02" w:rsidP="00586811">
      <w:pPr>
        <w:rPr>
          <w:rFonts w:asciiTheme="majorBidi" w:hAnsiTheme="majorBidi" w:cstheme="majorBidi"/>
          <w:b/>
          <w:bCs/>
        </w:rPr>
      </w:pPr>
    </w:p>
    <w:p w14:paraId="424850B6" w14:textId="4A942FC1" w:rsidR="00586811" w:rsidRPr="00B64A41" w:rsidRDefault="007B5249" w:rsidP="00586811">
      <w:pPr>
        <w:rPr>
          <w:rFonts w:asciiTheme="majorBidi" w:hAnsiTheme="majorBidi" w:cstheme="majorBidi"/>
          <w:b/>
          <w:bCs/>
        </w:rPr>
      </w:pPr>
      <w:r w:rsidRPr="00B64A41">
        <w:rPr>
          <w:rFonts w:asciiTheme="majorBidi" w:hAnsiTheme="majorBidi" w:cstheme="majorBidi"/>
          <w:b/>
          <w:bCs/>
        </w:rPr>
        <w:br/>
      </w:r>
      <w:r w:rsidR="00586811" w:rsidRPr="00B64A41">
        <w:rPr>
          <w:rFonts w:asciiTheme="majorBidi" w:hAnsiTheme="majorBidi" w:cstheme="majorBidi"/>
          <w:b/>
          <w:bCs/>
        </w:rPr>
        <w:t>3. Research Methodology</w:t>
      </w:r>
    </w:p>
    <w:p w14:paraId="6B4D4097" w14:textId="77777777" w:rsidR="00586811" w:rsidRPr="00B64A41" w:rsidRDefault="00586811" w:rsidP="00586811">
      <w:pPr>
        <w:rPr>
          <w:rFonts w:asciiTheme="majorBidi" w:hAnsiTheme="majorBidi" w:cstheme="majorBidi"/>
        </w:rPr>
      </w:pPr>
      <w:r w:rsidRPr="00B64A41">
        <w:rPr>
          <w:rFonts w:asciiTheme="majorBidi" w:hAnsiTheme="majorBidi" w:cstheme="majorBidi"/>
        </w:rPr>
        <w:t>This thesis employs a quantitative, data-driven approach using the DSA Transparency Database.</w:t>
      </w:r>
    </w:p>
    <w:p w14:paraId="38EC7118" w14:textId="3A6CDE70" w:rsidR="004B55A7" w:rsidRPr="00B64A41" w:rsidRDefault="004B55A7" w:rsidP="004B55A7">
      <w:pPr>
        <w:pStyle w:val="NormalWeb"/>
        <w:numPr>
          <w:ilvl w:val="0"/>
          <w:numId w:val="17"/>
        </w:numPr>
        <w:rPr>
          <w:rFonts w:asciiTheme="majorBidi" w:hAnsiTheme="majorBidi" w:cstheme="majorBidi"/>
          <w:sz w:val="22"/>
          <w:szCs w:val="22"/>
          <w:lang w:val="en-US"/>
        </w:rPr>
      </w:pPr>
      <w:r w:rsidRPr="00B64A41">
        <w:rPr>
          <w:rFonts w:asciiTheme="majorBidi" w:hAnsiTheme="majorBidi" w:cstheme="majorBidi"/>
          <w:b/>
          <w:bCs/>
          <w:sz w:val="22"/>
          <w:szCs w:val="22"/>
          <w:lang w:val="en-US"/>
        </w:rPr>
        <w:lastRenderedPageBreak/>
        <w:t>Data Source &amp; Scope:</w:t>
      </w:r>
      <w:r w:rsidRPr="00B64A41">
        <w:rPr>
          <w:rFonts w:asciiTheme="majorBidi" w:hAnsiTheme="majorBidi" w:cstheme="majorBidi"/>
          <w:sz w:val="22"/>
          <w:szCs w:val="22"/>
          <w:lang w:val="en-US"/>
        </w:rPr>
        <w:t xml:space="preserve"> </w:t>
      </w:r>
      <w:r w:rsidR="00C278A0" w:rsidRPr="00B64A41">
        <w:rPr>
          <w:rFonts w:asciiTheme="majorBidi" w:hAnsiTheme="majorBidi" w:cstheme="majorBidi"/>
          <w:sz w:val="22"/>
          <w:szCs w:val="22"/>
          <w:lang w:val="en-US"/>
        </w:rPr>
        <w:t>Extraction of moderation records for the period of January 1</w:t>
      </w:r>
      <w:r w:rsidR="00771A46" w:rsidRPr="00B64A41">
        <w:rPr>
          <w:rFonts w:asciiTheme="majorBidi" w:hAnsiTheme="majorBidi" w:cstheme="majorBidi"/>
          <w:sz w:val="22"/>
          <w:szCs w:val="22"/>
          <w:vertAlign w:val="superscript"/>
          <w:lang w:val="en-US"/>
        </w:rPr>
        <w:t>st</w:t>
      </w:r>
      <w:r w:rsidR="00771A46" w:rsidRPr="00B64A41">
        <w:rPr>
          <w:rFonts w:asciiTheme="majorBidi" w:hAnsiTheme="majorBidi" w:cstheme="majorBidi"/>
          <w:sz w:val="22"/>
          <w:szCs w:val="22"/>
          <w:lang w:val="en-US"/>
        </w:rPr>
        <w:t xml:space="preserve"> to</w:t>
      </w:r>
      <w:r w:rsidR="00C278A0" w:rsidRPr="00B64A41">
        <w:rPr>
          <w:rFonts w:asciiTheme="majorBidi" w:hAnsiTheme="majorBidi" w:cstheme="majorBidi"/>
          <w:sz w:val="22"/>
          <w:szCs w:val="22"/>
          <w:lang w:val="en-US"/>
        </w:rPr>
        <w:t xml:space="preserve"> December 31</w:t>
      </w:r>
      <w:r w:rsidR="00C60E92" w:rsidRPr="00B64A41">
        <w:rPr>
          <w:rFonts w:asciiTheme="majorBidi" w:hAnsiTheme="majorBidi" w:cstheme="majorBidi"/>
          <w:sz w:val="22"/>
          <w:szCs w:val="22"/>
          <w:vertAlign w:val="superscript"/>
          <w:lang w:val="en-US"/>
        </w:rPr>
        <w:t>st</w:t>
      </w:r>
      <w:r w:rsidR="00B64A41" w:rsidRPr="00B64A41">
        <w:rPr>
          <w:rFonts w:asciiTheme="majorBidi" w:hAnsiTheme="majorBidi" w:cstheme="majorBidi"/>
          <w:sz w:val="22"/>
          <w:szCs w:val="22"/>
          <w:lang w:val="en-US"/>
        </w:rPr>
        <w:t>, 2025</w:t>
      </w:r>
      <w:r w:rsidR="00C278A0" w:rsidRPr="00B64A41">
        <w:rPr>
          <w:rFonts w:asciiTheme="majorBidi" w:hAnsiTheme="majorBidi" w:cstheme="majorBidi"/>
          <w:sz w:val="22"/>
          <w:szCs w:val="22"/>
          <w:lang w:val="en-US"/>
        </w:rPr>
        <w:t xml:space="preserve">, filtering for the territorial scope of Germany. Records are included in the analysis if </w:t>
      </w:r>
      <w:r w:rsidR="001A3157" w:rsidRPr="00B64A41">
        <w:rPr>
          <w:rFonts w:asciiTheme="majorBidi" w:hAnsiTheme="majorBidi" w:cstheme="majorBidi"/>
          <w:sz w:val="22"/>
          <w:szCs w:val="22"/>
          <w:lang w:val="en-US"/>
        </w:rPr>
        <w:t xml:space="preserve">the </w:t>
      </w:r>
      <w:proofErr w:type="spellStart"/>
      <w:r w:rsidR="001A3157" w:rsidRPr="00B64A41">
        <w:rPr>
          <w:rFonts w:asciiTheme="majorBidi" w:hAnsiTheme="majorBidi" w:cstheme="majorBidi"/>
          <w:i/>
          <w:iCs/>
          <w:color w:val="595959" w:themeColor="text1" w:themeTint="A6"/>
          <w:sz w:val="22"/>
          <w:szCs w:val="22"/>
          <w:lang w:val="en-US"/>
        </w:rPr>
        <w:t>territorial</w:t>
      </w:r>
      <w:r w:rsidR="00C278A0" w:rsidRPr="00B64A41">
        <w:rPr>
          <w:rFonts w:asciiTheme="majorBidi" w:hAnsiTheme="majorBidi" w:cstheme="majorBidi"/>
          <w:i/>
          <w:iCs/>
          <w:color w:val="595959" w:themeColor="text1" w:themeTint="A6"/>
          <w:sz w:val="22"/>
          <w:szCs w:val="22"/>
          <w:lang w:val="en-US"/>
        </w:rPr>
        <w:t>_scope</w:t>
      </w:r>
      <w:proofErr w:type="spellEnd"/>
      <w:r w:rsidR="00C278A0" w:rsidRPr="00B64A41">
        <w:rPr>
          <w:rFonts w:asciiTheme="majorBidi" w:hAnsiTheme="majorBidi" w:cstheme="majorBidi"/>
          <w:sz w:val="22"/>
          <w:szCs w:val="22"/>
          <w:lang w:val="en-US"/>
        </w:rPr>
        <w:t xml:space="preserve"> attribute contains the country code "DE". In cases where moderation actions are applied across multiple EEA territories (multilateral scope), the record is treated as part of the German moderation baseline, as the restriction directly impacts the German information environment.</w:t>
      </w:r>
      <w:r w:rsidR="00384BC9" w:rsidRPr="00B64A41">
        <w:rPr>
          <w:rFonts w:asciiTheme="majorBidi" w:hAnsiTheme="majorBidi" w:cstheme="majorBidi"/>
          <w:sz w:val="22"/>
          <w:szCs w:val="22"/>
          <w:lang w:val="en-US"/>
        </w:rPr>
        <w:br/>
      </w:r>
    </w:p>
    <w:p w14:paraId="51DA27E8" w14:textId="7D7275AD" w:rsidR="00FE28B2" w:rsidRPr="00E43C15" w:rsidRDefault="00FE28B2" w:rsidP="00E43C15">
      <w:pPr>
        <w:pStyle w:val="NormalWeb"/>
        <w:numPr>
          <w:ilvl w:val="0"/>
          <w:numId w:val="17"/>
        </w:numPr>
        <w:rPr>
          <w:rFonts w:asciiTheme="majorBidi" w:hAnsiTheme="majorBidi" w:cstheme="majorBidi"/>
          <w:sz w:val="22"/>
          <w:szCs w:val="22"/>
          <w:lang w:val="en-US"/>
        </w:rPr>
      </w:pPr>
      <w:r w:rsidRPr="00B64A41">
        <w:rPr>
          <w:rFonts w:asciiTheme="majorBidi" w:hAnsiTheme="majorBidi" w:cstheme="majorBidi"/>
          <w:b/>
          <w:bCs/>
          <w:sz w:val="22"/>
          <w:szCs w:val="22"/>
          <w:lang w:val="en-US"/>
        </w:rPr>
        <w:t>Longitudinal Data Harmonization:</w:t>
      </w:r>
      <w:r w:rsidRPr="00B64A41">
        <w:rPr>
          <w:rFonts w:asciiTheme="majorBidi" w:hAnsiTheme="majorBidi" w:cstheme="majorBidi"/>
          <w:sz w:val="22"/>
          <w:szCs w:val="22"/>
          <w:lang w:val="en-US"/>
        </w:rPr>
        <w:t xml:space="preserve"> </w:t>
      </w:r>
      <w:r w:rsidR="005D34EF" w:rsidRPr="005D34EF">
        <w:rPr>
          <w:rFonts w:asciiTheme="majorBidi" w:hAnsiTheme="majorBidi" w:cstheme="majorBidi"/>
          <w:sz w:val="22"/>
          <w:szCs w:val="22"/>
          <w:lang w:val="en-US"/>
        </w:rPr>
        <w:t>To contextualize the election within the full year, the structural break in the DSA database</w:t>
      </w:r>
      <w:r w:rsidR="00873C7E">
        <w:rPr>
          <w:rFonts w:asciiTheme="majorBidi" w:hAnsiTheme="majorBidi" w:cstheme="majorBidi"/>
          <w:sz w:val="22"/>
          <w:szCs w:val="22"/>
          <w:lang w:val="en-US"/>
        </w:rPr>
        <w:t xml:space="preserve">, </w:t>
      </w:r>
      <w:r w:rsidR="005D34EF" w:rsidRPr="005D34EF">
        <w:rPr>
          <w:rFonts w:asciiTheme="majorBidi" w:hAnsiTheme="majorBidi" w:cstheme="majorBidi"/>
          <w:sz w:val="22"/>
          <w:szCs w:val="22"/>
          <w:lang w:val="en-US"/>
        </w:rPr>
        <w:t xml:space="preserve">caused by the transition from API v1 (fixed single-category schema) to API v2 (granular multi-labeling schema) on July 1, </w:t>
      </w:r>
      <w:r w:rsidR="00154B1F" w:rsidRPr="005D34EF">
        <w:rPr>
          <w:rFonts w:asciiTheme="majorBidi" w:hAnsiTheme="majorBidi" w:cstheme="majorBidi"/>
          <w:sz w:val="22"/>
          <w:szCs w:val="22"/>
          <w:lang w:val="en-US"/>
        </w:rPr>
        <w:t>2025,</w:t>
      </w:r>
      <w:r w:rsidR="00873C7E">
        <w:rPr>
          <w:rFonts w:asciiTheme="majorBidi" w:hAnsiTheme="majorBidi" w:cstheme="majorBidi"/>
          <w:sz w:val="22"/>
          <w:szCs w:val="22"/>
          <w:lang w:val="en-US"/>
        </w:rPr>
        <w:t xml:space="preserve"> </w:t>
      </w:r>
      <w:r w:rsidR="005D34EF" w:rsidRPr="005D34EF">
        <w:rPr>
          <w:rFonts w:asciiTheme="majorBidi" w:hAnsiTheme="majorBidi" w:cstheme="majorBidi"/>
          <w:sz w:val="22"/>
          <w:szCs w:val="22"/>
          <w:lang w:val="en-US"/>
        </w:rPr>
        <w:t xml:space="preserve">must be bridged. Since new v2 categories (e.g., "Cyber Violence") lack 1:1 </w:t>
      </w:r>
      <w:proofErr w:type="gramStart"/>
      <w:r w:rsidR="005D34EF" w:rsidRPr="005D34EF">
        <w:rPr>
          <w:rFonts w:asciiTheme="majorBidi" w:hAnsiTheme="majorBidi" w:cstheme="majorBidi"/>
          <w:sz w:val="22"/>
          <w:szCs w:val="22"/>
          <w:lang w:val="en-US"/>
        </w:rPr>
        <w:t>equivalent</w:t>
      </w:r>
      <w:r w:rsidR="00873C7E">
        <w:rPr>
          <w:rFonts w:asciiTheme="majorBidi" w:hAnsiTheme="majorBidi" w:cstheme="majorBidi"/>
          <w:sz w:val="22"/>
          <w:szCs w:val="22"/>
          <w:lang w:val="en-US"/>
        </w:rPr>
        <w:t>s</w:t>
      </w:r>
      <w:proofErr w:type="gramEnd"/>
      <w:r w:rsidR="005D34EF" w:rsidRPr="005D34EF">
        <w:rPr>
          <w:rFonts w:asciiTheme="majorBidi" w:hAnsiTheme="majorBidi" w:cstheme="majorBidi"/>
          <w:sz w:val="22"/>
          <w:szCs w:val="22"/>
          <w:lang w:val="en-US"/>
        </w:rPr>
        <w:t xml:space="preserve"> in the old schema, a </w:t>
      </w:r>
      <w:r w:rsidR="005D34EF" w:rsidRPr="005D34EF">
        <w:rPr>
          <w:rFonts w:asciiTheme="majorBidi" w:hAnsiTheme="majorBidi" w:cstheme="majorBidi"/>
          <w:b/>
          <w:bCs/>
          <w:sz w:val="22"/>
          <w:szCs w:val="22"/>
          <w:lang w:val="en-US"/>
        </w:rPr>
        <w:t>unified classification taxonomy</w:t>
      </w:r>
      <w:r w:rsidR="005D34EF" w:rsidRPr="005D34EF">
        <w:rPr>
          <w:rFonts w:asciiTheme="majorBidi" w:hAnsiTheme="majorBidi" w:cstheme="majorBidi"/>
          <w:sz w:val="22"/>
          <w:szCs w:val="22"/>
          <w:lang w:val="en-US"/>
        </w:rPr>
        <w:t xml:space="preserve"> will be developed. To maintain comparability, v2 records with multiple labels will be processed using a </w:t>
      </w:r>
      <w:r w:rsidR="005D34EF" w:rsidRPr="005D34EF">
        <w:rPr>
          <w:rFonts w:asciiTheme="majorBidi" w:hAnsiTheme="majorBidi" w:cstheme="majorBidi"/>
          <w:b/>
          <w:bCs/>
          <w:sz w:val="22"/>
          <w:szCs w:val="22"/>
          <w:lang w:val="en-US"/>
        </w:rPr>
        <w:t>Primary Category Assignment</w:t>
      </w:r>
      <w:r w:rsidR="005D34EF" w:rsidRPr="005D34EF">
        <w:rPr>
          <w:rFonts w:asciiTheme="majorBidi" w:hAnsiTheme="majorBidi" w:cstheme="majorBidi"/>
          <w:sz w:val="22"/>
          <w:szCs w:val="22"/>
          <w:lang w:val="en-US"/>
        </w:rPr>
        <w:t xml:space="preserve"> based on a predefined severity hierarchy. All categories will be clustered into established v1 "Super-Clusters" using a formal </w:t>
      </w:r>
      <w:r w:rsidR="005D34EF" w:rsidRPr="005D34EF">
        <w:rPr>
          <w:rFonts w:asciiTheme="majorBidi" w:hAnsiTheme="majorBidi" w:cstheme="majorBidi"/>
          <w:b/>
          <w:bCs/>
          <w:sz w:val="22"/>
          <w:szCs w:val="22"/>
          <w:lang w:val="en-US"/>
        </w:rPr>
        <w:t>Mapping Protocol</w:t>
      </w:r>
      <w:r w:rsidR="005D34EF" w:rsidRPr="005D34EF">
        <w:rPr>
          <w:rFonts w:asciiTheme="majorBidi" w:hAnsiTheme="majorBidi" w:cstheme="majorBidi"/>
          <w:sz w:val="22"/>
          <w:szCs w:val="22"/>
          <w:lang w:val="en-US"/>
        </w:rPr>
        <w:t xml:space="preserve"> that cross-references semantic definitions against official DSA legal guidance to ensure objectivity and replicability.</w:t>
      </w:r>
      <w:r w:rsidRPr="00B64A41">
        <w:rPr>
          <w:rFonts w:asciiTheme="majorBidi" w:hAnsiTheme="majorBidi" w:cstheme="majorBidi"/>
          <w:sz w:val="22"/>
          <w:szCs w:val="22"/>
          <w:lang w:val="en-US"/>
        </w:rPr>
        <w:t xml:space="preserve"> This ensures a robust longitudinal baseline despite the schema evolution identified by Groesch et al. (2026).</w:t>
      </w:r>
      <w:r w:rsidR="00640722">
        <w:rPr>
          <w:rFonts w:asciiTheme="majorBidi" w:hAnsiTheme="majorBidi" w:cstheme="majorBidi"/>
          <w:sz w:val="22"/>
          <w:szCs w:val="22"/>
          <w:lang w:val="en-US"/>
        </w:rPr>
        <w:t xml:space="preserve"> </w:t>
      </w:r>
      <w:r w:rsidR="00640722" w:rsidRPr="00640722">
        <w:rPr>
          <w:rFonts w:asciiTheme="majorBidi" w:hAnsiTheme="majorBidi" w:cstheme="majorBidi"/>
          <w:sz w:val="22"/>
          <w:szCs w:val="22"/>
          <w:lang w:val="en-US"/>
        </w:rPr>
        <w:t>This taxonomy alignment serves as a necessary technical preprocessing step to ensure a valid longitudinal baseline; it is not a standalone research objective, but a prerequisite for analyzing the governance shifts identified in the RQs.</w:t>
      </w:r>
      <w:r w:rsidR="00E43C15">
        <w:rPr>
          <w:rFonts w:asciiTheme="majorBidi" w:hAnsiTheme="majorBidi" w:cstheme="majorBidi"/>
          <w:sz w:val="22"/>
          <w:szCs w:val="22"/>
          <w:lang w:val="en-US"/>
        </w:rPr>
        <w:br/>
      </w:r>
    </w:p>
    <w:p w14:paraId="59983A46" w14:textId="77777777" w:rsidR="00E43C15" w:rsidRDefault="004B55A7" w:rsidP="00384BC9">
      <w:pPr>
        <w:pStyle w:val="NormalWeb"/>
        <w:numPr>
          <w:ilvl w:val="0"/>
          <w:numId w:val="17"/>
        </w:numPr>
        <w:rPr>
          <w:rFonts w:asciiTheme="majorBidi" w:hAnsiTheme="majorBidi" w:cstheme="majorBidi"/>
          <w:sz w:val="22"/>
          <w:szCs w:val="22"/>
          <w:lang w:val="en-US"/>
        </w:rPr>
      </w:pPr>
      <w:r w:rsidRPr="00B64A41">
        <w:rPr>
          <w:rFonts w:asciiTheme="majorBidi" w:hAnsiTheme="majorBidi" w:cstheme="majorBidi"/>
          <w:b/>
          <w:bCs/>
          <w:sz w:val="22"/>
          <w:szCs w:val="22"/>
          <w:lang w:val="en-US"/>
        </w:rPr>
        <w:t>Event Study (The "Clean" Phase):</w:t>
      </w:r>
      <w:r w:rsidRPr="00B64A41">
        <w:rPr>
          <w:rFonts w:asciiTheme="majorBidi" w:hAnsiTheme="majorBidi" w:cstheme="majorBidi"/>
          <w:sz w:val="22"/>
          <w:szCs w:val="22"/>
          <w:lang w:val="en-US"/>
        </w:rPr>
        <w:t xml:space="preserve"> The core analysis of the election period (Jan/Feb 2025) relies on consistent API v1 data. Absolute deletion numbers will be normalized as "Deletions per 1,000 Monthly Active Users (MAU)" based on official DSA user reports to ensure cross-platform comparability.</w:t>
      </w:r>
      <w:r w:rsidR="00E43C15">
        <w:rPr>
          <w:rFonts w:asciiTheme="majorBidi" w:hAnsiTheme="majorBidi" w:cstheme="majorBidi"/>
          <w:sz w:val="22"/>
          <w:szCs w:val="22"/>
          <w:lang w:val="en-US"/>
        </w:rPr>
        <w:br/>
      </w:r>
    </w:p>
    <w:p w14:paraId="3E8EB121" w14:textId="2412FCBD" w:rsidR="00656884" w:rsidRPr="00656884" w:rsidRDefault="00E43C15" w:rsidP="00B83D69">
      <w:pPr>
        <w:pStyle w:val="NormalWeb"/>
        <w:numPr>
          <w:ilvl w:val="0"/>
          <w:numId w:val="17"/>
        </w:numPr>
        <w:rPr>
          <w:rFonts w:asciiTheme="majorBidi" w:hAnsiTheme="majorBidi" w:cstheme="majorBidi"/>
          <w:b/>
          <w:bCs/>
          <w:lang w:val="en-US"/>
        </w:rPr>
      </w:pPr>
      <w:r w:rsidRPr="00656884">
        <w:rPr>
          <w:rFonts w:asciiTheme="majorBidi" w:hAnsiTheme="majorBidi" w:cstheme="majorBidi"/>
          <w:b/>
          <w:bCs/>
          <w:sz w:val="22"/>
          <w:szCs w:val="22"/>
          <w:lang w:val="en-US"/>
        </w:rPr>
        <w:t>Algorithmic Governance</w:t>
      </w:r>
      <w:r w:rsidR="00AA6F64">
        <w:rPr>
          <w:rFonts w:asciiTheme="majorBidi" w:hAnsiTheme="majorBidi" w:cstheme="majorBidi"/>
          <w:b/>
          <w:bCs/>
          <w:sz w:val="22"/>
          <w:szCs w:val="22"/>
          <w:lang w:val="en-US"/>
        </w:rPr>
        <w:t>:</w:t>
      </w:r>
      <w:r w:rsidRPr="00656884">
        <w:rPr>
          <w:rFonts w:asciiTheme="majorBidi" w:hAnsiTheme="majorBidi" w:cstheme="majorBidi"/>
          <w:sz w:val="22"/>
          <w:szCs w:val="22"/>
          <w:lang w:val="en-US"/>
        </w:rPr>
        <w:t xml:space="preserve"> </w:t>
      </w:r>
      <w:r w:rsidR="00B83D69" w:rsidRPr="00B83D69">
        <w:rPr>
          <w:rFonts w:asciiTheme="majorBidi" w:hAnsiTheme="majorBidi" w:cstheme="majorBidi"/>
          <w:sz w:val="22"/>
          <w:szCs w:val="22"/>
          <w:lang w:val="en-US"/>
        </w:rPr>
        <w:t xml:space="preserve">The automation dimension of both RQs is addressed by extracting the </w:t>
      </w:r>
      <w:proofErr w:type="spellStart"/>
      <w:r w:rsidR="00B83D69" w:rsidRPr="00B83D69">
        <w:rPr>
          <w:rFonts w:asciiTheme="majorBidi" w:hAnsiTheme="majorBidi" w:cstheme="majorBidi"/>
          <w:i/>
          <w:iCs/>
          <w:color w:val="595959" w:themeColor="text1" w:themeTint="A6"/>
          <w:sz w:val="22"/>
          <w:szCs w:val="22"/>
          <w:lang w:val="en-US"/>
        </w:rPr>
        <w:t>decision_automated</w:t>
      </w:r>
      <w:proofErr w:type="spellEnd"/>
      <w:r w:rsidR="00B83D69" w:rsidRPr="00B83D69">
        <w:rPr>
          <w:rFonts w:asciiTheme="majorBidi" w:hAnsiTheme="majorBidi" w:cstheme="majorBidi"/>
          <w:color w:val="595959" w:themeColor="text1" w:themeTint="A6"/>
          <w:sz w:val="22"/>
          <w:szCs w:val="22"/>
          <w:lang w:val="en-US"/>
        </w:rPr>
        <w:t xml:space="preserve"> </w:t>
      </w:r>
      <w:r w:rsidR="00B83D69" w:rsidRPr="00B83D69">
        <w:rPr>
          <w:rFonts w:asciiTheme="majorBidi" w:hAnsiTheme="majorBidi" w:cstheme="majorBidi"/>
          <w:sz w:val="22"/>
          <w:szCs w:val="22"/>
          <w:lang w:val="en-US"/>
        </w:rPr>
        <w:t>attribute to compute the monthly proportion of fully automated vs. human-in-the-loop decisions for TikTok and X. This metric operationalizes reporting granularity and allows for comparative assessment of governance behavior across both the platform modality and event period analyses.</w:t>
      </w:r>
      <w:r w:rsidR="002E0E65">
        <w:rPr>
          <w:rFonts w:asciiTheme="majorBidi" w:hAnsiTheme="majorBidi" w:cstheme="majorBidi"/>
          <w:sz w:val="22"/>
          <w:szCs w:val="22"/>
          <w:lang w:val="en-US"/>
        </w:rPr>
        <w:br/>
      </w:r>
    </w:p>
    <w:p w14:paraId="3F9B6976" w14:textId="38CA28DE" w:rsidR="00586811" w:rsidRPr="008B0F19" w:rsidRDefault="00586811" w:rsidP="00656884">
      <w:pPr>
        <w:pStyle w:val="NormalWeb"/>
        <w:rPr>
          <w:rFonts w:asciiTheme="majorBidi" w:hAnsiTheme="majorBidi" w:cstheme="majorBidi"/>
          <w:b/>
          <w:bCs/>
          <w:lang w:val="en-US"/>
        </w:rPr>
      </w:pPr>
      <w:r w:rsidRPr="008B0F19">
        <w:rPr>
          <w:rFonts w:asciiTheme="majorBidi" w:hAnsiTheme="majorBidi" w:cstheme="majorBidi"/>
          <w:b/>
          <w:bCs/>
          <w:lang w:val="en-US"/>
        </w:rPr>
        <w:t>4. Preliminary Outline</w:t>
      </w:r>
    </w:p>
    <w:p w14:paraId="4829AC82" w14:textId="7AEA8B6A" w:rsidR="00586811" w:rsidRPr="00B64A41" w:rsidRDefault="00586811" w:rsidP="00586811">
      <w:pPr>
        <w:rPr>
          <w:rFonts w:asciiTheme="majorBidi" w:hAnsiTheme="majorBidi" w:cstheme="majorBidi"/>
        </w:rPr>
      </w:pPr>
      <w:r w:rsidRPr="00B64A41">
        <w:rPr>
          <w:rFonts w:asciiTheme="majorBidi" w:hAnsiTheme="majorBidi" w:cstheme="majorBidi"/>
          <w:b/>
          <w:bCs/>
        </w:rPr>
        <w:t>1. Introduction</w:t>
      </w:r>
      <w:r w:rsidR="00787E44" w:rsidRPr="00B64A41">
        <w:rPr>
          <w:rFonts w:asciiTheme="majorBidi" w:hAnsiTheme="majorBidi" w:cstheme="majorBidi"/>
          <w:b/>
          <w:bCs/>
        </w:rPr>
        <w:br/>
      </w:r>
      <w:r w:rsidRPr="00B64A41">
        <w:rPr>
          <w:rFonts w:asciiTheme="majorBidi" w:hAnsiTheme="majorBidi" w:cstheme="majorBidi"/>
        </w:rPr>
        <w:t>1.1 Motivation: Content Moderation as a Black Box</w:t>
      </w:r>
      <w:r w:rsidR="00D57C1A" w:rsidRPr="00B64A41">
        <w:rPr>
          <w:rFonts w:asciiTheme="majorBidi" w:hAnsiTheme="majorBidi" w:cstheme="majorBidi"/>
        </w:rPr>
        <w:t>,</w:t>
      </w:r>
      <w:r w:rsidRPr="00B64A41">
        <w:rPr>
          <w:rFonts w:asciiTheme="majorBidi" w:hAnsiTheme="majorBidi" w:cstheme="majorBidi"/>
        </w:rPr>
        <w:t xml:space="preserve"> 1.2 Problem Statement: The 2025 Snap Election and Data Discontinuities</w:t>
      </w:r>
      <w:r w:rsidR="00D57C1A" w:rsidRPr="00B64A41">
        <w:rPr>
          <w:rFonts w:asciiTheme="majorBidi" w:hAnsiTheme="majorBidi" w:cstheme="majorBidi"/>
        </w:rPr>
        <w:t>,</w:t>
      </w:r>
      <w:r w:rsidRPr="00B64A41">
        <w:rPr>
          <w:rFonts w:asciiTheme="majorBidi" w:hAnsiTheme="majorBidi" w:cstheme="majorBidi"/>
        </w:rPr>
        <w:t xml:space="preserve"> 1.3 Objectives and Structure</w:t>
      </w:r>
    </w:p>
    <w:p w14:paraId="01CBCC80" w14:textId="0DACBDA7" w:rsidR="00586811" w:rsidRPr="00B64A41" w:rsidRDefault="00586811" w:rsidP="009D7560">
      <w:pPr>
        <w:rPr>
          <w:rFonts w:asciiTheme="majorBidi" w:hAnsiTheme="majorBidi" w:cstheme="majorBidi"/>
        </w:rPr>
      </w:pPr>
      <w:r w:rsidRPr="00B64A41">
        <w:rPr>
          <w:rFonts w:asciiTheme="majorBidi" w:hAnsiTheme="majorBidi" w:cstheme="majorBidi"/>
          <w:b/>
          <w:bCs/>
        </w:rPr>
        <w:t>2. Theoretical Background</w:t>
      </w:r>
      <w:r w:rsidR="009427FF" w:rsidRPr="00B64A41">
        <w:rPr>
          <w:rFonts w:asciiTheme="majorBidi" w:hAnsiTheme="majorBidi" w:cstheme="majorBidi"/>
          <w:b/>
          <w:bCs/>
        </w:rPr>
        <w:br/>
      </w:r>
      <w:r w:rsidRPr="00B64A41">
        <w:rPr>
          <w:rFonts w:asciiTheme="majorBidi" w:hAnsiTheme="majorBidi" w:cstheme="majorBidi"/>
        </w:rPr>
        <w:t>2</w:t>
      </w:r>
      <w:r w:rsidR="009D7560" w:rsidRPr="00B64A41">
        <w:rPr>
          <w:rFonts w:asciiTheme="majorBidi" w:hAnsiTheme="majorBidi" w:cstheme="majorBidi"/>
        </w:rPr>
        <w:t xml:space="preserve"> 2.1 The DSA Transparency Regime and Accountability</w:t>
      </w:r>
      <w:r w:rsidR="00D57C1A" w:rsidRPr="00B64A41">
        <w:rPr>
          <w:rFonts w:asciiTheme="majorBidi" w:hAnsiTheme="majorBidi" w:cstheme="majorBidi"/>
        </w:rPr>
        <w:t>,</w:t>
      </w:r>
      <w:r w:rsidR="009D7560" w:rsidRPr="00B64A41">
        <w:rPr>
          <w:rFonts w:asciiTheme="majorBidi" w:hAnsiTheme="majorBidi" w:cstheme="majorBidi"/>
        </w:rPr>
        <w:t xml:space="preserve"> 2.2 Media Affordance Theory: Modality (Video vs. Text)</w:t>
      </w:r>
      <w:r w:rsidR="00D57C1A" w:rsidRPr="00B64A41">
        <w:rPr>
          <w:rFonts w:asciiTheme="majorBidi" w:hAnsiTheme="majorBidi" w:cstheme="majorBidi"/>
        </w:rPr>
        <w:t>,</w:t>
      </w:r>
      <w:r w:rsidR="009D7560" w:rsidRPr="00B64A41">
        <w:rPr>
          <w:rFonts w:asciiTheme="majorBidi" w:hAnsiTheme="majorBidi" w:cstheme="majorBidi"/>
        </w:rPr>
        <w:t xml:space="preserve"> 2.3 Agenda-Setting Theory: Event Dynamics and Salience</w:t>
      </w:r>
      <w:r w:rsidR="00D57C1A" w:rsidRPr="00B64A41">
        <w:rPr>
          <w:rFonts w:asciiTheme="majorBidi" w:hAnsiTheme="majorBidi" w:cstheme="majorBidi"/>
        </w:rPr>
        <w:t>,</w:t>
      </w:r>
      <w:r w:rsidR="009D7560" w:rsidRPr="00B64A41">
        <w:rPr>
          <w:rFonts w:asciiTheme="majorBidi" w:hAnsiTheme="majorBidi" w:cstheme="majorBidi"/>
        </w:rPr>
        <w:t xml:space="preserve"> </w:t>
      </w:r>
      <w:r w:rsidR="00C617A6" w:rsidRPr="00C617A6">
        <w:rPr>
          <w:rFonts w:asciiTheme="majorBidi" w:hAnsiTheme="majorBidi" w:cstheme="majorBidi"/>
        </w:rPr>
        <w:t>2.4 Algorithmic Governance: Automation and the "Human-in-the-Loop" (</w:t>
      </w:r>
      <w:proofErr w:type="spellStart"/>
      <w:r w:rsidR="00C617A6" w:rsidRPr="00C617A6">
        <w:rPr>
          <w:rFonts w:asciiTheme="majorBidi" w:hAnsiTheme="majorBidi" w:cstheme="majorBidi"/>
        </w:rPr>
        <w:t>Gorwa</w:t>
      </w:r>
      <w:proofErr w:type="spellEnd"/>
      <w:r w:rsidR="00C617A6" w:rsidRPr="00C617A6">
        <w:rPr>
          <w:rFonts w:asciiTheme="majorBidi" w:hAnsiTheme="majorBidi" w:cstheme="majorBidi"/>
        </w:rPr>
        <w:t xml:space="preserve"> et al., 2020).</w:t>
      </w:r>
    </w:p>
    <w:p w14:paraId="0270F2BE" w14:textId="483C88FA" w:rsidR="00586811" w:rsidRPr="00B64A41" w:rsidRDefault="00586811" w:rsidP="00586811">
      <w:pPr>
        <w:rPr>
          <w:rFonts w:asciiTheme="majorBidi" w:hAnsiTheme="majorBidi" w:cstheme="majorBidi"/>
        </w:rPr>
      </w:pPr>
      <w:r w:rsidRPr="00B64A41">
        <w:rPr>
          <w:rFonts w:asciiTheme="majorBidi" w:hAnsiTheme="majorBidi" w:cstheme="majorBidi"/>
          <w:b/>
          <w:bCs/>
        </w:rPr>
        <w:t>3. Data and Methodology</w:t>
      </w:r>
      <w:r w:rsidRPr="00B64A41">
        <w:rPr>
          <w:rFonts w:asciiTheme="majorBidi" w:hAnsiTheme="majorBidi" w:cstheme="majorBidi"/>
        </w:rPr>
        <w:t xml:space="preserve"> </w:t>
      </w:r>
      <w:r w:rsidR="009427FF" w:rsidRPr="00B64A41">
        <w:rPr>
          <w:rFonts w:asciiTheme="majorBidi" w:hAnsiTheme="majorBidi" w:cstheme="majorBidi"/>
        </w:rPr>
        <w:br/>
      </w:r>
      <w:r w:rsidRPr="00B64A41">
        <w:rPr>
          <w:rFonts w:asciiTheme="majorBidi" w:hAnsiTheme="majorBidi" w:cstheme="majorBidi"/>
        </w:rPr>
        <w:t>3.1 Dataset Description: The DSA Transparency Database</w:t>
      </w:r>
      <w:r w:rsidR="00D57C1A" w:rsidRPr="00B64A41">
        <w:rPr>
          <w:rFonts w:asciiTheme="majorBidi" w:hAnsiTheme="majorBidi" w:cstheme="majorBidi"/>
        </w:rPr>
        <w:t>,</w:t>
      </w:r>
      <w:r w:rsidRPr="00B64A41">
        <w:rPr>
          <w:rFonts w:asciiTheme="majorBidi" w:hAnsiTheme="majorBidi" w:cstheme="majorBidi"/>
        </w:rPr>
        <w:t xml:space="preserve"> 3.2 </w:t>
      </w:r>
      <w:r w:rsidR="00212B7C" w:rsidRPr="00B64A41">
        <w:rPr>
          <w:rFonts w:asciiTheme="majorBidi" w:hAnsiTheme="majorBidi" w:cstheme="majorBidi"/>
        </w:rPr>
        <w:t>Taxonomy Alignment: Methodological Harmonization of API v1/v2</w:t>
      </w:r>
      <w:r w:rsidR="00D57C1A" w:rsidRPr="00B64A41">
        <w:rPr>
          <w:rFonts w:asciiTheme="majorBidi" w:hAnsiTheme="majorBidi" w:cstheme="majorBidi"/>
        </w:rPr>
        <w:t>,</w:t>
      </w:r>
      <w:r w:rsidR="002C3032" w:rsidRPr="00B64A41">
        <w:rPr>
          <w:rFonts w:asciiTheme="majorBidi" w:hAnsiTheme="majorBidi" w:cstheme="majorBidi"/>
        </w:rPr>
        <w:t xml:space="preserve"> </w:t>
      </w:r>
      <w:r w:rsidRPr="00B64A41">
        <w:rPr>
          <w:rFonts w:asciiTheme="majorBidi" w:hAnsiTheme="majorBidi" w:cstheme="majorBidi"/>
        </w:rPr>
        <w:t>3.3 Research Design: Event Study (Q1 2025) vs. Annual Baseline</w:t>
      </w:r>
    </w:p>
    <w:p w14:paraId="1A92322E" w14:textId="77777777" w:rsidR="002B113F" w:rsidRDefault="002B113F" w:rsidP="002B113F">
      <w:pPr>
        <w:rPr>
          <w:rFonts w:asciiTheme="majorBidi" w:hAnsiTheme="majorBidi" w:cstheme="majorBidi"/>
          <w:b/>
          <w:bCs/>
        </w:rPr>
      </w:pPr>
    </w:p>
    <w:p w14:paraId="421D04E5" w14:textId="681F79D8" w:rsidR="00586811" w:rsidRPr="00B64A41" w:rsidRDefault="00586811" w:rsidP="002B113F">
      <w:pPr>
        <w:rPr>
          <w:rFonts w:asciiTheme="majorBidi" w:hAnsiTheme="majorBidi" w:cstheme="majorBidi"/>
        </w:rPr>
      </w:pPr>
      <w:r w:rsidRPr="00B64A41">
        <w:rPr>
          <w:rFonts w:asciiTheme="majorBidi" w:hAnsiTheme="majorBidi" w:cstheme="majorBidi"/>
          <w:b/>
          <w:bCs/>
        </w:rPr>
        <w:t>4. Empirical Analysis</w:t>
      </w:r>
      <w:r w:rsidR="009427FF" w:rsidRPr="00B64A41">
        <w:rPr>
          <w:rFonts w:asciiTheme="majorBidi" w:hAnsiTheme="majorBidi" w:cstheme="majorBidi"/>
          <w:b/>
          <w:bCs/>
        </w:rPr>
        <w:br/>
      </w:r>
      <w:r w:rsidR="002B113F" w:rsidRPr="002B113F">
        <w:rPr>
          <w:rFonts w:asciiTheme="majorBidi" w:hAnsiTheme="majorBidi" w:cstheme="majorBidi"/>
        </w:rPr>
        <w:t>4.1 Cross-Platform Comparison: Modality, Removal Categories, and Automation Patterns (TikTok vs. X), 4.2 The Election Effect: Moderation Intensity, Automation Reliance, and Reporting Granularity in Jan/Feb 2025</w:t>
      </w:r>
    </w:p>
    <w:p w14:paraId="6E51938F" w14:textId="76225712" w:rsidR="00586811" w:rsidRPr="00B64A41" w:rsidRDefault="00586811" w:rsidP="00504FF0">
      <w:pPr>
        <w:rPr>
          <w:rFonts w:asciiTheme="majorBidi" w:hAnsiTheme="majorBidi" w:cstheme="majorBidi"/>
        </w:rPr>
      </w:pPr>
      <w:r w:rsidRPr="00B64A41">
        <w:rPr>
          <w:rFonts w:asciiTheme="majorBidi" w:hAnsiTheme="majorBidi" w:cstheme="majorBidi"/>
          <w:b/>
          <w:bCs/>
        </w:rPr>
        <w:lastRenderedPageBreak/>
        <w:t>5. Discussion</w:t>
      </w:r>
      <w:r w:rsidR="009427FF" w:rsidRPr="00B64A41">
        <w:rPr>
          <w:rFonts w:asciiTheme="majorBidi" w:hAnsiTheme="majorBidi" w:cstheme="majorBidi"/>
          <w:b/>
          <w:bCs/>
        </w:rPr>
        <w:br/>
      </w:r>
      <w:r w:rsidR="00736C19" w:rsidRPr="00736C19">
        <w:rPr>
          <w:rFonts w:asciiTheme="majorBidi" w:hAnsiTheme="majorBidi" w:cstheme="majorBidi"/>
        </w:rPr>
        <w:t>5.1 Interpreting Differences through the Lens of Affordances, 5.2 Critical Evaluation of DSA Data Quality, 5.3 Limitations, 5.4 Implications for Platform Governance</w:t>
      </w:r>
    </w:p>
    <w:p w14:paraId="64DA3650" w14:textId="6E6C19A7" w:rsidR="00F41B0D" w:rsidRPr="00B64A41" w:rsidRDefault="00586811" w:rsidP="00384BC9">
      <w:pPr>
        <w:rPr>
          <w:rFonts w:asciiTheme="majorBidi" w:hAnsiTheme="majorBidi" w:cstheme="majorBidi"/>
          <w:b/>
          <w:bCs/>
        </w:rPr>
      </w:pPr>
      <w:r w:rsidRPr="00B64A41">
        <w:rPr>
          <w:rFonts w:asciiTheme="majorBidi" w:hAnsiTheme="majorBidi" w:cstheme="majorBidi"/>
          <w:b/>
          <w:bCs/>
        </w:rPr>
        <w:t xml:space="preserve">6. </w:t>
      </w:r>
      <w:r w:rsidR="00934AB4" w:rsidRPr="00B64A41">
        <w:rPr>
          <w:rFonts w:asciiTheme="majorBidi" w:hAnsiTheme="majorBidi" w:cstheme="majorBidi"/>
          <w:b/>
          <w:bCs/>
        </w:rPr>
        <w:t>Conclusion</w:t>
      </w:r>
      <w:r w:rsidR="00F41B0D" w:rsidRPr="00B64A41">
        <w:rPr>
          <w:rFonts w:asciiTheme="majorBidi" w:hAnsiTheme="majorBidi" w:cstheme="majorBidi"/>
          <w:b/>
          <w:bCs/>
        </w:rPr>
        <w:br w:type="page"/>
      </w:r>
    </w:p>
    <w:p w14:paraId="27061AB3" w14:textId="5955B2C9" w:rsidR="00F41B0D" w:rsidRPr="00B64A41" w:rsidRDefault="00A76EE4" w:rsidP="00A76EE4">
      <w:pPr>
        <w:pStyle w:val="Heading1"/>
        <w:rPr>
          <w:rFonts w:asciiTheme="majorBidi" w:hAnsiTheme="majorBidi"/>
          <w:color w:val="auto"/>
        </w:rPr>
      </w:pPr>
      <w:r w:rsidRPr="00B64A41">
        <w:rPr>
          <w:rFonts w:asciiTheme="majorBidi" w:hAnsiTheme="majorBidi"/>
          <w:color w:val="auto"/>
        </w:rPr>
        <w:lastRenderedPageBreak/>
        <w:t>References</w:t>
      </w:r>
    </w:p>
    <w:p w14:paraId="3746E151" w14:textId="77777777" w:rsidR="00B30832" w:rsidRPr="003309E4" w:rsidRDefault="00B30832" w:rsidP="00B30832">
      <w:pPr>
        <w:rPr>
          <w:rFonts w:asciiTheme="majorBidi" w:hAnsiTheme="majorBidi" w:cstheme="majorBidi"/>
          <w:sz w:val="20"/>
          <w:szCs w:val="20"/>
        </w:rPr>
      </w:pPr>
    </w:p>
    <w:p w14:paraId="4286C3D3" w14:textId="77777777" w:rsidR="007812F9" w:rsidRPr="003309E4" w:rsidRDefault="007812F9" w:rsidP="007812F9">
      <w:pPr>
        <w:pStyle w:val="NormalWeb"/>
        <w:rPr>
          <w:sz w:val="22"/>
          <w:szCs w:val="22"/>
          <w:lang w:val="en-US"/>
        </w:rPr>
      </w:pPr>
      <w:r w:rsidRPr="003309E4">
        <w:rPr>
          <w:sz w:val="22"/>
          <w:szCs w:val="22"/>
          <w:lang w:val="en-US"/>
        </w:rPr>
        <w:t xml:space="preserve">Bucher, T., &amp; Helmond, A. (2017). The affordances of social media platforms. In J. Burgess, A. Marwick, &amp; T. Poell (Eds.), </w:t>
      </w:r>
      <w:r w:rsidRPr="003309E4">
        <w:rPr>
          <w:i/>
          <w:iCs/>
          <w:sz w:val="22"/>
          <w:szCs w:val="22"/>
          <w:lang w:val="en-US"/>
        </w:rPr>
        <w:t xml:space="preserve">The SAGE Handbook of </w:t>
      </w:r>
      <w:proofErr w:type="gramStart"/>
      <w:r w:rsidRPr="003309E4">
        <w:rPr>
          <w:i/>
          <w:iCs/>
          <w:sz w:val="22"/>
          <w:szCs w:val="22"/>
          <w:lang w:val="en-US"/>
        </w:rPr>
        <w:t>Social Media</w:t>
      </w:r>
      <w:proofErr w:type="gramEnd"/>
      <w:r w:rsidRPr="003309E4">
        <w:rPr>
          <w:sz w:val="22"/>
          <w:szCs w:val="22"/>
          <w:lang w:val="en-US"/>
        </w:rPr>
        <w:t xml:space="preserve"> (pp. 233–253). SAGE Publications.</w:t>
      </w:r>
    </w:p>
    <w:p w14:paraId="47134467" w14:textId="77777777" w:rsidR="007812F9" w:rsidRPr="003309E4" w:rsidRDefault="007812F9" w:rsidP="007812F9">
      <w:pPr>
        <w:pStyle w:val="NormalWeb"/>
        <w:rPr>
          <w:sz w:val="22"/>
          <w:szCs w:val="22"/>
          <w:lang w:val="en-US"/>
        </w:rPr>
      </w:pPr>
      <w:proofErr w:type="spellStart"/>
      <w:r w:rsidRPr="003309E4">
        <w:rPr>
          <w:sz w:val="22"/>
          <w:szCs w:val="22"/>
          <w:lang w:val="en-US"/>
        </w:rPr>
        <w:t>Drolsbach</w:t>
      </w:r>
      <w:proofErr w:type="spellEnd"/>
      <w:r w:rsidRPr="003309E4">
        <w:rPr>
          <w:sz w:val="22"/>
          <w:szCs w:val="22"/>
          <w:lang w:val="en-US"/>
        </w:rPr>
        <w:t xml:space="preserve">, C. P., &amp; </w:t>
      </w:r>
      <w:proofErr w:type="spellStart"/>
      <w:r w:rsidRPr="003309E4">
        <w:rPr>
          <w:sz w:val="22"/>
          <w:szCs w:val="22"/>
          <w:lang w:val="en-US"/>
        </w:rPr>
        <w:t>Pröllochs</w:t>
      </w:r>
      <w:proofErr w:type="spellEnd"/>
      <w:r w:rsidRPr="003309E4">
        <w:rPr>
          <w:sz w:val="22"/>
          <w:szCs w:val="22"/>
          <w:lang w:val="en-US"/>
        </w:rPr>
        <w:t xml:space="preserve">, N. (2024). Content moderation on social media in the EU: Insights from the DSA Transparency Database. </w:t>
      </w:r>
      <w:r w:rsidRPr="003309E4">
        <w:rPr>
          <w:i/>
          <w:iCs/>
          <w:sz w:val="22"/>
          <w:szCs w:val="22"/>
          <w:lang w:val="en-US"/>
        </w:rPr>
        <w:t>Companion Proceedings of the ACM Web Conference 2024</w:t>
      </w:r>
      <w:r w:rsidRPr="003309E4">
        <w:rPr>
          <w:sz w:val="22"/>
          <w:szCs w:val="22"/>
          <w:lang w:val="en-US"/>
        </w:rPr>
        <w:t>, 939–942.</w:t>
      </w:r>
    </w:p>
    <w:p w14:paraId="4933F996" w14:textId="77777777" w:rsidR="007812F9" w:rsidRPr="003309E4" w:rsidRDefault="007812F9" w:rsidP="007812F9">
      <w:pPr>
        <w:pStyle w:val="NormalWeb"/>
        <w:rPr>
          <w:sz w:val="22"/>
          <w:szCs w:val="22"/>
          <w:lang w:val="en-US"/>
        </w:rPr>
      </w:pPr>
      <w:r w:rsidRPr="003309E4">
        <w:rPr>
          <w:sz w:val="22"/>
          <w:szCs w:val="22"/>
          <w:lang w:val="en-US"/>
        </w:rPr>
        <w:t xml:space="preserve">Feezell, J. T. (2018). Agenda setting through social media: The importance of incidental news exposure and social filtering in the digital era. </w:t>
      </w:r>
      <w:r w:rsidRPr="003309E4">
        <w:rPr>
          <w:i/>
          <w:iCs/>
          <w:sz w:val="22"/>
          <w:szCs w:val="22"/>
          <w:lang w:val="en-US"/>
        </w:rPr>
        <w:t>Political Research Quarterly</w:t>
      </w:r>
      <w:r w:rsidRPr="003309E4">
        <w:rPr>
          <w:sz w:val="22"/>
          <w:szCs w:val="22"/>
          <w:lang w:val="en-US"/>
        </w:rPr>
        <w:t>, 71(2), 482–494.</w:t>
      </w:r>
    </w:p>
    <w:p w14:paraId="69FAC4FC" w14:textId="77777777" w:rsidR="007812F9" w:rsidRPr="003309E4" w:rsidRDefault="007812F9" w:rsidP="007812F9">
      <w:pPr>
        <w:pStyle w:val="NormalWeb"/>
        <w:rPr>
          <w:sz w:val="22"/>
          <w:szCs w:val="22"/>
          <w:lang w:val="en-US"/>
        </w:rPr>
      </w:pPr>
      <w:proofErr w:type="spellStart"/>
      <w:r w:rsidRPr="003309E4">
        <w:rPr>
          <w:sz w:val="22"/>
          <w:szCs w:val="22"/>
          <w:lang w:val="en-US"/>
        </w:rPr>
        <w:t>Gorwa</w:t>
      </w:r>
      <w:proofErr w:type="spellEnd"/>
      <w:r w:rsidRPr="003309E4">
        <w:rPr>
          <w:sz w:val="22"/>
          <w:szCs w:val="22"/>
          <w:lang w:val="en-US"/>
        </w:rPr>
        <w:t xml:space="preserve">, R., Binns, R., &amp; Katzenbach, C. (2020). Algorithmic content moderation: Technical and political challenges in the automation of platform governance. </w:t>
      </w:r>
      <w:r w:rsidRPr="003309E4">
        <w:rPr>
          <w:i/>
          <w:iCs/>
          <w:sz w:val="22"/>
          <w:szCs w:val="22"/>
          <w:lang w:val="en-US"/>
        </w:rPr>
        <w:t>Big Data &amp; Society</w:t>
      </w:r>
      <w:r w:rsidRPr="003309E4">
        <w:rPr>
          <w:sz w:val="22"/>
          <w:szCs w:val="22"/>
          <w:lang w:val="en-US"/>
        </w:rPr>
        <w:t>, 7(1), 1–15.</w:t>
      </w:r>
    </w:p>
    <w:p w14:paraId="5463DB0D" w14:textId="73655004" w:rsidR="007812F9" w:rsidRPr="003309E4" w:rsidRDefault="007812F9" w:rsidP="007812F9">
      <w:pPr>
        <w:pStyle w:val="NormalWeb"/>
        <w:rPr>
          <w:sz w:val="22"/>
          <w:szCs w:val="22"/>
          <w:lang w:val="en-US"/>
        </w:rPr>
      </w:pPr>
      <w:r w:rsidRPr="003309E4">
        <w:rPr>
          <w:sz w:val="22"/>
          <w:szCs w:val="22"/>
          <w:lang w:val="en-US"/>
        </w:rPr>
        <w:t>Groesch, M., et al. (2026). Big data, small answers: How the DSA Transparency Database falls short of its regulatory objectives.</w:t>
      </w:r>
    </w:p>
    <w:p w14:paraId="15D763F5" w14:textId="77777777" w:rsidR="007812F9" w:rsidRPr="003309E4" w:rsidRDefault="007812F9" w:rsidP="007812F9">
      <w:pPr>
        <w:pStyle w:val="NormalWeb"/>
        <w:rPr>
          <w:sz w:val="22"/>
          <w:szCs w:val="22"/>
          <w:lang w:val="en-US"/>
        </w:rPr>
      </w:pPr>
      <w:r w:rsidRPr="003309E4">
        <w:rPr>
          <w:sz w:val="22"/>
          <w:szCs w:val="22"/>
          <w:lang w:val="en-US"/>
        </w:rPr>
        <w:t xml:space="preserve">McCombs, M. E., &amp; Shaw, D. L. (1972). The agenda-setting function of mass media. </w:t>
      </w:r>
      <w:r w:rsidRPr="003309E4">
        <w:rPr>
          <w:i/>
          <w:iCs/>
          <w:sz w:val="22"/>
          <w:szCs w:val="22"/>
          <w:lang w:val="en-US"/>
        </w:rPr>
        <w:t>Public Opinion Quarterly</w:t>
      </w:r>
      <w:r w:rsidRPr="003309E4">
        <w:rPr>
          <w:sz w:val="22"/>
          <w:szCs w:val="22"/>
          <w:lang w:val="en-US"/>
        </w:rPr>
        <w:t>, 36(2), 176–187.</w:t>
      </w:r>
    </w:p>
    <w:p w14:paraId="03226681" w14:textId="321F6475" w:rsidR="007812F9" w:rsidRPr="003309E4" w:rsidRDefault="007812F9" w:rsidP="007812F9">
      <w:pPr>
        <w:pStyle w:val="NormalWeb"/>
        <w:rPr>
          <w:sz w:val="22"/>
          <w:szCs w:val="22"/>
          <w:lang w:val="en-US"/>
        </w:rPr>
      </w:pPr>
      <w:r w:rsidRPr="003309E4">
        <w:rPr>
          <w:sz w:val="22"/>
          <w:szCs w:val="22"/>
          <w:lang w:val="en-US"/>
        </w:rPr>
        <w:t xml:space="preserve">Shahi, G. K., Tessa, B., Trujillo, A., &amp; Cresci, S. (2025). A year of the DSA Transparency Database: What it (does not) reveal about platform moderation during the 2024 European Parliament election. </w:t>
      </w:r>
    </w:p>
    <w:p w14:paraId="565E2843" w14:textId="05C3C5C5" w:rsidR="00F41B0D" w:rsidRPr="003309E4" w:rsidRDefault="00F41B0D" w:rsidP="007812F9">
      <w:pPr>
        <w:rPr>
          <w:rFonts w:asciiTheme="majorBidi" w:hAnsiTheme="majorBidi" w:cstheme="majorBidi"/>
          <w:sz w:val="20"/>
          <w:szCs w:val="20"/>
        </w:rPr>
      </w:pPr>
    </w:p>
    <w:sectPr w:rsidR="00F41B0D" w:rsidRPr="003309E4" w:rsidSect="008F28C8">
      <w:headerReference w:type="even" r:id="rId8"/>
      <w:headerReference w:type="default" r:id="rId9"/>
      <w:footerReference w:type="even" r:id="rId10"/>
      <w:footerReference w:type="default" r:id="rId11"/>
      <w:headerReference w:type="first" r:id="rId12"/>
      <w:footerReference w:type="first" r:id="rId13"/>
      <w:pgSz w:w="11906" w:h="16838"/>
      <w:pgMar w:top="42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0E81D" w14:textId="77777777" w:rsidR="002F52BB" w:rsidRDefault="002F52BB" w:rsidP="009F01EA">
      <w:pPr>
        <w:spacing w:after="0" w:line="240" w:lineRule="auto"/>
      </w:pPr>
      <w:r>
        <w:separator/>
      </w:r>
    </w:p>
  </w:endnote>
  <w:endnote w:type="continuationSeparator" w:id="0">
    <w:p w14:paraId="1BBD57D3" w14:textId="77777777" w:rsidR="002F52BB" w:rsidRDefault="002F52BB" w:rsidP="009F0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8219" w14:textId="77777777" w:rsidR="006F1A17" w:rsidRDefault="006F1A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E423" w14:textId="77777777" w:rsidR="006F1A17" w:rsidRDefault="006F1A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D841" w14:textId="77777777" w:rsidR="006F1A17" w:rsidRDefault="006F1A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EA235" w14:textId="77777777" w:rsidR="002F52BB" w:rsidRDefault="002F52BB" w:rsidP="009F01EA">
      <w:pPr>
        <w:spacing w:after="0" w:line="240" w:lineRule="auto"/>
      </w:pPr>
      <w:r>
        <w:separator/>
      </w:r>
    </w:p>
  </w:footnote>
  <w:footnote w:type="continuationSeparator" w:id="0">
    <w:p w14:paraId="44A27973" w14:textId="77777777" w:rsidR="002F52BB" w:rsidRDefault="002F52BB" w:rsidP="009F0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3D31" w14:textId="77777777" w:rsidR="006F1A17" w:rsidRDefault="006F1A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C3CC4" w14:textId="2C1F4432" w:rsidR="006F1A17" w:rsidRPr="004E4001" w:rsidRDefault="006F1A17" w:rsidP="007B524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B962" w14:textId="77777777" w:rsidR="006F1A17" w:rsidRDefault="006F1A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E5D"/>
    <w:multiLevelType w:val="multilevel"/>
    <w:tmpl w:val="565C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D2371"/>
    <w:multiLevelType w:val="multilevel"/>
    <w:tmpl w:val="AC18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D33C9"/>
    <w:multiLevelType w:val="multilevel"/>
    <w:tmpl w:val="E9AC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453E6"/>
    <w:multiLevelType w:val="multilevel"/>
    <w:tmpl w:val="DA50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D4022"/>
    <w:multiLevelType w:val="multilevel"/>
    <w:tmpl w:val="273C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E6429"/>
    <w:multiLevelType w:val="multilevel"/>
    <w:tmpl w:val="9D8A3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802E6"/>
    <w:multiLevelType w:val="multilevel"/>
    <w:tmpl w:val="A808E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10492"/>
    <w:multiLevelType w:val="multilevel"/>
    <w:tmpl w:val="EFC4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081B6F"/>
    <w:multiLevelType w:val="multilevel"/>
    <w:tmpl w:val="5698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E2195"/>
    <w:multiLevelType w:val="multilevel"/>
    <w:tmpl w:val="0D5CD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414A1"/>
    <w:multiLevelType w:val="multilevel"/>
    <w:tmpl w:val="4C245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D5AA1"/>
    <w:multiLevelType w:val="hybridMultilevel"/>
    <w:tmpl w:val="D49ABF56"/>
    <w:lvl w:ilvl="0" w:tplc="2AA8FB42">
      <w:start w:val="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F324DBE"/>
    <w:multiLevelType w:val="multilevel"/>
    <w:tmpl w:val="0BC62D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7517D9"/>
    <w:multiLevelType w:val="multilevel"/>
    <w:tmpl w:val="152CA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4F63F1"/>
    <w:multiLevelType w:val="multilevel"/>
    <w:tmpl w:val="BBBA7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CE69EB"/>
    <w:multiLevelType w:val="multilevel"/>
    <w:tmpl w:val="60E2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C0ACA"/>
    <w:multiLevelType w:val="multilevel"/>
    <w:tmpl w:val="3FC4C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757957">
    <w:abstractNumId w:val="8"/>
  </w:num>
  <w:num w:numId="2" w16cid:durableId="1037318441">
    <w:abstractNumId w:val="14"/>
  </w:num>
  <w:num w:numId="3" w16cid:durableId="1406420412">
    <w:abstractNumId w:val="4"/>
  </w:num>
  <w:num w:numId="4" w16cid:durableId="1561593771">
    <w:abstractNumId w:val="1"/>
  </w:num>
  <w:num w:numId="5" w16cid:durableId="584844217">
    <w:abstractNumId w:val="15"/>
  </w:num>
  <w:num w:numId="6" w16cid:durableId="498351841">
    <w:abstractNumId w:val="2"/>
  </w:num>
  <w:num w:numId="7" w16cid:durableId="920485044">
    <w:abstractNumId w:val="3"/>
  </w:num>
  <w:num w:numId="8" w16cid:durableId="898901682">
    <w:abstractNumId w:val="13"/>
  </w:num>
  <w:num w:numId="9" w16cid:durableId="1613509142">
    <w:abstractNumId w:val="7"/>
  </w:num>
  <w:num w:numId="10" w16cid:durableId="419915810">
    <w:abstractNumId w:val="10"/>
  </w:num>
  <w:num w:numId="11" w16cid:durableId="1999964552">
    <w:abstractNumId w:val="6"/>
  </w:num>
  <w:num w:numId="12" w16cid:durableId="378480103">
    <w:abstractNumId w:val="16"/>
  </w:num>
  <w:num w:numId="13" w16cid:durableId="631642944">
    <w:abstractNumId w:val="9"/>
  </w:num>
  <w:num w:numId="14" w16cid:durableId="798497468">
    <w:abstractNumId w:val="5"/>
  </w:num>
  <w:num w:numId="15" w16cid:durableId="36248290">
    <w:abstractNumId w:val="11"/>
  </w:num>
  <w:num w:numId="16" w16cid:durableId="1586961750">
    <w:abstractNumId w:val="0"/>
  </w:num>
  <w:num w:numId="17" w16cid:durableId="6484387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86"/>
    <w:rsid w:val="000134C3"/>
    <w:rsid w:val="00021897"/>
    <w:rsid w:val="00043FC0"/>
    <w:rsid w:val="00087F70"/>
    <w:rsid w:val="0014083A"/>
    <w:rsid w:val="00154B1F"/>
    <w:rsid w:val="00197564"/>
    <w:rsid w:val="001A3157"/>
    <w:rsid w:val="001B6778"/>
    <w:rsid w:val="001D26FB"/>
    <w:rsid w:val="001F16E5"/>
    <w:rsid w:val="001F70D1"/>
    <w:rsid w:val="00212B7C"/>
    <w:rsid w:val="00251602"/>
    <w:rsid w:val="002A3483"/>
    <w:rsid w:val="002A4307"/>
    <w:rsid w:val="002B113F"/>
    <w:rsid w:val="002B1FBD"/>
    <w:rsid w:val="002C002A"/>
    <w:rsid w:val="002C3032"/>
    <w:rsid w:val="002D39FC"/>
    <w:rsid w:val="002E0E65"/>
    <w:rsid w:val="002E303B"/>
    <w:rsid w:val="002F52BB"/>
    <w:rsid w:val="00310CAE"/>
    <w:rsid w:val="003309E4"/>
    <w:rsid w:val="003433E3"/>
    <w:rsid w:val="003771C6"/>
    <w:rsid w:val="00384BC9"/>
    <w:rsid w:val="003B1933"/>
    <w:rsid w:val="003D0221"/>
    <w:rsid w:val="003D32BC"/>
    <w:rsid w:val="003F3C53"/>
    <w:rsid w:val="00411AB8"/>
    <w:rsid w:val="004153A5"/>
    <w:rsid w:val="00435EF9"/>
    <w:rsid w:val="00472486"/>
    <w:rsid w:val="00482F78"/>
    <w:rsid w:val="004864E5"/>
    <w:rsid w:val="004B55A7"/>
    <w:rsid w:val="004E4001"/>
    <w:rsid w:val="004E7F94"/>
    <w:rsid w:val="004F65E7"/>
    <w:rsid w:val="004F71BC"/>
    <w:rsid w:val="00504FF0"/>
    <w:rsid w:val="00505A3D"/>
    <w:rsid w:val="00506391"/>
    <w:rsid w:val="005330D5"/>
    <w:rsid w:val="005523C5"/>
    <w:rsid w:val="00556BF8"/>
    <w:rsid w:val="005607A2"/>
    <w:rsid w:val="00586811"/>
    <w:rsid w:val="005D34EF"/>
    <w:rsid w:val="005D4829"/>
    <w:rsid w:val="005D7843"/>
    <w:rsid w:val="005E5C4B"/>
    <w:rsid w:val="00637ED7"/>
    <w:rsid w:val="00640722"/>
    <w:rsid w:val="00655424"/>
    <w:rsid w:val="00656884"/>
    <w:rsid w:val="00661C10"/>
    <w:rsid w:val="006A389B"/>
    <w:rsid w:val="006F1A17"/>
    <w:rsid w:val="00700D84"/>
    <w:rsid w:val="00722028"/>
    <w:rsid w:val="00736C19"/>
    <w:rsid w:val="00755DF3"/>
    <w:rsid w:val="00771A46"/>
    <w:rsid w:val="007812F9"/>
    <w:rsid w:val="00787E44"/>
    <w:rsid w:val="007B4140"/>
    <w:rsid w:val="007B5249"/>
    <w:rsid w:val="007C2479"/>
    <w:rsid w:val="007F6A76"/>
    <w:rsid w:val="00812537"/>
    <w:rsid w:val="00816C7C"/>
    <w:rsid w:val="00823000"/>
    <w:rsid w:val="00862A4B"/>
    <w:rsid w:val="00873C7E"/>
    <w:rsid w:val="008A2C28"/>
    <w:rsid w:val="008B0F19"/>
    <w:rsid w:val="008B493B"/>
    <w:rsid w:val="008F28C8"/>
    <w:rsid w:val="009062F8"/>
    <w:rsid w:val="0091479A"/>
    <w:rsid w:val="009159A6"/>
    <w:rsid w:val="00924EC7"/>
    <w:rsid w:val="00927186"/>
    <w:rsid w:val="00931DD6"/>
    <w:rsid w:val="00934AB4"/>
    <w:rsid w:val="009427FF"/>
    <w:rsid w:val="00964A0B"/>
    <w:rsid w:val="009732BF"/>
    <w:rsid w:val="009801B5"/>
    <w:rsid w:val="00983697"/>
    <w:rsid w:val="00995472"/>
    <w:rsid w:val="009A054F"/>
    <w:rsid w:val="009A5D1B"/>
    <w:rsid w:val="009D7560"/>
    <w:rsid w:val="009F01EA"/>
    <w:rsid w:val="00A226C6"/>
    <w:rsid w:val="00A33386"/>
    <w:rsid w:val="00A540D6"/>
    <w:rsid w:val="00A55D8E"/>
    <w:rsid w:val="00A76EE4"/>
    <w:rsid w:val="00A870BC"/>
    <w:rsid w:val="00AA33E7"/>
    <w:rsid w:val="00AA4608"/>
    <w:rsid w:val="00AA6F64"/>
    <w:rsid w:val="00AB2EF1"/>
    <w:rsid w:val="00AD6D1A"/>
    <w:rsid w:val="00B0277C"/>
    <w:rsid w:val="00B22DBA"/>
    <w:rsid w:val="00B30832"/>
    <w:rsid w:val="00B3408B"/>
    <w:rsid w:val="00B52264"/>
    <w:rsid w:val="00B55A07"/>
    <w:rsid w:val="00B64A41"/>
    <w:rsid w:val="00B83D69"/>
    <w:rsid w:val="00B85B43"/>
    <w:rsid w:val="00BA444B"/>
    <w:rsid w:val="00BC5825"/>
    <w:rsid w:val="00BC7609"/>
    <w:rsid w:val="00BF0A24"/>
    <w:rsid w:val="00BF1AB2"/>
    <w:rsid w:val="00BF56E7"/>
    <w:rsid w:val="00BF6565"/>
    <w:rsid w:val="00C278A0"/>
    <w:rsid w:val="00C30CBD"/>
    <w:rsid w:val="00C425A2"/>
    <w:rsid w:val="00C60E92"/>
    <w:rsid w:val="00C617A6"/>
    <w:rsid w:val="00C67BF6"/>
    <w:rsid w:val="00C71593"/>
    <w:rsid w:val="00CF43C6"/>
    <w:rsid w:val="00D124C9"/>
    <w:rsid w:val="00D17C51"/>
    <w:rsid w:val="00D26014"/>
    <w:rsid w:val="00D33FA4"/>
    <w:rsid w:val="00D52C68"/>
    <w:rsid w:val="00D57C1A"/>
    <w:rsid w:val="00D63989"/>
    <w:rsid w:val="00D84C49"/>
    <w:rsid w:val="00DA3634"/>
    <w:rsid w:val="00DB01AA"/>
    <w:rsid w:val="00E3498B"/>
    <w:rsid w:val="00E43C15"/>
    <w:rsid w:val="00E801D6"/>
    <w:rsid w:val="00EA436D"/>
    <w:rsid w:val="00EA58E7"/>
    <w:rsid w:val="00EA60A0"/>
    <w:rsid w:val="00EA7732"/>
    <w:rsid w:val="00EF60DB"/>
    <w:rsid w:val="00F07E29"/>
    <w:rsid w:val="00F220F9"/>
    <w:rsid w:val="00F369BB"/>
    <w:rsid w:val="00F41B0D"/>
    <w:rsid w:val="00F57068"/>
    <w:rsid w:val="00F76AD4"/>
    <w:rsid w:val="00F82E02"/>
    <w:rsid w:val="00FA08AA"/>
    <w:rsid w:val="00FD4EA0"/>
    <w:rsid w:val="00FE28B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8BB6B"/>
  <w15:chartTrackingRefBased/>
  <w15:docId w15:val="{2A56B994-0656-452D-9F7E-C8118E074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186"/>
    <w:rPr>
      <w:rFonts w:eastAsiaTheme="majorEastAsia" w:cstheme="majorBidi"/>
      <w:color w:val="272727" w:themeColor="text1" w:themeTint="D8"/>
    </w:rPr>
  </w:style>
  <w:style w:type="paragraph" w:styleId="Title">
    <w:name w:val="Title"/>
    <w:basedOn w:val="Normal"/>
    <w:next w:val="Normal"/>
    <w:link w:val="TitleChar"/>
    <w:uiPriority w:val="10"/>
    <w:qFormat/>
    <w:rsid w:val="00927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186"/>
    <w:pPr>
      <w:spacing w:before="160"/>
      <w:jc w:val="center"/>
    </w:pPr>
    <w:rPr>
      <w:i/>
      <w:iCs/>
      <w:color w:val="404040" w:themeColor="text1" w:themeTint="BF"/>
    </w:rPr>
  </w:style>
  <w:style w:type="character" w:customStyle="1" w:styleId="QuoteChar">
    <w:name w:val="Quote Char"/>
    <w:basedOn w:val="DefaultParagraphFont"/>
    <w:link w:val="Quote"/>
    <w:uiPriority w:val="29"/>
    <w:rsid w:val="00927186"/>
    <w:rPr>
      <w:i/>
      <w:iCs/>
      <w:color w:val="404040" w:themeColor="text1" w:themeTint="BF"/>
    </w:rPr>
  </w:style>
  <w:style w:type="paragraph" w:styleId="ListParagraph">
    <w:name w:val="List Paragraph"/>
    <w:basedOn w:val="Normal"/>
    <w:uiPriority w:val="34"/>
    <w:qFormat/>
    <w:rsid w:val="00927186"/>
    <w:pPr>
      <w:ind w:left="720"/>
      <w:contextualSpacing/>
    </w:pPr>
  </w:style>
  <w:style w:type="character" w:styleId="IntenseEmphasis">
    <w:name w:val="Intense Emphasis"/>
    <w:basedOn w:val="DefaultParagraphFont"/>
    <w:uiPriority w:val="21"/>
    <w:qFormat/>
    <w:rsid w:val="00927186"/>
    <w:rPr>
      <w:i/>
      <w:iCs/>
      <w:color w:val="0F4761" w:themeColor="accent1" w:themeShade="BF"/>
    </w:rPr>
  </w:style>
  <w:style w:type="paragraph" w:styleId="IntenseQuote">
    <w:name w:val="Intense Quote"/>
    <w:basedOn w:val="Normal"/>
    <w:next w:val="Normal"/>
    <w:link w:val="IntenseQuoteChar"/>
    <w:uiPriority w:val="30"/>
    <w:qFormat/>
    <w:rsid w:val="00927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186"/>
    <w:rPr>
      <w:i/>
      <w:iCs/>
      <w:color w:val="0F4761" w:themeColor="accent1" w:themeShade="BF"/>
    </w:rPr>
  </w:style>
  <w:style w:type="character" w:styleId="IntenseReference">
    <w:name w:val="Intense Reference"/>
    <w:basedOn w:val="DefaultParagraphFont"/>
    <w:uiPriority w:val="32"/>
    <w:qFormat/>
    <w:rsid w:val="00927186"/>
    <w:rPr>
      <w:b/>
      <w:bCs/>
      <w:smallCaps/>
      <w:color w:val="0F4761" w:themeColor="accent1" w:themeShade="BF"/>
      <w:spacing w:val="5"/>
    </w:rPr>
  </w:style>
  <w:style w:type="paragraph" w:styleId="Header">
    <w:name w:val="header"/>
    <w:basedOn w:val="Normal"/>
    <w:link w:val="HeaderChar"/>
    <w:uiPriority w:val="99"/>
    <w:unhideWhenUsed/>
    <w:rsid w:val="009F01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1EA"/>
  </w:style>
  <w:style w:type="paragraph" w:styleId="Footer">
    <w:name w:val="footer"/>
    <w:basedOn w:val="Normal"/>
    <w:link w:val="FooterChar"/>
    <w:uiPriority w:val="99"/>
    <w:unhideWhenUsed/>
    <w:rsid w:val="009F01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1EA"/>
  </w:style>
  <w:style w:type="paragraph" w:styleId="NormalWeb">
    <w:name w:val="Normal (Web)"/>
    <w:basedOn w:val="Normal"/>
    <w:uiPriority w:val="99"/>
    <w:unhideWhenUsed/>
    <w:rsid w:val="004B55A7"/>
    <w:pPr>
      <w:spacing w:before="100" w:beforeAutospacing="1" w:after="100" w:afterAutospacing="1" w:line="240" w:lineRule="auto"/>
    </w:pPr>
    <w:rPr>
      <w:rFonts w:ascii="Times New Roman" w:eastAsia="Times New Roman" w:hAnsi="Times New Roman" w:cs="Times New Roman"/>
      <w:kern w:val="0"/>
      <w:sz w:val="24"/>
      <w:szCs w:val="24"/>
      <w:lang w:val="de-DE"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683A4-4943-4871-B965-F29542DAA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1044</Words>
  <Characters>6578</Characters>
  <Application>Microsoft Office Word</Application>
  <DocSecurity>0</DocSecurity>
  <Lines>54</Lines>
  <Paragraphs>15</Paragraphs>
  <ScaleCrop>false</ScaleCrop>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Zahedi</dc:creator>
  <cp:keywords/>
  <dc:description/>
  <cp:lastModifiedBy>Mohsen Zahedi</cp:lastModifiedBy>
  <cp:revision>140</cp:revision>
  <cp:lastPrinted>2026-04-22T22:48:00Z</cp:lastPrinted>
  <dcterms:created xsi:type="dcterms:W3CDTF">2026-01-11T22:15:00Z</dcterms:created>
  <dcterms:modified xsi:type="dcterms:W3CDTF">2026-04-30T11:04:00Z</dcterms:modified>
</cp:coreProperties>
</file>