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Порядок обработки и защиты данных НаТреню</w:t>
      </w:r>
    </w:p>
    <w:p>
      <w:r>
        <w:t>Проект внутреннего документа от 8 сентября 2026 года. Версия INTERNAL-2026-09-08. Утверждаю: Захаров Матвей Владимирович. Дата утверждения проставляется оператором при подписании: ____________________. Подпись: ____________________.</w:t>
      </w:r>
    </w:p>
    <w:p>
      <w:r>
        <w:t>Порядок предназначен оператору — индивидуальному предпринимателю на НПД. Он определяет действия с данными, доступами, обращениями и инцидентами. Это принимаемые правила работы, а не подтверждение, что все перечисленные меры уже реализованы. Перед утверждением проводится проверка исполнения по документу 00.</w:t>
      </w:r>
    </w:p>
    <w:p>
      <w:pPr>
        <w:pStyle w:val="Heading1"/>
      </w:pPr>
      <w:r>
        <w:t>1 Область и ответственность</w:t>
      </w:r>
    </w:p>
    <w:p>
      <w:r>
        <w:t>Оператор — индивидуальный предприниматель Захаров Матвей Владимирович, ИНН 471803649801, ОГРНИП 326470400131678, адрес 187420, Россия, г. Сясьстрой, ул. Космонавтов, д. 8, кв. 15, email support@sportsearch.shop, телефон для оперативной связи +7 921 402-47-29. Он лично разрабатывает сервис и является единственным лицом со стороны владельца с административным доступом к данным. Работники и отдельные разработчики с доступом не привлечены. Техническая обработка облаком, почтовыми, картографическими и Apple-сервисами учитывается отдельно. Он принимает решения о целях и средствах обработки и контролирует выполнение настоящего порядка.</w:t>
      </w:r>
    </w:p>
    <w:p>
      <w:r>
        <w:t>Назначение отдельного сотрудника приказом не имитируется. При привлечении подрядчиков их лица, задачи, доступы и договорные обязанности вносятся в реестр. Изменение статуса оператора на юридическое лицо требует пересмотра организационных обязанностей.</w:t>
      </w:r>
    </w:p>
    <w:p>
      <w:r>
        <w:t>Обрабатываются только сведения, соответствующие заявленным целям. Обязательные данные договорных функций, необязательная обработка по согласию и распространение различаются в учёте и технических разрешениях.</w:t>
      </w:r>
    </w:p>
    <w:p>
      <w:pPr>
        <w:pStyle w:val="Heading1"/>
      </w:pPr>
      <w:r>
        <w:t>2 Учёт систем и оснований</w:t>
      </w:r>
    </w:p>
    <w:p>
      <w:r>
        <w:t>Оператор ведёт реестр: система или хранилище; категории субъектов и данных; цель; основание; действия; получатели; страна и адрес размещения; срок; способ удаления; фактический доступ. Реестр включает сервер, PostgreSQL, Redis, медиа, почту, SMS-коды входа (SMS.ru), вход через VK ID, push, геокодирование, журналы, резервные копии и административные выгрузки.</w:t>
      </w:r>
    </w:p>
    <w:p>
      <w:r>
        <w:t>По договорам с обработчиками проверяются перечень данных и действий, цель, конфиденциальность, меры защиты, содействие в исполнении прав пользователей, порядок информирования об инциденте, удаление по завершении поручения и подтверждение выполнения обязанностей. Самостоятельные операторы выделяются отдельно.</w:t>
      </w:r>
    </w:p>
    <w:p>
      <w:r>
        <w:t>Трансграничные потоки фиксируются независимо от местонахождения основной базы. До их начала проводится проверка статьи 12 закона № 152-ФЗ в действующей редакции, состава государств и получателей, оснований, уведомления и возможных ограничений. Не используется предположение, что любой иностранный поставщик допустим после обычной галочки пользователя.</w:t>
      </w:r>
    </w:p>
    <w:p>
      <w:pPr>
        <w:pStyle w:val="Heading1"/>
      </w:pPr>
      <w:r>
        <w:t>3 Согласия и распространение</w:t>
      </w:r>
    </w:p>
    <w:p>
      <w:r>
        <w:t>Для каждого подтверждения сохраняются аккаунт, версия полного текста, дата и время, способ подтверждения и выбранная цель. Для распространения дополнительно сохраняются необходимые ФИО и контакт субъекта, ресурсы, конкретные поля и материалы, аудитория, условия, запреты и срок. Сохраняется неизменяемый экземпляр текста или контрольная сумма со ссылкой на архив текста.</w:t>
      </w:r>
    </w:p>
    <w:p>
      <w:r>
        <w:t>Новые анкеты не допускаются к соответствующему распространению до действительного выбора. Старая общая отметка не переносится автоматически в новые раздельные согласия. При отзыве сначала прекращается запрещённая обработка или публичный доступ, затем выполняется удаление по применимым срокам и основаниям.</w:t>
      </w:r>
    </w:p>
    <w:p>
      <w:r>
        <w:t>Условия и запреты на распространение размещаются не позднее трёх рабочих дней с получения согласия. ФИО и контакт, собранные только для его оформления, не включаются в открытый профиль. Неотмеченные поля, неуказанные условия и противоречивые выборы не толкуются в пользу публикации.</w:t>
      </w:r>
    </w:p>
    <w:p>
      <w:pPr>
        <w:pStyle w:val="Heading1"/>
      </w:pPr>
      <w:r>
        <w:t>4 Доступ и меры безопасности</w:t>
      </w:r>
    </w:p>
    <w:p>
      <w:r>
        <w:t xml:space="preserve">Оператор определяет актуальные угрозы и оценивает возможный вред субъектам. До утверждения фиксируются </w:t>
      </w:r>
      <w:r>
        <w:rPr>
          <w:highlight w:val="yellow"/>
        </w:rPr>
        <w:t>[[АКТ ОЦЕНКИ ВРЕДА]]</w:t>
      </w:r>
      <w:r>
        <w:t xml:space="preserve">, </w:t>
      </w:r>
      <w:r>
        <w:rPr>
          <w:highlight w:val="yellow"/>
        </w:rPr>
        <w:t>[[ОПИСАНИЕ УГРОЗ]]</w:t>
      </w:r>
      <w:r>
        <w:t xml:space="preserve">, </w:t>
      </w:r>
      <w:r>
        <w:rPr>
          <w:highlight w:val="yellow"/>
        </w:rPr>
        <w:t>[[УРОВЕНЬ ЗАЩИЩЁННОСТИ И ОБОСНОВАНИЕ]]</w:t>
      </w:r>
      <w:r>
        <w:t xml:space="preserve">, </w:t>
      </w:r>
      <w:r>
        <w:rPr>
          <w:highlight w:val="yellow"/>
        </w:rPr>
        <w:t>[[ПЕРЕЧЕНЬ МЕР ПО ПП 1119 И ПРИМЕНИМЫМ ТРЕБОВАНИЯМ]]</w:t>
      </w:r>
      <w:r>
        <w:t>. Уровень защищённости не назначается произвольно по признаку небольшого числа пользователей.</w:t>
      </w:r>
    </w:p>
    <w:p>
      <w:r>
        <w:t>Доступы предоставляются поимённо и только для необходимых задач. Используются отдельные административные учётные записи, защищённое хранение секретов, многофакторная аутентификация там, где доступна, защита соединений, обновление компонентов и журналирование административных действий. Фактическая реализация каждой меры отмечается отдельно от плана.</w:t>
      </w:r>
    </w:p>
    <w:p>
      <w:r>
        <w:t>Публичные медиа отделяются от вложений закрытых чатов; доступ к частным материалам проверяется на стороне сервера. Ссылки и кеши не должны обходить выбранную аудиторию. Для гостевой выдачи применяется тот же контроль допустимого состава публичных данных.</w:t>
      </w:r>
    </w:p>
    <w:p>
      <w:r>
        <w:t>Полные базы и пользовательские медиа не переносятся в тестовые среды, инструменты ИИ или внешние сервисы без самостоятельной проверки основания и условий передачи. Для разработки используются синтетические данные. Экспорты административной аналитики учитываются как копии персональных данных, получают срок удаления и ограниченный доступ.</w:t>
      </w:r>
    </w:p>
    <w:p>
      <w:r>
        <w:t>Реестр доступа пересматривается после изменения команды или поставщиков и с выбранной периодичностью один раз в квартал и при каждом изменении доступа. Доступ отозванного подрядчика закрывается без неоправданной задержки; связанные секреты меняются при необходимости.</w:t>
      </w:r>
    </w:p>
    <w:p>
      <w:pPr>
        <w:pStyle w:val="Heading1"/>
      </w:pPr>
      <w:r>
        <w:t>5 Приём обращений</w:t>
      </w:r>
    </w:p>
    <w:p>
      <w:r>
        <w:t>Обращения из приложения и support@sportsearch.shop заносятся в журнал: номер, время получения, аккаунт или контакт, вид требования, необходимые уточнения, основание, крайний срок, действия и доказательства, дата ответа. Доступ к журналу ограничивается оператором и уполномоченными исполнителями.</w:t>
      </w:r>
    </w:p>
    <w:p>
      <w:r>
        <w:t>Личность проверяется соразмерно риску: через авторизованный аккаунт, подтверждённый контакт либо предусмотренные законом реквизиты запроса. Нельзя автоматически требовать фото паспорта, пароль или код входа для любого обращения. До раскрытия персональных данных третьему лицу проверяются полномочия представителя.</w:t>
      </w:r>
    </w:p>
    <w:p>
      <w:r>
        <w:t>Запрос классифицируется по конкретному основанию. Если требуется уточнение, оно запрашивается быстро; само по себе письмо с уточнением не обнуляет установленный законом срок. При применимом продлении направляется мотивированное уведомление в установленный срок.</w:t>
      </w:r>
    </w:p>
    <w:p>
      <w:pPr>
        <w:pStyle w:val="Heading1"/>
      </w:pPr>
      <w:r>
        <w:t>6 Контроль сроков</w:t>
      </w:r>
    </w:p>
    <w:p>
      <w:r>
        <w:t>Рабочие дни и календарные сроки учитываются раздельно. Более короткий специальный срок имеет приоритет для соответствующего требования. Ниже приведена рабочая матрица; при спорной квалификации проверяется соответствующая часть закона.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345"/>
        <w:gridCol w:w="3345"/>
      </w:tblGrid>
      <w:tr>
        <w:trPr>
          <w:cantSplit/>
          <w:tblHeader/>
        </w:trPr>
        <w:tc>
          <w:tcPr>
            <w:tcW w:type="dxa" w:w="2835"/>
            <w:vAlign w:val="center"/>
            <w:tcMar>
              <w:top w:w="75" w:type="dxa"/>
              <w:bottom w:w="75" w:type="dxa"/>
              <w:left w:w="90" w:type="dxa"/>
              <w:right w:w="90" w:type="dxa"/>
            </w:tcMar>
            <w:shd w:fill="404040"/>
          </w:tcPr>
          <w:p>
            <w:pPr>
              <w:spacing w:after="0" w:line="247" w:lineRule="auto"/>
            </w:pPr>
            <w:r>
              <w:rPr>
                <w:b/>
                <w:color w:val="FFFFFF"/>
                <w:sz w:val="18"/>
              </w:rPr>
              <w:t>Ситуация</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Срок и действие</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Основание</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Доступ к своим данным и ответ на запрос</w:t>
            </w:r>
          </w:p>
        </w:tc>
        <w:tc>
          <w:tcPr>
            <w:tcW w:type="dxa" w:w="3345"/>
            <w:vAlign w:val="center"/>
            <w:tcMar>
              <w:top w:w="75" w:type="dxa"/>
              <w:bottom w:w="75" w:type="dxa"/>
              <w:left w:w="90" w:type="dxa"/>
              <w:right w:w="90" w:type="dxa"/>
            </w:tcMar>
            <w:shd w:fill="FFFFFF"/>
          </w:tcPr>
          <w:p>
            <w:pPr>
              <w:spacing w:after="0" w:line="247" w:lineRule="auto"/>
            </w:pPr>
            <w:r>
              <w:rPr>
                <w:sz w:val="18"/>
              </w:rPr>
              <w:t>10 рабочих дней; возможное продление не более 5 рабочих дней с мотивированным уведомлением</w:t>
            </w:r>
          </w:p>
        </w:tc>
        <w:tc>
          <w:tcPr>
            <w:tcW w:type="dxa" w:w="3345"/>
            <w:vAlign w:val="center"/>
            <w:tcMar>
              <w:top w:w="75" w:type="dxa"/>
              <w:bottom w:w="75" w:type="dxa"/>
              <w:left w:w="90" w:type="dxa"/>
              <w:right w:w="90" w:type="dxa"/>
            </w:tcMar>
            <w:shd w:fill="FFFFFF"/>
          </w:tcPr>
          <w:p>
            <w:pPr>
              <w:spacing w:after="0" w:line="247" w:lineRule="auto"/>
            </w:pPr>
            <w:r>
              <w:rPr>
                <w:sz w:val="18"/>
              </w:rPr>
              <w:t>Статья 20 части 1 и 2</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Подтверждена неточность данных</w:t>
            </w:r>
          </w:p>
        </w:tc>
        <w:tc>
          <w:tcPr>
            <w:tcW w:type="dxa" w:w="3345"/>
            <w:vAlign w:val="center"/>
            <w:tcMar>
              <w:top w:w="75" w:type="dxa"/>
              <w:bottom w:w="75" w:type="dxa"/>
              <w:left w:w="90" w:type="dxa"/>
              <w:right w:w="90" w:type="dxa"/>
            </w:tcMar>
            <w:shd w:fill="F4F4F4"/>
          </w:tcPr>
          <w:p>
            <w:pPr>
              <w:spacing w:after="0" w:line="247" w:lineRule="auto"/>
            </w:pPr>
            <w:r>
              <w:rPr>
                <w:sz w:val="18"/>
              </w:rPr>
              <w:t>Исправить в течение 7 рабочих дней; при проверке применить блокирование в предусмотренных случаях</w:t>
            </w:r>
          </w:p>
        </w:tc>
        <w:tc>
          <w:tcPr>
            <w:tcW w:type="dxa" w:w="3345"/>
            <w:vAlign w:val="center"/>
            <w:tcMar>
              <w:top w:w="75" w:type="dxa"/>
              <w:bottom w:w="75" w:type="dxa"/>
              <w:left w:w="90" w:type="dxa"/>
              <w:right w:w="90" w:type="dxa"/>
            </w:tcMar>
            <w:shd w:fill="F4F4F4"/>
          </w:tcPr>
          <w:p>
            <w:pPr>
              <w:spacing w:after="0" w:line="247" w:lineRule="auto"/>
            </w:pPr>
            <w:r>
              <w:rPr>
                <w:sz w:val="18"/>
              </w:rPr>
              <w:t>Статья 20 часть 3 и статья 21 часть 1</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Подтверждены незаконное получение или отсутствие необходимости</w:t>
            </w:r>
          </w:p>
        </w:tc>
        <w:tc>
          <w:tcPr>
            <w:tcW w:type="dxa" w:w="3345"/>
            <w:vAlign w:val="center"/>
            <w:tcMar>
              <w:top w:w="75" w:type="dxa"/>
              <w:bottom w:w="75" w:type="dxa"/>
              <w:left w:w="90" w:type="dxa"/>
              <w:right w:w="90" w:type="dxa"/>
            </w:tcMar>
            <w:shd w:fill="FFFFFF"/>
          </w:tcPr>
          <w:p>
            <w:pPr>
              <w:spacing w:after="0" w:line="247" w:lineRule="auto"/>
            </w:pPr>
            <w:r>
              <w:rPr>
                <w:sz w:val="18"/>
              </w:rPr>
              <w:t>Уничтожить в течение 7 рабочих дней после представления подтверждающих сведений</w:t>
            </w:r>
          </w:p>
        </w:tc>
        <w:tc>
          <w:tcPr>
            <w:tcW w:type="dxa" w:w="3345"/>
            <w:vAlign w:val="center"/>
            <w:tcMar>
              <w:top w:w="75" w:type="dxa"/>
              <w:bottom w:w="75" w:type="dxa"/>
              <w:left w:w="90" w:type="dxa"/>
              <w:right w:w="90" w:type="dxa"/>
            </w:tcMar>
            <w:shd w:fill="FFFFFF"/>
          </w:tcPr>
          <w:p>
            <w:pPr>
              <w:spacing w:after="0" w:line="247" w:lineRule="auto"/>
            </w:pPr>
            <w:r>
              <w:rPr>
                <w:sz w:val="18"/>
              </w:rPr>
              <w:t>Статья 20 часть 3</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Выявлена неправомерная обработка</w:t>
            </w:r>
          </w:p>
        </w:tc>
        <w:tc>
          <w:tcPr>
            <w:tcW w:type="dxa" w:w="3345"/>
            <w:vAlign w:val="center"/>
            <w:tcMar>
              <w:top w:w="75" w:type="dxa"/>
              <w:bottom w:w="75" w:type="dxa"/>
              <w:left w:w="90" w:type="dxa"/>
              <w:right w:w="90" w:type="dxa"/>
            </w:tcMar>
            <w:shd w:fill="F4F4F4"/>
          </w:tcPr>
          <w:p>
            <w:pPr>
              <w:spacing w:after="0" w:line="247" w:lineRule="auto"/>
            </w:pPr>
            <w:r>
              <w:rPr>
                <w:sz w:val="18"/>
              </w:rPr>
              <w:t>Прекратить в пределах 3 рабочих дней; если обеспечить правомерность невозможно, уничтожить в пределах 10 рабочих дней с выявления</w:t>
            </w:r>
          </w:p>
        </w:tc>
        <w:tc>
          <w:tcPr>
            <w:tcW w:type="dxa" w:w="3345"/>
            <w:vAlign w:val="center"/>
            <w:tcMar>
              <w:top w:w="75" w:type="dxa"/>
              <w:bottom w:w="75" w:type="dxa"/>
              <w:left w:w="90" w:type="dxa"/>
              <w:right w:w="90" w:type="dxa"/>
            </w:tcMar>
            <w:shd w:fill="F4F4F4"/>
          </w:tcPr>
          <w:p>
            <w:pPr>
              <w:spacing w:after="0" w:line="247" w:lineRule="auto"/>
            </w:pPr>
            <w:r>
              <w:rPr>
                <w:sz w:val="18"/>
              </w:rPr>
              <w:t>Статья 21 часть 3</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Достигнута цель или отозвано согласие</w:t>
            </w:r>
          </w:p>
        </w:tc>
        <w:tc>
          <w:tcPr>
            <w:tcW w:type="dxa" w:w="3345"/>
            <w:vAlign w:val="center"/>
            <w:tcMar>
              <w:top w:w="75" w:type="dxa"/>
              <w:bottom w:w="75" w:type="dxa"/>
              <w:left w:w="90" w:type="dxa"/>
              <w:right w:w="90" w:type="dxa"/>
            </w:tcMar>
            <w:shd w:fill="FFFFFF"/>
          </w:tcPr>
          <w:p>
            <w:pPr>
              <w:spacing w:after="0" w:line="247" w:lineRule="auto"/>
            </w:pPr>
            <w:r>
              <w:rPr>
                <w:sz w:val="18"/>
              </w:rPr>
              <w:t>Прекратить обработку и уничтожить не позднее 30 дней при отсутствии предусмотренного законом исключения или сохраняющегося основания</w:t>
            </w:r>
          </w:p>
        </w:tc>
        <w:tc>
          <w:tcPr>
            <w:tcW w:type="dxa" w:w="3345"/>
            <w:vAlign w:val="center"/>
            <w:tcMar>
              <w:top w:w="75" w:type="dxa"/>
              <w:bottom w:w="75" w:type="dxa"/>
              <w:left w:w="90" w:type="dxa"/>
              <w:right w:w="90" w:type="dxa"/>
            </w:tcMar>
            <w:shd w:fill="FFFFFF"/>
          </w:tcPr>
          <w:p>
            <w:pPr>
              <w:spacing w:after="0" w:line="247" w:lineRule="auto"/>
            </w:pPr>
            <w:r>
              <w:rPr>
                <w:sz w:val="18"/>
              </w:rPr>
              <w:t>Статья 21 части 4 и 5</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Требование прекратить обработку</w:t>
            </w:r>
          </w:p>
        </w:tc>
        <w:tc>
          <w:tcPr>
            <w:tcW w:type="dxa" w:w="3345"/>
            <w:vAlign w:val="center"/>
            <w:tcMar>
              <w:top w:w="75" w:type="dxa"/>
              <w:bottom w:w="75" w:type="dxa"/>
              <w:left w:w="90" w:type="dxa"/>
              <w:right w:w="90" w:type="dxa"/>
            </w:tcMar>
            <w:shd w:fill="F4F4F4"/>
          </w:tcPr>
          <w:p>
            <w:pPr>
              <w:spacing w:after="0" w:line="247" w:lineRule="auto"/>
            </w:pPr>
            <w:r>
              <w:rPr>
                <w:sz w:val="18"/>
              </w:rPr>
              <w:t>10 рабочих дней; допустимое продление не более 5 рабочих дней с мотивированным уведомлением; учесть законные исключения</w:t>
            </w:r>
          </w:p>
        </w:tc>
        <w:tc>
          <w:tcPr>
            <w:tcW w:type="dxa" w:w="3345"/>
            <w:vAlign w:val="center"/>
            <w:tcMar>
              <w:top w:w="75" w:type="dxa"/>
              <w:bottom w:w="75" w:type="dxa"/>
              <w:left w:w="90" w:type="dxa"/>
              <w:right w:w="90" w:type="dxa"/>
            </w:tcMar>
            <w:shd w:fill="F4F4F4"/>
          </w:tcPr>
          <w:p>
            <w:pPr>
              <w:spacing w:after="0" w:line="247" w:lineRule="auto"/>
            </w:pPr>
            <w:r>
              <w:rPr>
                <w:sz w:val="18"/>
              </w:rPr>
              <w:t>Статья 21 часть 5.1</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Отзыв согласия на распространение</w:t>
            </w:r>
          </w:p>
        </w:tc>
        <w:tc>
          <w:tcPr>
            <w:tcW w:type="dxa" w:w="3345"/>
            <w:vAlign w:val="center"/>
            <w:tcMar>
              <w:top w:w="75" w:type="dxa"/>
              <w:bottom w:w="75" w:type="dxa"/>
              <w:left w:w="90" w:type="dxa"/>
              <w:right w:w="90" w:type="dxa"/>
            </w:tcMar>
            <w:shd w:fill="FFFFFF"/>
          </w:tcPr>
          <w:p>
            <w:pPr>
              <w:spacing w:after="0" w:line="247" w:lineRule="auto"/>
            </w:pPr>
            <w:r>
              <w:rPr>
                <w:sz w:val="18"/>
              </w:rPr>
              <w:t>Согласие прекращается с получения требования; прекратить подконтрольную оператору передачу и показ</w:t>
            </w:r>
          </w:p>
        </w:tc>
        <w:tc>
          <w:tcPr>
            <w:tcW w:type="dxa" w:w="3345"/>
            <w:vAlign w:val="center"/>
            <w:tcMar>
              <w:top w:w="75" w:type="dxa"/>
              <w:bottom w:w="75" w:type="dxa"/>
              <w:left w:w="90" w:type="dxa"/>
              <w:right w:w="90" w:type="dxa"/>
            </w:tcMar>
            <w:shd w:fill="FFFFFF"/>
          </w:tcPr>
          <w:p>
            <w:pPr>
              <w:spacing w:after="0" w:line="247" w:lineRule="auto"/>
            </w:pPr>
            <w:r>
              <w:rPr>
                <w:sz w:val="18"/>
              </w:rPr>
              <w:t>Статья 10.1 части 12 и 13</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Условия и запреты распространения</w:t>
            </w:r>
          </w:p>
        </w:tc>
        <w:tc>
          <w:tcPr>
            <w:tcW w:type="dxa" w:w="3345"/>
            <w:vAlign w:val="center"/>
            <w:tcMar>
              <w:top w:w="75" w:type="dxa"/>
              <w:bottom w:w="75" w:type="dxa"/>
              <w:left w:w="90" w:type="dxa"/>
              <w:right w:w="90" w:type="dxa"/>
            </w:tcMar>
            <w:shd w:fill="F4F4F4"/>
          </w:tcPr>
          <w:p>
            <w:pPr>
              <w:spacing w:after="0" w:line="247" w:lineRule="auto"/>
            </w:pPr>
            <w:r>
              <w:rPr>
                <w:sz w:val="18"/>
              </w:rPr>
              <w:t>Опубликовать не позднее 3 рабочих дней с получения согласия</w:t>
            </w:r>
          </w:p>
        </w:tc>
        <w:tc>
          <w:tcPr>
            <w:tcW w:type="dxa" w:w="3345"/>
            <w:vAlign w:val="center"/>
            <w:tcMar>
              <w:top w:w="75" w:type="dxa"/>
              <w:bottom w:w="75" w:type="dxa"/>
              <w:left w:w="90" w:type="dxa"/>
              <w:right w:w="90" w:type="dxa"/>
            </w:tcMar>
            <w:shd w:fill="F4F4F4"/>
          </w:tcPr>
          <w:p>
            <w:pPr>
              <w:spacing w:after="0" w:line="247" w:lineRule="auto"/>
            </w:pPr>
            <w:r>
              <w:rPr>
                <w:sz w:val="18"/>
              </w:rPr>
              <w:t>Статья 10.1 часть 10</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Уничтожение в срок невозможно</w:t>
            </w:r>
          </w:p>
        </w:tc>
        <w:tc>
          <w:tcPr>
            <w:tcW w:type="dxa" w:w="3345"/>
            <w:vAlign w:val="center"/>
            <w:tcMar>
              <w:top w:w="75" w:type="dxa"/>
              <w:bottom w:w="75" w:type="dxa"/>
              <w:left w:w="90" w:type="dxa"/>
              <w:right w:w="90" w:type="dxa"/>
            </w:tcMar>
            <w:shd w:fill="FFFFFF"/>
          </w:tcPr>
          <w:p>
            <w:pPr>
              <w:spacing w:after="0" w:line="247" w:lineRule="auto"/>
            </w:pPr>
            <w:r>
              <w:rPr>
                <w:sz w:val="18"/>
              </w:rPr>
              <w:t>Заблокировать; уничтожить не позднее 6 месяцев, если иной срок не установлен федеральным законом</w:t>
            </w:r>
          </w:p>
        </w:tc>
        <w:tc>
          <w:tcPr>
            <w:tcW w:type="dxa" w:w="3345"/>
            <w:vAlign w:val="center"/>
            <w:tcMar>
              <w:top w:w="75" w:type="dxa"/>
              <w:bottom w:w="75" w:type="dxa"/>
              <w:left w:w="90" w:type="dxa"/>
              <w:right w:w="90" w:type="dxa"/>
            </w:tcMar>
            <w:shd w:fill="FFFFFF"/>
          </w:tcPr>
          <w:p>
            <w:pPr>
              <w:spacing w:after="0" w:line="247" w:lineRule="auto"/>
            </w:pPr>
            <w:r>
              <w:rPr>
                <w:sz w:val="18"/>
              </w:rPr>
              <w:t>Статья 21 часть 6</w:t>
            </w:r>
          </w:p>
        </w:tc>
      </w:tr>
    </w:tbl>
    <w:p>
      <w:pPr>
        <w:spacing w:after="40" w:before="0" w:line="72" w:lineRule="auto"/>
      </w:pPr>
    </w:p>
    <w:p>
      <w:r>
        <w:t>Для предотвращения выхода за сроки оператор выбирает внутренний график проверки почты и очереди: ежедневная проверка support@sportsearch.shop и уведомлений об инцидентах; оперативный контакт самого оператора +7 921 402-47-29. При невозможности личного контроля заранее организуется правомерное замещение. Условие невозможности немедленного уничтожения не заменяет регулярный процесс удаления из резервных копий.</w:t>
      </w:r>
    </w:p>
    <w:p>
      <w:pPr>
        <w:pStyle w:val="Heading1"/>
      </w:pPr>
      <w:r>
        <w:t>7 Удаление и подтверждение уничтожения</w:t>
      </w:r>
    </w:p>
    <w:p>
      <w:r>
        <w:t>Сначала проверяется основание и состав требования. Публичный доступ прекращается независимо от последующей очистки закрытых резервных копий. Составляется перечень затронутых записей, файлов, миниатюр, производных копий, кешей, сообщений, журналов и выгрузок.</w:t>
      </w:r>
    </w:p>
    <w:p>
      <w:r>
        <w:t>Для текущей архитектуры отдельно проверяются записи истории выдачи DiscoverImpression с внутренними идентификаторами без каскадной связи, снимки контента и контакты в жалобах ContentReport, а также файлы, физическое удаление которых не вызывается обработчиком удаления аккаунта. Отсутствие ссылки на файл в профиле не подтверждает уничтожение файла.</w:t>
      </w:r>
    </w:p>
    <w:p>
      <w:r>
        <w:t>Сведения, сохраняемые на самостоятельном основании, отделяются от активного аккаунта. Для каждого сохраняемого набора фиксируются конкретное основание, минимальный объём, срок и запрет обычного продуктового использования. Удаление не обходится переименованием данных в «архив» или «аналитику».</w:t>
      </w:r>
    </w:p>
    <w:p>
      <w:r>
        <w:t>Исполнителям направляются необходимые указания об удалении и запрашивается подтверждение. При работе с бэкапами фиксируется срок ротации и правило повторного применения удаления после восстановления до открытия доступа. Копии выгрузок на рабочих устройствах также включаются в проверку.</w:t>
      </w:r>
    </w:p>
    <w:p>
      <w:r>
        <w:t>Для автоматизированного уничтожения оформляются акт и выгрузка из журнала регистрации событий в соответствии с приказом Роскомнадзора № 179. В акте указываются оператор и адрес, лица или исполнитель уничтожения, идентификатор субъекта, категории данных, система, основание, способ, дата и подпись. Недостающие в выгрузке обязательные сведения включаются в акт. Для неавтоматизированной обработки оформляется предусмотренный приказом акт.</w:t>
      </w:r>
    </w:p>
    <w:p>
      <w:r>
        <w:t>Акт и выгрузка хранятся 3 года с уничтожения данных с ограничением доступа. В них не копируется уничтожаемое содержимое без необходимости. Форма акта включена в документ 07. Пользователю направляется ответ с фактически выполненными действиями и обоснованными исключениями.</w:t>
      </w:r>
    </w:p>
    <w:p>
      <w:pPr>
        <w:pStyle w:val="Heading1"/>
      </w:pPr>
      <w:r>
        <w:t>8 Инциденты</w:t>
      </w:r>
    </w:p>
    <w:p>
      <w:r>
        <w:t>При обнаружении предполагаемого нарушения оператор фиксирует время обнаружения, изолирует источник, ограничивает посторонний доступ и сохраняет необходимые доказательства. Проверяются затронутые лица, данные, получатели, последствия и возможность дальнейшего распространения. Не следует удалять журналы, нужные для установления обстоятельств.</w:t>
      </w:r>
    </w:p>
    <w:p>
      <w:r>
        <w:t>Если установлен факт неправомерной или случайной передачи, предоставления, распространения или доступа к ПД, повлекший нарушение прав субъектов, оператор уведомляет Роскомнадзор в пределах 24 часов с выявления: обстоятельства, предполагаемые причины и вред, принятые меры и контакт для взаимодействия. В пределах 72 часов с того же момента сообщаются результаты внутреннего расследования и сведения о виновных лицах при их наличии. Это два срока от обнаружения, а не 24 часа плюс ещё 72.</w:t>
      </w:r>
    </w:p>
    <w:p>
      <w:r>
        <w:t xml:space="preserve">Канал подачи: действующая форма уведомления об инциденте на портале Роскомнадзора, </w:t>
      </w:r>
      <w:r>
        <w:rPr>
          <w:highlight w:val="yellow"/>
        </w:rPr>
        <w:t>[[АКТУАЛЬНАЯ ССЫЛКА И ДОСТУП]]</w:t>
      </w:r>
      <w:r>
        <w:t>. Способ подачи и подтверждение доставки проверяются заранее. Обычная неудачная попытка входа сама по себе не приравнивается к подтверждённому нарушению прав вследствие утечки; обстоятельства оцениваются и фиксируются.</w:t>
      </w:r>
    </w:p>
    <w:p>
      <w:r>
        <w:t>При необходимости взаимодействия с другими уполномоченными органами применяются соответствующие требования закона. Пользователям сообщаются необходимые действия для защиты аккаунта без раскрытия данных других лиц и без неподтверждённых утверждений. После устранения причин проверяются меры защиты и документируются результаты.</w:t>
      </w:r>
    </w:p>
    <w:p>
      <w:pPr>
        <w:pStyle w:val="Heading1"/>
      </w:pPr>
      <w:r>
        <w:t>9 Уведомления и изменение процессов</w:t>
      </w:r>
    </w:p>
    <w:p>
      <w:r>
        <w:t>Сведения для реестра операторов ПД берутся из фактического реестра систем и целей. Изменения ранее сообщённых сведений направляются в Роскомнадзор не позднее 15 числа месяца, следующего за месяцем изменений; прекращение обработки сообщается в течение 10 рабочих дней. Подтверждения подачи сохраняются.</w:t>
      </w:r>
    </w:p>
    <w:p>
      <w:r>
        <w:t>До подключения нового получателя, новой цели, рекламы, оплаты, биометрии или допуска несовершеннолетних пересматриваются основания, документы и технические разрешения. Квалификация чата по статье 10.1 закона № 149-ФЗ и законность способов авторизации проверяются отдельно; этот порядок не объявляет сервис освобождённым от специального регулирования.</w:t>
      </w:r>
    </w:p>
    <w:p>
      <w:pPr>
        <w:pStyle w:val="Heading1"/>
      </w:pPr>
      <w:r>
        <w:t>10 Устанавливаемые сроки хранения</w:t>
      </w:r>
    </w:p>
    <w:p>
      <w:r>
        <w:t>Это предлагаемые правила для утверждения, которые должны быть реализованы в технической конфигурации до применения новой политики. Действующие задания очистки не подтверждены. Истечение срока в таблице означает фактическое удаление, а не только исключение из расчёта. Для географического кеша с координатами устанавливается не более 6 часов с явной очисткой; точные координаты не включаются в обычные журналы.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345"/>
        <w:gridCol w:w="3345"/>
      </w:tblGrid>
      <w:tr>
        <w:trPr>
          <w:cantSplit/>
          <w:tblHeader/>
        </w:trPr>
        <w:tc>
          <w:tcPr>
            <w:tcW w:type="dxa" w:w="2835"/>
            <w:vAlign w:val="center"/>
            <w:tcMar>
              <w:top w:w="75" w:type="dxa"/>
              <w:bottom w:w="75" w:type="dxa"/>
              <w:left w:w="90" w:type="dxa"/>
              <w:right w:w="90" w:type="dxa"/>
            </w:tcMar>
            <w:shd w:fill="404040"/>
          </w:tcPr>
          <w:p>
            <w:pPr>
              <w:spacing w:after="0" w:line="247" w:lineRule="auto"/>
            </w:pPr>
            <w:r>
              <w:rPr>
                <w:b/>
                <w:color w:val="FFFFFF"/>
                <w:sz w:val="18"/>
              </w:rPr>
              <w:t>Набор</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Срок или событие</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Основание и проверка удаления</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Аккаунт и запрошенные игровые функции</w:t>
            </w:r>
          </w:p>
        </w:tc>
        <w:tc>
          <w:tcPr>
            <w:tcW w:type="dxa" w:w="3345"/>
            <w:vAlign w:val="center"/>
            <w:tcMar>
              <w:top w:w="75" w:type="dxa"/>
              <w:bottom w:w="75" w:type="dxa"/>
              <w:left w:w="90" w:type="dxa"/>
              <w:right w:w="90" w:type="dxa"/>
            </w:tcMar>
            <w:shd w:fill="FFFFFF"/>
          </w:tcPr>
          <w:p>
            <w:pPr>
              <w:spacing w:after="0" w:line="247" w:lineRule="auto"/>
            </w:pPr>
            <w:r>
              <w:rPr>
                <w:sz w:val="18"/>
              </w:rPr>
              <w:t>До прекращения соответствующей цели или договора с законными исключениями</w:t>
            </w:r>
          </w:p>
        </w:tc>
        <w:tc>
          <w:tcPr>
            <w:tcW w:type="dxa" w:w="3345"/>
            <w:vAlign w:val="center"/>
            <w:tcMar>
              <w:top w:w="75" w:type="dxa"/>
              <w:bottom w:w="75" w:type="dxa"/>
              <w:left w:w="90" w:type="dxa"/>
              <w:right w:w="90" w:type="dxa"/>
            </w:tcMar>
            <w:shd w:fill="FFFFFF"/>
          </w:tcPr>
          <w:p>
            <w:pPr>
              <w:spacing w:after="0" w:line="247" w:lineRule="auto"/>
            </w:pPr>
            <w:r>
              <w:rPr>
                <w:sz w:val="18"/>
              </w:rPr>
              <w:t>только минимальные доказательства согласий и конкретных обращений на самостоятельном основании; исключить обычное использование удалённого профиля и истории выдачи</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История выдачи для рекомендаций</w:t>
            </w:r>
          </w:p>
        </w:tc>
        <w:tc>
          <w:tcPr>
            <w:tcW w:type="dxa" w:w="3345"/>
            <w:vAlign w:val="center"/>
            <w:tcMar>
              <w:top w:w="75" w:type="dxa"/>
              <w:bottom w:w="75" w:type="dxa"/>
              <w:left w:w="90" w:type="dxa"/>
              <w:right w:w="90" w:type="dxa"/>
            </w:tcMar>
            <w:shd w:fill="F4F4F4"/>
          </w:tcPr>
          <w:p>
            <w:pPr>
              <w:spacing w:after="0" w:line="247" w:lineRule="auto"/>
            </w:pPr>
            <w:r>
              <w:rPr>
                <w:sz w:val="18"/>
              </w:rPr>
              <w:t>14 календарных дней с показа, с досрочным удалением при прекращении основания</w:t>
            </w:r>
          </w:p>
        </w:tc>
        <w:tc>
          <w:tcPr>
            <w:tcW w:type="dxa" w:w="3345"/>
            <w:vAlign w:val="center"/>
            <w:tcMar>
              <w:top w:w="75" w:type="dxa"/>
              <w:bottom w:w="75" w:type="dxa"/>
              <w:left w:w="90" w:type="dxa"/>
              <w:right w:w="90" w:type="dxa"/>
            </w:tcMar>
            <w:shd w:fill="F4F4F4"/>
          </w:tcPr>
          <w:p>
            <w:pPr>
              <w:spacing w:after="0" w:line="247" w:lineRule="auto"/>
            </w:pPr>
            <w:r>
              <w:rPr>
                <w:sz w:val="18"/>
              </w:rPr>
              <w:t>Окна расчёта 7 и 14 дней не равны сроку хранения</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Необязательные аналитические события</w:t>
            </w:r>
          </w:p>
        </w:tc>
        <w:tc>
          <w:tcPr>
            <w:tcW w:type="dxa" w:w="3345"/>
            <w:vAlign w:val="center"/>
            <w:tcMar>
              <w:top w:w="75" w:type="dxa"/>
              <w:bottom w:w="75" w:type="dxa"/>
              <w:left w:w="90" w:type="dxa"/>
              <w:right w:w="90" w:type="dxa"/>
            </w:tcMar>
            <w:shd w:fill="FFFFFF"/>
          </w:tcPr>
          <w:p>
            <w:pPr>
              <w:spacing w:after="0" w:line="247" w:lineRule="auto"/>
            </w:pPr>
            <w:r>
              <w:rPr>
                <w:sz w:val="18"/>
              </w:rPr>
              <w:t>не более 90 календарных дней с события, а при отзыве согласия — в применимый более короткий срок</w:t>
            </w:r>
          </w:p>
        </w:tc>
        <w:tc>
          <w:tcPr>
            <w:tcW w:type="dxa" w:w="3345"/>
            <w:vAlign w:val="center"/>
            <w:tcMar>
              <w:top w:w="75" w:type="dxa"/>
              <w:bottom w:w="75" w:type="dxa"/>
              <w:left w:w="90" w:type="dxa"/>
              <w:right w:w="90" w:type="dxa"/>
            </w:tcMar>
            <w:shd w:fill="FFFFFF"/>
          </w:tcPr>
          <w:p>
            <w:pPr>
              <w:spacing w:after="0" w:line="247" w:lineRule="auto"/>
            </w:pPr>
            <w:r>
              <w:rPr>
                <w:sz w:val="18"/>
              </w:rPr>
              <w:t>Отдельное согласие и очистка экспортов</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Журналы безопасности</w:t>
            </w:r>
          </w:p>
        </w:tc>
        <w:tc>
          <w:tcPr>
            <w:tcW w:type="dxa" w:w="3345"/>
            <w:vAlign w:val="center"/>
            <w:tcMar>
              <w:top w:w="75" w:type="dxa"/>
              <w:bottom w:w="75" w:type="dxa"/>
              <w:left w:w="90" w:type="dxa"/>
              <w:right w:w="90" w:type="dxa"/>
            </w:tcMar>
            <w:shd w:fill="F4F4F4"/>
          </w:tcPr>
          <w:p>
            <w:pPr>
              <w:spacing w:after="0" w:line="247" w:lineRule="auto"/>
            </w:pPr>
            <w:r>
              <w:rPr>
                <w:sz w:val="18"/>
              </w:rPr>
              <w:t>30 календарных дней с записи; относящиеся к конкретному инциденту доказательства выделяются отдельно</w:t>
            </w:r>
          </w:p>
        </w:tc>
        <w:tc>
          <w:tcPr>
            <w:tcW w:type="dxa" w:w="3345"/>
            <w:vAlign w:val="center"/>
            <w:tcMar>
              <w:top w:w="75" w:type="dxa"/>
              <w:bottom w:w="75" w:type="dxa"/>
              <w:left w:w="90" w:type="dxa"/>
              <w:right w:w="90" w:type="dxa"/>
            </w:tcMar>
            <w:shd w:fill="F4F4F4"/>
          </w:tcPr>
          <w:p>
            <w:pPr>
              <w:spacing w:after="0" w:line="247" w:lineRule="auto"/>
            </w:pPr>
            <w:r>
              <w:rPr>
                <w:sz w:val="18"/>
              </w:rPr>
              <w:t>выявление и разбор сбоев, несанкционированного доступа и злоупотреблений; после 30 дней удаление, кроме минимальных доказательств конкретного инцидента</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Жалобы и доказательства согласий</w:t>
            </w:r>
          </w:p>
        </w:tc>
        <w:tc>
          <w:tcPr>
            <w:tcW w:type="dxa" w:w="3345"/>
            <w:vAlign w:val="center"/>
            <w:tcMar>
              <w:top w:w="75" w:type="dxa"/>
              <w:bottom w:w="75" w:type="dxa"/>
              <w:left w:w="90" w:type="dxa"/>
              <w:right w:w="90" w:type="dxa"/>
            </w:tcMar>
            <w:shd w:fill="FFFFFF"/>
          </w:tcPr>
          <w:p>
            <w:pPr>
              <w:spacing w:after="0" w:line="247" w:lineRule="auto"/>
            </w:pPr>
            <w:r>
              <w:rPr>
                <w:sz w:val="18"/>
              </w:rPr>
              <w:t>обычное обращение — до 1 года после закрытия; минимальные доказательства согласия — до 3 лет после прекращения обработки при документированной необходимости; конкретный спор — по своему основанию</w:t>
            </w:r>
          </w:p>
        </w:tc>
        <w:tc>
          <w:tcPr>
            <w:tcW w:type="dxa" w:w="3345"/>
            <w:vAlign w:val="center"/>
            <w:tcMar>
              <w:top w:w="75" w:type="dxa"/>
              <w:bottom w:w="75" w:type="dxa"/>
              <w:left w:w="90" w:type="dxa"/>
              <w:right w:w="90" w:type="dxa"/>
            </w:tcMar>
            <w:shd w:fill="FFFFFF"/>
          </w:tcPr>
          <w:p>
            <w:pPr>
              <w:spacing w:after="0" w:line="247" w:lineRule="auto"/>
            </w:pPr>
            <w:r>
              <w:rPr>
                <w:sz w:val="18"/>
              </w:rPr>
              <w:t>Конкретное основание для сохранения минимального набора</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Бэкапы</w:t>
            </w:r>
          </w:p>
        </w:tc>
        <w:tc>
          <w:tcPr>
            <w:tcW w:type="dxa" w:w="3345"/>
            <w:vAlign w:val="center"/>
            <w:tcMar>
              <w:top w:w="75" w:type="dxa"/>
              <w:bottom w:w="75" w:type="dxa"/>
              <w:left w:w="90" w:type="dxa"/>
              <w:right w:w="90" w:type="dxa"/>
            </w:tcMar>
            <w:shd w:fill="F4F4F4"/>
          </w:tcPr>
          <w:p>
            <w:pPr>
              <w:spacing w:after="0" w:line="247" w:lineRule="auto"/>
            </w:pPr>
            <w:r>
              <w:rPr>
                <w:sz w:val="18"/>
              </w:rPr>
              <w:t>не более 14 календарных дней с создания копии; более короткое применимое требование исполняется отдельно</w:t>
            </w:r>
          </w:p>
        </w:tc>
        <w:tc>
          <w:tcPr>
            <w:tcW w:type="dxa" w:w="3345"/>
            <w:vAlign w:val="center"/>
            <w:tcMar>
              <w:top w:w="75" w:type="dxa"/>
              <w:bottom w:w="75" w:type="dxa"/>
              <w:left w:w="90" w:type="dxa"/>
              <w:right w:w="90" w:type="dxa"/>
            </w:tcMar>
            <w:shd w:fill="F4F4F4"/>
          </w:tcPr>
          <w:p>
            <w:pPr>
              <w:spacing w:after="0" w:line="247" w:lineRule="auto"/>
            </w:pPr>
            <w:r>
              <w:rPr>
                <w:sz w:val="18"/>
              </w:rPr>
              <w:t>Проверить расписание и повторное удаление после восстановления</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Акт уничтожения и выгрузка событий</w:t>
            </w:r>
          </w:p>
        </w:tc>
        <w:tc>
          <w:tcPr>
            <w:tcW w:type="dxa" w:w="3345"/>
            <w:vAlign w:val="center"/>
            <w:tcMar>
              <w:top w:w="75" w:type="dxa"/>
              <w:bottom w:w="75" w:type="dxa"/>
              <w:left w:w="90" w:type="dxa"/>
              <w:right w:w="90" w:type="dxa"/>
            </w:tcMar>
            <w:shd w:fill="FFFFFF"/>
          </w:tcPr>
          <w:p>
            <w:pPr>
              <w:spacing w:after="0" w:line="247" w:lineRule="auto"/>
            </w:pPr>
            <w:r>
              <w:rPr>
                <w:sz w:val="18"/>
              </w:rPr>
              <w:t>3 года</w:t>
            </w:r>
          </w:p>
        </w:tc>
        <w:tc>
          <w:tcPr>
            <w:tcW w:type="dxa" w:w="3345"/>
            <w:vAlign w:val="center"/>
            <w:tcMar>
              <w:top w:w="75" w:type="dxa"/>
              <w:bottom w:w="75" w:type="dxa"/>
              <w:left w:w="90" w:type="dxa"/>
              <w:right w:w="90" w:type="dxa"/>
            </w:tcMar>
            <w:shd w:fill="FFFFFF"/>
          </w:tcPr>
          <w:p>
            <w:pPr>
              <w:spacing w:after="0" w:line="247" w:lineRule="auto"/>
            </w:pPr>
            <w:r>
              <w:rPr>
                <w:sz w:val="18"/>
              </w:rPr>
              <w:t>Приказ Роскомнадзора № 179</w:t>
            </w:r>
          </w:p>
        </w:tc>
      </w:tr>
    </w:tbl>
    <w:p>
      <w:pPr>
        <w:spacing w:after="40" w:before="0" w:line="72" w:lineRule="auto"/>
      </w:pPr>
    </w:p>
    <w:p>
      <w:pPr>
        <w:pStyle w:val="Heading1"/>
      </w:pPr>
      <w:r>
        <w:t>11 Нормативные основания</w:t>
      </w:r>
    </w:p>
    <w:p>
      <w:r>
        <w:t>Порядок использует статьи 5, 6, 9, 10.1, 12, 18, 18.1, 19, 20, 21 и 22 закона № 152-ФЗ; постановление Правительства РФ № 1119; приказы Роскомнадзора № 18, № 178 и № 179. Прямые ссылки и дата сверки приведены в документе 00. Отдельные правила для работников и корпоративные приказы в комплект не включены, поскольку наличие организации и работников не установлено.</w:t>
      </w:r>
    </w:p>
    <w:sectPr w:rsidR="00FC693F" w:rsidRPr="0006063C" w:rsidSect="00034616">
      <w:headerReference w:type="default" r:id="rId9"/>
      <w:footerReference w:type="default" r:id="rId10"/>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Проект для заполнения  •  </w:t>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НаТреню  |  Комплект документов  |  Проект 08.09.2026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Arial" w:hAnsi="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Arial" w:hAnsi="Arial" w:cs="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Arial" w:hAnsi="Arial" w:cs="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Порядок обработки и защиты данных НаТреню</dc:title>
  <dc:subject>Бесплатное приложение НаТреню без рекламы</dc:subject>
  <dc:creator>НаТреню</dc:creator>
  <cp:keywords>Проект; персональные данные; самозанятый; НаТреню</cp:keywords>
  <dc:description>generated by python-docx</dc:description>
  <cp:lastModifiedBy/>
  <cp:revision>1</cp:revision>
  <dcterms:created xsi:type="dcterms:W3CDTF">2026-09-08T00:00:00Z</dcterms:created>
  <dcterms:modified xsi:type="dcterms:W3CDTF">2026-09-08T00:00:00Z</dcterms:modified>
  <cp:category/>
</cp:coreProperties>
</file>