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Комплект документов НаТреню</w:t>
      </w:r>
    </w:p>
    <w:p>
      <w:r>
        <w:t>Инструкция владельцу и сведения для Роскомнадзора. Подготовлено 8 сентября 2026 года для бесплатного приложения без рекламы. Оператор — индивидуальный предприниматель Захаров Матвей Владимирович на НПД, ИНН 471803649801, ОГРНИП 326470400131678. Контакт из проекта: support@sportsearch.shop.</w:t>
      </w:r>
    </w:p>
    <w:p>
      <w:r>
        <w:t>Комплект содержит проекты текстов и рабочие формы. Чтобы применять их, нужно заполнить отмеченные сведения, сопоставить документы с действующей версией приложения и реализовать указанные механизмы. Документы не опубликованы, уведомления от вашего имени не поданы, приложение не изменено. Дата подготовки не является датой вашего утверждения или начала действия документов.</w:t>
      </w:r>
    </w:p>
    <w:p>
      <w:pPr>
        <w:pStyle w:val="Heading1"/>
      </w:pPr>
      <w:r>
        <w:t>1 Состав и назначение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Документ</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Кому предназначен</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Как применять</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00 Инструкция и сведения для РКН</w:t>
            </w:r>
          </w:p>
        </w:tc>
        <w:tc>
          <w:tcPr>
            <w:tcW w:type="dxa" w:w="3345"/>
            <w:vAlign w:val="center"/>
            <w:tcMar>
              <w:top w:w="75" w:type="dxa"/>
              <w:bottom w:w="75" w:type="dxa"/>
              <w:left w:w="90" w:type="dxa"/>
              <w:right w:w="90" w:type="dxa"/>
            </w:tcMar>
            <w:shd w:fill="FFFFFF"/>
          </w:tcPr>
          <w:p>
            <w:pPr>
              <w:spacing w:after="0" w:line="247" w:lineRule="auto"/>
            </w:pPr>
            <w:r>
              <w:rPr>
                <w:sz w:val="18"/>
              </w:rPr>
              <w:t>Владельцу и консультанту</w:t>
            </w:r>
          </w:p>
        </w:tc>
        <w:tc>
          <w:tcPr>
            <w:tcW w:type="dxa" w:w="3345"/>
            <w:vAlign w:val="center"/>
            <w:tcMar>
              <w:top w:w="75" w:type="dxa"/>
              <w:bottom w:w="75" w:type="dxa"/>
              <w:left w:w="90" w:type="dxa"/>
              <w:right w:w="90" w:type="dxa"/>
            </w:tcMar>
            <w:shd w:fill="FFFFFF"/>
          </w:tcPr>
          <w:p>
            <w:pPr>
              <w:spacing w:after="0" w:line="247" w:lineRule="auto"/>
            </w:pPr>
            <w:r>
              <w:rPr>
                <w:sz w:val="18"/>
              </w:rPr>
              <w:t>Заполнить сведения и проверить готовность</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01 Пользовательское соглашение</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w:t>
            </w:r>
          </w:p>
        </w:tc>
        <w:tc>
          <w:tcPr>
            <w:tcW w:type="dxa" w:w="3345"/>
            <w:vAlign w:val="center"/>
            <w:tcMar>
              <w:top w:w="75" w:type="dxa"/>
              <w:bottom w:w="75" w:type="dxa"/>
              <w:left w:w="90" w:type="dxa"/>
              <w:right w:w="90" w:type="dxa"/>
            </w:tcMar>
            <w:shd w:fill="F4F4F4"/>
          </w:tcPr>
          <w:p>
            <w:pPr>
              <w:spacing w:after="0" w:line="247" w:lineRule="auto"/>
            </w:pPr>
            <w:r>
              <w:rPr>
                <w:sz w:val="18"/>
              </w:rPr>
              <w:t>Открытая страница и отдельное принятие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02 Политика обработки данных</w:t>
            </w:r>
          </w:p>
        </w:tc>
        <w:tc>
          <w:tcPr>
            <w:tcW w:type="dxa" w:w="3345"/>
            <w:vAlign w:val="center"/>
            <w:tcMar>
              <w:top w:w="75" w:type="dxa"/>
              <w:bottom w:w="75" w:type="dxa"/>
              <w:left w:w="90" w:type="dxa"/>
              <w:right w:w="90" w:type="dxa"/>
            </w:tcMar>
            <w:shd w:fill="FFFFFF"/>
          </w:tcPr>
          <w:p>
            <w:pPr>
              <w:spacing w:after="0" w:line="247" w:lineRule="auto"/>
            </w:pPr>
            <w:r>
              <w:rPr>
                <w:sz w:val="18"/>
              </w:rPr>
              <w:t>Всем посетителям</w:t>
            </w:r>
          </w:p>
        </w:tc>
        <w:tc>
          <w:tcPr>
            <w:tcW w:type="dxa" w:w="3345"/>
            <w:vAlign w:val="center"/>
            <w:tcMar>
              <w:top w:w="75" w:type="dxa"/>
              <w:bottom w:w="75" w:type="dxa"/>
              <w:left w:w="90" w:type="dxa"/>
              <w:right w:w="90" w:type="dxa"/>
            </w:tcMar>
            <w:shd w:fill="FFFFFF"/>
          </w:tcPr>
          <w:p>
            <w:pPr>
              <w:spacing w:after="0" w:line="247" w:lineRule="auto"/>
            </w:pPr>
            <w:r>
              <w:rPr>
                <w:sz w:val="18"/>
              </w:rPr>
              <w:t>Открытая страница без регистрации</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03 Необязательные согласия</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w:t>
            </w:r>
          </w:p>
        </w:tc>
        <w:tc>
          <w:tcPr>
            <w:tcW w:type="dxa" w:w="3345"/>
            <w:vAlign w:val="center"/>
            <w:tcMar>
              <w:top w:w="75" w:type="dxa"/>
              <w:bottom w:w="75" w:type="dxa"/>
              <w:left w:w="90" w:type="dxa"/>
              <w:right w:w="90" w:type="dxa"/>
            </w:tcMar>
            <w:shd w:fill="F4F4F4"/>
          </w:tcPr>
          <w:p>
            <w:pPr>
              <w:spacing w:after="0" w:line="247" w:lineRule="auto"/>
            </w:pPr>
            <w:r>
              <w:rPr>
                <w:sz w:val="18"/>
              </w:rPr>
              <w:t>Три самостоятельных формы по целям</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04 Согласие на распространение</w:t>
            </w:r>
          </w:p>
        </w:tc>
        <w:tc>
          <w:tcPr>
            <w:tcW w:type="dxa" w:w="3345"/>
            <w:vAlign w:val="center"/>
            <w:tcMar>
              <w:top w:w="75" w:type="dxa"/>
              <w:bottom w:w="75" w:type="dxa"/>
              <w:left w:w="90" w:type="dxa"/>
              <w:right w:w="90" w:type="dxa"/>
            </w:tcMar>
            <w:shd w:fill="FFFFFF"/>
          </w:tcPr>
          <w:p>
            <w:pPr>
              <w:spacing w:after="0" w:line="247" w:lineRule="auto"/>
            </w:pPr>
            <w:r>
              <w:rPr>
                <w:sz w:val="18"/>
              </w:rPr>
              <w:t>Владельцам анкет</w:t>
            </w:r>
          </w:p>
        </w:tc>
        <w:tc>
          <w:tcPr>
            <w:tcW w:type="dxa" w:w="3345"/>
            <w:vAlign w:val="center"/>
            <w:tcMar>
              <w:top w:w="75" w:type="dxa"/>
              <w:bottom w:w="75" w:type="dxa"/>
              <w:left w:w="90" w:type="dxa"/>
              <w:right w:w="90" w:type="dxa"/>
            </w:tcMar>
            <w:shd w:fill="FFFFFF"/>
          </w:tcPr>
          <w:p>
            <w:pPr>
              <w:spacing w:after="0" w:line="247" w:lineRule="auto"/>
            </w:pPr>
            <w:r>
              <w:rPr>
                <w:sz w:val="18"/>
              </w:rPr>
              <w:t>Выбор конкретных полей аудитории и условий</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05 Правила рекомендаций</w:t>
            </w:r>
          </w:p>
        </w:tc>
        <w:tc>
          <w:tcPr>
            <w:tcW w:type="dxa" w:w="3345"/>
            <w:vAlign w:val="center"/>
            <w:tcMar>
              <w:top w:w="75" w:type="dxa"/>
              <w:bottom w:w="75" w:type="dxa"/>
              <w:left w:w="90" w:type="dxa"/>
              <w:right w:w="90" w:type="dxa"/>
            </w:tcMar>
            <w:shd w:fill="F4F4F4"/>
          </w:tcPr>
          <w:p>
            <w:pPr>
              <w:spacing w:after="0" w:line="247" w:lineRule="auto"/>
            </w:pPr>
            <w:r>
              <w:rPr>
                <w:sz w:val="18"/>
              </w:rPr>
              <w:t>Всем посетителям</w:t>
            </w:r>
          </w:p>
        </w:tc>
        <w:tc>
          <w:tcPr>
            <w:tcW w:type="dxa" w:w="3345"/>
            <w:vAlign w:val="center"/>
            <w:tcMar>
              <w:top w:w="75" w:type="dxa"/>
              <w:bottom w:w="75" w:type="dxa"/>
              <w:left w:w="90" w:type="dxa"/>
              <w:right w:w="90" w:type="dxa"/>
            </w:tcMar>
            <w:shd w:fill="F4F4F4"/>
          </w:tcPr>
          <w:p>
            <w:pPr>
              <w:spacing w:after="0" w:line="247" w:lineRule="auto"/>
            </w:pPr>
            <w:r>
              <w:rPr>
                <w:sz w:val="18"/>
              </w:rPr>
              <w:t>Открытая страница и связанное уведомление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06 Внутренний порядок</w:t>
            </w:r>
          </w:p>
        </w:tc>
        <w:tc>
          <w:tcPr>
            <w:tcW w:type="dxa" w:w="3345"/>
            <w:vAlign w:val="center"/>
            <w:tcMar>
              <w:top w:w="75" w:type="dxa"/>
              <w:bottom w:w="75" w:type="dxa"/>
              <w:left w:w="90" w:type="dxa"/>
              <w:right w:w="90" w:type="dxa"/>
            </w:tcMar>
            <w:shd w:fill="FFFFFF"/>
          </w:tcPr>
          <w:p>
            <w:pPr>
              <w:spacing w:after="0" w:line="247" w:lineRule="auto"/>
            </w:pPr>
            <w:r>
              <w:rPr>
                <w:sz w:val="18"/>
              </w:rPr>
              <w:t>Оператору</w:t>
            </w:r>
          </w:p>
        </w:tc>
        <w:tc>
          <w:tcPr>
            <w:tcW w:type="dxa" w:w="3345"/>
            <w:vAlign w:val="center"/>
            <w:tcMar>
              <w:top w:w="75" w:type="dxa"/>
              <w:bottom w:w="75" w:type="dxa"/>
              <w:left w:w="90" w:type="dxa"/>
              <w:right w:w="90" w:type="dxa"/>
            </w:tcMar>
            <w:shd w:fill="FFFFFF"/>
          </w:tcPr>
          <w:p>
            <w:pPr>
              <w:spacing w:after="0" w:line="247" w:lineRule="auto"/>
            </w:pPr>
            <w:r>
              <w:rPr>
                <w:sz w:val="18"/>
              </w:rPr>
              <w:t>Утвердить после настройки и проверки процессов</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07 Формы обращений и ответов</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 и оператору</w:t>
            </w:r>
          </w:p>
        </w:tc>
        <w:tc>
          <w:tcPr>
            <w:tcW w:type="dxa" w:w="3345"/>
            <w:vAlign w:val="center"/>
            <w:tcMar>
              <w:top w:w="75" w:type="dxa"/>
              <w:bottom w:w="75" w:type="dxa"/>
              <w:left w:w="90" w:type="dxa"/>
              <w:right w:w="90" w:type="dxa"/>
            </w:tcMar>
            <w:shd w:fill="F4F4F4"/>
          </w:tcPr>
          <w:p>
            <w:pPr>
              <w:spacing w:after="0" w:line="247" w:lineRule="auto"/>
            </w:pPr>
            <w:r>
              <w:rPr>
                <w:sz w:val="18"/>
              </w:rPr>
              <w:t>Использовать отдельную подходящую форму</w:t>
            </w:r>
          </w:p>
        </w:tc>
      </w:tr>
    </w:tbl>
    <w:p>
      <w:pPr>
        <w:spacing w:after="40" w:before="0" w:line="72" w:lineRule="auto"/>
      </w:pPr>
    </w:p>
    <w:p>
      <w:r>
        <w:t>Публично размещаются только относящиеся к посетителям документы и чистые формы. Служебные примечания о проекте удаляются после завершения подготовки; документы 00 и 06, заполненные реестры и акты уничтожения не публикуются как пользовательские страницы.</w:t>
      </w:r>
    </w:p>
    <w:p>
      <w:pPr>
        <w:pStyle w:val="Heading1"/>
      </w:pPr>
      <w:r>
        <w:t>2 Что уже известно и что нужно заполнить</w:t>
      </w:r>
    </w:p>
    <w:p>
      <w:r>
        <w:t xml:space="preserve">Подтверждено пользователем: приложение бесплатно, рекламы нет, владелец применяет НПД. ФИО, ИНН и email подтверждены владельцем. 1 октября 2026 года владелец сообщил о регистрации индивидуальным предпринимателем (ОГРНИП 326470400131678) с сохранением НПД. Новое название НаТреню указано владельцем; SportSearch — прежнее имя в коде, TennisSearch — название репозитория. Основной адрес </w:t>
      </w:r>
      <w:hyperlink r:id="rId11">
        <w:r>
          <w:rPr>
            <w:color w:val="1F4D70"/>
            <w:u w:val="single"/>
          </w:rPr>
          <w:t>https://sportsearch.shop</w:t>
        </w:r>
      </w:hyperlink>
      <w:r>
        <w:t xml:space="preserve"> подтверждён конфигурацией и отчётами релизов; путь политики /legal/privacy существует в проекте. Ссылка iOS из проекта: </w:t>
      </w:r>
      <w:hyperlink r:id="rId12">
        <w:r>
          <w:rPr>
            <w:color w:val="1F4D70"/>
            <w:u w:val="single"/>
          </w:rPr>
          <w:t>https://apps.apple.com/app/id6768862885</w:t>
        </w:r>
      </w:hyperlink>
      <w:r>
        <w:t>.</w:t>
      </w:r>
      <w:r>
        <w:t xml:space="preserve"> Новые страницы документов требуют размещения. Краткое указание «sportsearch» истолковано как ранее подтверждённый домен sportsearch.shop, без смены доменной зоны.</w:t>
      </w:r>
    </w:p>
    <w:p>
      <w:r>
        <w:t xml:space="preserve">Неизвестные сведения обозначены </w:t>
      </w:r>
      <w:r>
        <w:rPr>
          <w:highlight w:val="yellow"/>
        </w:rPr>
        <w:t>[[ДВОЙНЫМИ СКОБКАМИ]]</w:t>
      </w:r>
      <w:r>
        <w:t>. В согласиях и формах часть таких полей заполняется отдельно для каждого пользователя, а не один раз владельцем.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cantSplit/>
          <w:tblHeader/>
        </w:trPr>
        <w:tc>
          <w:tcPr>
            <w:tcW w:type="dxa" w:w="2948"/>
            <w:vAlign w:val="center"/>
            <w:tcMar>
              <w:top w:w="75" w:type="dxa"/>
              <w:bottom w:w="75" w:type="dxa"/>
              <w:left w:w="90" w:type="dxa"/>
              <w:right w:w="90" w:type="dxa"/>
            </w:tcMar>
            <w:shd w:fill="404040"/>
          </w:tcPr>
          <w:p>
            <w:pPr>
              <w:spacing w:after="0" w:line="247" w:lineRule="auto"/>
            </w:pPr>
            <w:r>
              <w:rPr>
                <w:b/>
                <w:color w:val="FFFFFF"/>
                <w:sz w:val="18"/>
              </w:rPr>
              <w:t>Подтверждённые сведения</w:t>
            </w:r>
          </w:p>
        </w:tc>
        <w:tc>
          <w:tcPr>
            <w:tcW w:type="dxa" w:w="6576"/>
            <w:vAlign w:val="center"/>
            <w:tcMar>
              <w:top w:w="75" w:type="dxa"/>
              <w:bottom w:w="75" w:type="dxa"/>
              <w:left w:w="90" w:type="dxa"/>
              <w:right w:w="90" w:type="dxa"/>
            </w:tcMar>
            <w:shd w:fill="404040"/>
          </w:tcPr>
          <w:p>
            <w:pPr>
              <w:spacing w:after="0" w:line="247" w:lineRule="auto"/>
            </w:pPr>
            <w:r>
              <w:rPr>
                <w:b/>
                <w:color w:val="FFFFFF"/>
                <w:sz w:val="18"/>
              </w:rPr>
              <w:t>Значение</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Адрес оператора и обращений</w:t>
            </w:r>
          </w:p>
        </w:tc>
        <w:tc>
          <w:tcPr>
            <w:tcW w:type="dxa" w:w="6576"/>
            <w:vAlign w:val="center"/>
            <w:tcMar>
              <w:top w:w="75" w:type="dxa"/>
              <w:bottom w:w="75" w:type="dxa"/>
              <w:left w:w="90" w:type="dxa"/>
              <w:right w:w="90" w:type="dxa"/>
            </w:tcMar>
            <w:shd w:fill="FFFFFF"/>
          </w:tcPr>
          <w:p>
            <w:pPr>
              <w:spacing w:after="0" w:line="247" w:lineRule="auto"/>
            </w:pPr>
            <w:r>
              <w:rPr>
                <w:sz w:val="18"/>
              </w:rPr>
              <w:t>187420, Россия, г. Сясьстрой, ул. Космонавтов, д. 8, кв. 15</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Телефон для РКН и внутренней работы</w:t>
            </w:r>
          </w:p>
        </w:tc>
        <w:tc>
          <w:tcPr>
            <w:tcW w:type="dxa" w:w="6576"/>
            <w:vAlign w:val="center"/>
            <w:tcMar>
              <w:top w:w="75" w:type="dxa"/>
              <w:bottom w:w="75" w:type="dxa"/>
              <w:left w:w="90" w:type="dxa"/>
              <w:right w:w="90" w:type="dxa"/>
            </w:tcMar>
            <w:shd w:fill="F4F4F4"/>
          </w:tcPr>
          <w:p>
            <w:pPr>
              <w:spacing w:after="0" w:line="247" w:lineRule="auto"/>
            </w:pPr>
            <w:r>
              <w:rPr>
                <w:sz w:val="18"/>
              </w:rPr>
              <w:t>+7 921 402-47-29</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Начало обработки реальных данных</w:t>
            </w:r>
          </w:p>
        </w:tc>
        <w:tc>
          <w:tcPr>
            <w:tcW w:type="dxa" w:w="6576"/>
            <w:vAlign w:val="center"/>
            <w:tcMar>
              <w:top w:w="75" w:type="dxa"/>
              <w:bottom w:w="75" w:type="dxa"/>
              <w:left w:w="90" w:type="dxa"/>
              <w:right w:w="90" w:type="dxa"/>
            </w:tcMar>
            <w:shd w:fill="FFFFFF"/>
          </w:tcPr>
          <w:p>
            <w:pPr>
              <w:spacing w:after="0" w:line="247" w:lineRule="auto"/>
            </w:pPr>
            <w:r>
              <w:rPr>
                <w:sz w:val="18"/>
              </w:rPr>
              <w:t>27 августа 2026 года</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Уведомление об обработке ПД</w:t>
            </w:r>
          </w:p>
        </w:tc>
        <w:tc>
          <w:tcPr>
            <w:tcW w:type="dxa" w:w="6576"/>
            <w:vAlign w:val="center"/>
            <w:tcMar>
              <w:top w:w="75" w:type="dxa"/>
              <w:bottom w:w="75" w:type="dxa"/>
              <w:left w:w="90" w:type="dxa"/>
              <w:right w:w="90" w:type="dxa"/>
            </w:tcMar>
            <w:shd w:fill="F4F4F4"/>
          </w:tcPr>
          <w:p>
            <w:pPr>
              <w:spacing w:after="0" w:line="247" w:lineRule="auto"/>
            </w:pPr>
            <w:r>
              <w:rPr>
                <w:sz w:val="18"/>
              </w:rPr>
              <w:t>По сообщению владельца на 8 сентября 2026 года не подано</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Инфраструктура и функции</w:t>
            </w:r>
          </w:p>
        </w:tc>
        <w:tc>
          <w:tcPr>
            <w:tcW w:type="dxa" w:w="6576"/>
            <w:vAlign w:val="center"/>
            <w:tcMar>
              <w:top w:w="75" w:type="dxa"/>
              <w:bottom w:w="75" w:type="dxa"/>
              <w:left w:w="90" w:type="dxa"/>
              <w:right w:w="90" w:type="dxa"/>
            </w:tcMar>
            <w:shd w:fill="FFFFFF"/>
          </w:tcPr>
          <w:p>
            <w:pPr>
              <w:spacing w:after="0" w:line="247" w:lineRule="auto"/>
            </w:pPr>
            <w:r>
              <w:rPr>
                <w:sz w:val="18"/>
              </w:rPr>
              <w:t>Яндекс Клауд; вход в России — SMS-код на российский номер (отправка через SMS.ru) или VK ID; вне России — код на email, Apple-вход, Google-вход; push, карты; аналитика внутренняя</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Возраст</w:t>
            </w:r>
          </w:p>
        </w:tc>
        <w:tc>
          <w:tcPr>
            <w:tcW w:type="dxa" w:w="6576"/>
            <w:vAlign w:val="center"/>
            <w:tcMar>
              <w:top w:w="75" w:type="dxa"/>
              <w:bottom w:w="75" w:type="dxa"/>
              <w:left w:w="90" w:type="dxa"/>
              <w:right w:w="90" w:type="dxa"/>
            </w:tcMar>
            <w:shd w:fill="F4F4F4"/>
          </w:tcPr>
          <w:p>
            <w:pPr>
              <w:spacing w:after="0" w:line="247" w:lineRule="auto"/>
            </w:pPr>
            <w:r>
              <w:rPr>
                <w:sz w:val="18"/>
              </w:rPr>
              <w:t>От 18 лет</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Административный доступ со стороны сервиса</w:t>
            </w:r>
          </w:p>
        </w:tc>
        <w:tc>
          <w:tcPr>
            <w:tcW w:type="dxa" w:w="6576"/>
            <w:vAlign w:val="center"/>
            <w:tcMar>
              <w:top w:w="75" w:type="dxa"/>
              <w:bottom w:w="75" w:type="dxa"/>
              <w:left w:w="90" w:type="dxa"/>
              <w:right w:w="90" w:type="dxa"/>
            </w:tcMar>
            <w:shd w:fill="FFFFFF"/>
          </w:tcPr>
          <w:p>
            <w:pPr>
              <w:spacing w:after="0" w:line="247" w:lineRule="auto"/>
            </w:pPr>
            <w:r>
              <w:rPr>
                <w:sz w:val="18"/>
              </w:rPr>
              <w:t>Только сам Захаров Матвей Владимирович как владелец и разработчик</w:t>
            </w:r>
          </w:p>
        </w:tc>
      </w:tr>
    </w:tbl>
    <w:p>
      <w:pPr>
        <w:spacing w:after="40" w:before="0" w:line="72" w:lineRule="auto"/>
      </w:pPr>
    </w:p>
    <w:p>
      <w:r>
        <w:t>Телефон внесён в РКН-анкету и внутренний порядок. Адрес внесён также в пользовательские документы. Единственный административный доступ владельца не исключает техническую обработку поставщиками инфраструктуры.</w:t>
      </w:r>
    </w:p>
    <w:p>
      <w:r>
        <w:t>Остаётся подтвердить регион и адрес ЦОД для сервера, базы, медиа и всех резервных копий; действующий Postbox или иной отправитель email; договор и реквизиты SMS.ru (поручение на отправку SMS с номером телефона); регистрацию приложения VK ID и условия ООО «ВК»; внешний геокодер либо локальный каталог; конкретные юридические лица, страны и состав передачи Apple; фактические меры защиты и применимые обязанности чата. Пользовательские ФИО, выбранные материалы, даты подтверждения и подписи в формах заполняются при конкретном оформлении.</w:t>
      </w:r>
    </w:p>
    <w:p>
      <w:r>
        <w:t>Российские реквизиты для сверки с договором Яндекс Клауд: ООО «ЯНДЕКС.ОБЛАКО», ИНН 7704458262, ОГРН 1187746678580; 119021, Россия, г. Москва, ул. Льва Толстого, д. 16, помещ. 528. Почтовый адрес: 115035, Россия, г. Москва, ул. Садовническая, д. 82, стр. 2. Это адреса юридического лица, не ЦОД. Платформа имеет российский и казахстанский регионы, поэтому название провайдера не доказывает размещение каждого ресурса в РФ. Реквизиты российского контрагента в проектах подлежат сверке с фактическим договором.</w:t>
      </w:r>
    </w:p>
    <w:p>
      <w:r>
        <w:t>Postbox — сервис платформы, его подключение предусмотрено документами проекта, но рабочая конфигурация не проверялась. Для Яндекс Карт в API-оферте указан другой поставщик: ООО «ЯНДЕКС», ИНН 7736207543, адрес 119021, Россия, г. Москва, ул. Льва Толстого, д. 16. Это не доказывает заключение именно платной лицензии. Геокодирование настраивается независимо от карт; без внешнего поставщика production-код использует встроенный каталог.</w:t>
      </w:r>
    </w:p>
    <w:p>
      <w:r>
        <w:t>Вход с 26 сентября 2026 года. При регистрации пользователь сам указывает страну. Для «Россия» доступны только SMS-код на российский мобильный номер (собственная система входа; SMS отправляет SMS.ru по поручению оператора — получает номер и текст сообщения с кодом) и VK ID (оператор получает от VK идентификатор, имя, фамилию и подтверждённый номер телефона в объёме разрешения vkid.personal_info и phone). Код на email, Apple и Google доступны только при выборе «Другая страна». Коды хранятся в виде хеша, действуют 5 минут, допускают 5 попыток; число SMS в сутки ограничено. Реквизиты SMS.ru и ООО «ВК» сверить с фактическими договорами и условиями до указания в уведомлении.</w:t>
      </w:r>
    </w:p>
    <w:p>
      <w:pPr>
        <w:pStyle w:val="Heading1"/>
      </w:pPr>
      <w:r>
        <w:t>3 Сведения для заполнения уведомления РКН</w:t>
      </w:r>
    </w:p>
    <w:p>
      <w:r>
        <w:t xml:space="preserve">Это рабочая анкета для переноса в действующую форму Роскомнадзора, а не готовое подписанное или поданное уведомление. Заполненные черновики обоих уведомлений (об обработке и о трансграничной передаче), акт оценки вреда и акт уровня защищённости — в документе 09. Форма и способы подачи проверяются непосредственно на портале: </w:t>
      </w:r>
      <w:hyperlink r:id="rId13">
        <w:r>
          <w:rPr>
            <w:color w:val="1F4D70"/>
            <w:u w:val="single"/>
          </w:rPr>
          <w:t>https://pd.rkn.gov.ru/operators-registry/notification/form/</w:t>
        </w:r>
      </w:hyperlink>
      <w:r>
        <w:t xml:space="preserve"> . Прямой доступ к порталу при подготовке был нестабилен; перечень ниже сверен со статьёй 22 закона № 152-ФЗ.</w:t>
      </w:r>
    </w:p>
    <w:p>
      <w:r>
        <w:t>Оператор: Захаров Матвей Владимирович. Категория: индивидуальный предприниматель, применяющий НПД. ИНН: 471803649801. ОГРНИП: 326470400131678. Адрес: 187420, Россия, г. Сясьстрой, ул. Космонавтов, д. 8, кв. 15.</w:t>
      </w:r>
    </w:p>
    <w:p>
      <w:r>
        <w:t>Лицо для организации обработки и взаимодействия: Захаров Матвей Владимирович. Email: support@sportsearch.shop. Телефон: +7 921 402-47-29. Почтовый адрес: 187420, Россия, г. Сясьстрой, ул. Космонавтов, д. 8, кв. 15. Это контакт самого оператора, а не вымышленный назначенный работник.</w:t>
      </w:r>
    </w:p>
    <w:p>
      <w:r>
        <w:t>Дата начала обработки: 27 августа 2026 года. Срок или условие прекращения: прекращение деятельности сервиса и завершение обязательной обработки; для отдельных целей — достижение цели, завершение договора либо отзыв соответствующего согласия при отсутствии иных оснований.</w:t>
      </w:r>
    </w:p>
    <w:p>
      <w:r>
        <w:t>Для каждой цели отдельно заполняются категории субъектов, конкретные данные, основание, действия и способы. Рабочая карта целей: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Цель</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Субъекты и данные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 для проверки</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Аккаунт и спортивный поиск</w:t>
            </w:r>
          </w:p>
        </w:tc>
        <w:tc>
          <w:tcPr>
            <w:tcW w:type="dxa" w:w="3345"/>
            <w:vAlign w:val="center"/>
            <w:tcMar>
              <w:top w:w="75" w:type="dxa"/>
              <w:bottom w:w="75" w:type="dxa"/>
              <w:left w:w="90" w:type="dxa"/>
              <w:right w:w="90" w:type="dxa"/>
            </w:tcMar>
            <w:shd w:fill="FFFFFF"/>
          </w:tcPr>
          <w:p>
            <w:pPr>
              <w:spacing w:after="0" w:line="247" w:lineRule="auto"/>
            </w:pPr>
            <w:r>
              <w:rPr>
                <w:sz w:val="18"/>
              </w:rPr>
              <w:t>Зарегистрированные пользователи; email или номер мобильного телефона, идентификатор VK ID при входе через VK, указанная страна входа, ID, возраст, указанный пол, имя для отображения, спорт, уровни, город, районы, время</w:t>
            </w:r>
          </w:p>
        </w:tc>
        <w:tc>
          <w:tcPr>
            <w:tcW w:type="dxa" w:w="3345"/>
            <w:vAlign w:val="center"/>
            <w:tcMar>
              <w:top w:w="75" w:type="dxa"/>
              <w:bottom w:w="75" w:type="dxa"/>
              <w:left w:w="90" w:type="dxa"/>
              <w:right w:w="90" w:type="dxa"/>
            </w:tcMar>
            <w:shd w:fill="FFFFFF"/>
          </w:tcPr>
          <w:p>
            <w:pPr>
              <w:spacing w:after="0" w:line="247" w:lineRule="auto"/>
            </w:pPr>
            <w:r>
              <w:rPr>
                <w:sz w:val="18"/>
              </w:rPr>
              <w:t>Договор в необходимом объёме, пункт 5 части 1 статьи 6</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Игровые функции и связь</w:t>
            </w:r>
          </w:p>
        </w:tc>
        <w:tc>
          <w:tcPr>
            <w:tcW w:type="dxa" w:w="3345"/>
            <w:vAlign w:val="center"/>
            <w:tcMar>
              <w:top w:w="75" w:type="dxa"/>
              <w:bottom w:w="75" w:type="dxa"/>
              <w:left w:w="90" w:type="dxa"/>
              <w:right w:w="90" w:type="dxa"/>
            </w:tcMar>
            <w:shd w:fill="F4F4F4"/>
          </w:tcPr>
          <w:p>
            <w:pPr>
              <w:spacing w:after="0" w:line="247" w:lineRule="auto"/>
            </w:pPr>
            <w:r>
              <w:rPr>
                <w:sz w:val="18"/>
              </w:rPr>
              <w:t>Участники; сообщения, вложения, заявки, статусы, push-токены</w:t>
            </w:r>
          </w:p>
        </w:tc>
        <w:tc>
          <w:tcPr>
            <w:tcW w:type="dxa" w:w="3345"/>
            <w:vAlign w:val="center"/>
            <w:tcMar>
              <w:top w:w="75" w:type="dxa"/>
              <w:bottom w:w="75" w:type="dxa"/>
              <w:left w:w="90" w:type="dxa"/>
              <w:right w:w="90" w:type="dxa"/>
            </w:tcMar>
            <w:shd w:fill="F4F4F4"/>
          </w:tcPr>
          <w:p>
            <w:pPr>
              <w:spacing w:after="0" w:line="247" w:lineRule="auto"/>
            </w:pPr>
            <w:r>
              <w:rPr>
                <w:sz w:val="18"/>
              </w:rPr>
              <w:t>Договор и запрошенная функция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Необязательный профиль</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описание, фото, видео</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формы 03 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Геопозиция устройства</w:t>
            </w:r>
          </w:p>
        </w:tc>
        <w:tc>
          <w:tcPr>
            <w:tcW w:type="dxa" w:w="3345"/>
            <w:vAlign w:val="center"/>
            <w:tcMar>
              <w:top w:w="75" w:type="dxa"/>
              <w:bottom w:w="75" w:type="dxa"/>
              <w:left w:w="90" w:type="dxa"/>
              <w:right w:w="90" w:type="dxa"/>
            </w:tcMar>
            <w:shd w:fill="F4F4F4"/>
          </w:tcPr>
          <w:p>
            <w:pPr>
              <w:spacing w:after="0" w:line="247" w:lineRule="auto"/>
            </w:pPr>
            <w:r>
              <w:rPr>
                <w:sz w:val="18"/>
              </w:rPr>
              <w:t>Посетители и пользователи функции; координаты запроса определения города и необходимые технические сведения</w:t>
            </w:r>
          </w:p>
        </w:tc>
        <w:tc>
          <w:tcPr>
            <w:tcW w:type="dxa" w:w="3345"/>
            <w:vAlign w:val="center"/>
            <w:tcMar>
              <w:top w:w="75" w:type="dxa"/>
              <w:bottom w:w="75" w:type="dxa"/>
              <w:left w:w="90" w:type="dxa"/>
              <w:right w:w="90" w:type="dxa"/>
            </w:tcMar>
            <w:shd w:fill="F4F4F4"/>
          </w:tcPr>
          <w:p>
            <w:pPr>
              <w:spacing w:after="0" w:line="247" w:lineRule="auto"/>
            </w:pPr>
            <w:r>
              <w:rPr>
                <w:sz w:val="18"/>
              </w:rPr>
              <w:t>Отдельное согласие формы 03 Б при фактическом сборе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Рекомендации</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поиска; параметры и необходимая история действий и выдачи</w:t>
            </w:r>
          </w:p>
        </w:tc>
        <w:tc>
          <w:tcPr>
            <w:tcW w:type="dxa" w:w="3345"/>
            <w:vAlign w:val="center"/>
            <w:tcMar>
              <w:top w:w="75" w:type="dxa"/>
              <w:bottom w:w="75" w:type="dxa"/>
              <w:left w:w="90" w:type="dxa"/>
              <w:right w:w="90" w:type="dxa"/>
            </w:tcMar>
            <w:shd w:fill="FFFFFF"/>
          </w:tcPr>
          <w:p>
            <w:pPr>
              <w:spacing w:after="0" w:line="247" w:lineRule="auto"/>
            </w:pPr>
            <w:r>
              <w:rPr>
                <w:sz w:val="18"/>
              </w:rPr>
              <w:t>Договор в обоснованном объёме, отдельные правила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Необязательная аналитика</w:t>
            </w:r>
          </w:p>
        </w:tc>
        <w:tc>
          <w:tcPr>
            <w:tcW w:type="dxa" w:w="3345"/>
            <w:vAlign w:val="center"/>
            <w:tcMar>
              <w:top w:w="75" w:type="dxa"/>
              <w:bottom w:w="75" w:type="dxa"/>
              <w:left w:w="90" w:type="dxa"/>
              <w:right w:w="90" w:type="dxa"/>
            </w:tcMar>
            <w:shd w:fill="F4F4F4"/>
          </w:tcPr>
          <w:p>
            <w:pPr>
              <w:spacing w:after="0" w:line="247" w:lineRule="auto"/>
            </w:pPr>
            <w:r>
              <w:rPr>
                <w:sz w:val="18"/>
              </w:rPr>
              <w:t>Согласившиеся пользователи; события интерфейса и технические параметры</w:t>
            </w:r>
          </w:p>
        </w:tc>
        <w:tc>
          <w:tcPr>
            <w:tcW w:type="dxa" w:w="3345"/>
            <w:vAlign w:val="center"/>
            <w:tcMar>
              <w:top w:w="75" w:type="dxa"/>
              <w:bottom w:w="75" w:type="dxa"/>
              <w:left w:w="90" w:type="dxa"/>
              <w:right w:w="90" w:type="dxa"/>
            </w:tcMar>
            <w:shd w:fill="F4F4F4"/>
          </w:tcPr>
          <w:p>
            <w:pPr>
              <w:spacing w:after="0" w:line="247" w:lineRule="auto"/>
            </w:pPr>
            <w:r>
              <w:rPr>
                <w:sz w:val="18"/>
              </w:rPr>
              <w:t>Отдельное согласие формы 03 В</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Распространение анкет и поисков</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публикации; только выбранные поля, материалы и связь с центром</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по статье 10.1</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Поддержка безопасность и права</w:t>
            </w:r>
          </w:p>
        </w:tc>
        <w:tc>
          <w:tcPr>
            <w:tcW w:type="dxa" w:w="3345"/>
            <w:vAlign w:val="center"/>
            <w:tcMar>
              <w:top w:w="75" w:type="dxa"/>
              <w:bottom w:w="75" w:type="dxa"/>
              <w:left w:w="90" w:type="dxa"/>
              <w:right w:w="90" w:type="dxa"/>
            </w:tcMar>
            <w:shd w:fill="F4F4F4"/>
          </w:tcPr>
          <w:p>
            <w:pPr>
              <w:spacing w:after="0" w:line="247" w:lineRule="auto"/>
            </w:pPr>
            <w:r>
              <w:rPr>
                <w:sz w:val="18"/>
              </w:rPr>
              <w:t>Заявители и затронутые лица; обращения, доказательства, необходимые журналы</w:t>
            </w:r>
          </w:p>
        </w:tc>
        <w:tc>
          <w:tcPr>
            <w:tcW w:type="dxa" w:w="3345"/>
            <w:vAlign w:val="center"/>
            <w:tcMar>
              <w:top w:w="75" w:type="dxa"/>
              <w:bottom w:w="75" w:type="dxa"/>
              <w:left w:w="90" w:type="dxa"/>
              <w:right w:w="90" w:type="dxa"/>
            </w:tcMar>
            <w:shd w:fill="F4F4F4"/>
          </w:tcPr>
          <w:p>
            <w:pPr>
              <w:spacing w:after="0" w:line="247" w:lineRule="auto"/>
            </w:pPr>
            <w:r>
              <w:rPr>
                <w:sz w:val="18"/>
              </w:rPr>
              <w:t>Конкретные обязанности закона, договор либо законные интересы с оценкой соразмерности</w:t>
            </w:r>
          </w:p>
        </w:tc>
      </w:tr>
    </w:tbl>
    <w:p>
      <w:pPr>
        <w:spacing w:after="40" w:before="0" w:line="72" w:lineRule="auto"/>
      </w:pPr>
    </w:p>
    <w:p>
      <w:r>
        <w:t>Действия и способы указываются для каждой цели по факту: автоматизированная или смешанная обработка; сбор, запись, систематизация, накопление, хранение, уточнение, извлечение, использование, предусмотренное предоставление, блокирование, удаление, уничтожение. Распространение включается только для соответствующей цели. Нельзя выбрать все действия и категории без необходимости.</w:t>
      </w:r>
    </w:p>
    <w:p>
      <w:r>
        <w:t xml:space="preserve">Местонахождение базы данных ПД граждан РФ: Яндекс Клауд; </w:t>
      </w:r>
      <w:r>
        <w:rPr>
          <w:highlight w:val="yellow"/>
        </w:rPr>
        <w:t>[[ФАКТИЧЕСКИЙ РЕГИОН АДРЕС ЦОД И ХРАНИЛИЩА]]</w:t>
      </w:r>
      <w:r>
        <w:t xml:space="preserve">. Меры по статьям 18.1 и 19, используемые средства защиты и сведения о криптографических средствах: </w:t>
      </w:r>
      <w:r>
        <w:rPr>
          <w:highlight w:val="yellow"/>
        </w:rPr>
        <w:t>[[ФАКТИЧЕСКИЕ МЕРЫ И СРЕДСТВА]]</w:t>
      </w:r>
      <w:r>
        <w:t xml:space="preserve">. Обеспечение безопасности по требованиям Правительства РФ: </w:t>
      </w:r>
      <w:r>
        <w:rPr>
          <w:highlight w:val="yellow"/>
        </w:rPr>
        <w:t>[[ОЦЕНКА И ПРИМЕНИМЫЕ МЕРЫ]]</w:t>
      </w:r>
      <w:r>
        <w:t>.</w:t>
      </w:r>
    </w:p>
    <w:p>
      <w:r>
        <w:t xml:space="preserve">Трансграничная передача: используются Apple-вход, Google-вход (только при выборе «Другая страна») и push; SMS.ru и VK ID — российские получатели, трансграничной передачи не образуют, но вносятся в перечень получателей; </w:t>
      </w:r>
      <w:r>
        <w:rPr>
          <w:highlight w:val="yellow"/>
        </w:rPr>
        <w:t>[[ПОЛУЧАТЕЛИ СТРАНЫ И РЕЗУЛЬТАТ ПРОВЕРКИ]]</w:t>
      </w:r>
      <w:r>
        <w:t>. Состояние отдельного уведомления о трансграничной передаче владелец не уточнил. Не отмечать отсутствие только потому, что основная база российская. При наличии передачи подготовить отдельное уведомление по статье 12: сведения о получателях и странах, контакты, цели, основания, категории данных и субъектов, дата оценки получателей, полученная от них информация, допустимый момент начала и действующие ограничения. Учитывать редакцию закона после изменений от 26 июля 2026 года.</w:t>
      </w:r>
    </w:p>
    <w:p>
      <w:r>
        <w:t>После подписания и отправки сохранить экземпляр и подтверждение подачи, проверить запись в реестре. Если данные уже обрабатывались без уведомления, указывается достоверная дата и отдельно оценивается предшествующий период; уведомление не легализует его задним числом. Изменения сообщаются не позднее 15 числа следующего месяца, прекращение обработки — в течение 10 рабочих дней.</w:t>
      </w:r>
    </w:p>
    <w:p>
      <w:pPr>
        <w:pStyle w:val="Heading1"/>
      </w:pPr>
      <w:r>
        <w:t>4 Необходимые доработки приложения</w:t>
      </w:r>
    </w:p>
    <w:p>
      <w:r>
        <w:t>Это выявленные по рабочему дереву зависимости публикации, а не выполненные изменения. Незакоммиченный код не обязательно совпадает с production; перед внедрением проверить установленную версию.</w:t>
      </w:r>
    </w:p>
    <w:p>
      <w:r>
        <w:t>1. Разделить принятие соглашения и согласия. Сейчас web и iOS используют общую отметку и общую версию. Нужны отдельные тексты, подтверждения, история и отзыв по целям; необязательная аналитика не должна собираться до выбора и после отзыва.</w:t>
      </w:r>
    </w:p>
    <w:p>
      <w:r>
        <w:t>2. Контролировать гостевую выдачу. Владелец описал просмотр на этапах заполнения черновика. В обычном web-поиске черновик проверяется в браузере, но POST /users/discover/guest не требует сессии или доказательства прохождения этапов. /courts и /courts/{id} также возвращают карточки игроков без обязательного входа. Публичное приглашение /play/searches/invite/{идентификатор} доступно без черновика; закрытый lobby имеет другие правила. Документы охватывают фактическую гостевую аудиторию, каталог центров и приглашения. Если просмотр должен быть ограничен черновиком, это нужно реализовать на сервере во всех каналах. Выключение карты подавляет точки, но не скрывает анкету, район, расписание или фото. Разрешение на распространение должно проверяться до сериализации, отдельно по полям, аудитории и способу показа.</w:t>
      </w:r>
    </w:p>
    <w:p>
      <w:r>
        <w:t>3. Обеспечить выбор пользователя. По умолчанию показывать форму с пустыми отметками. Существующие записи showOnMap=true не считать доказательством отдельного согласия. Добавить поля ФИО и контакта для формы распространения, сохраняя их непублично. Не публиковать новые материалы по старому снимку выбора без надлежащего подтверждения.</w:t>
      </w:r>
    </w:p>
    <w:p>
      <w:r>
        <w:t>4. Проверить активные поиски. Гостевая выдача может содержать время, выбранный адрес, маршрут, комментарии и сведения о партнёре. Публичность этих полей и связанных лиц должна контролироваться отдельно; одно согласие автора не разрешает раскрывать данные партнёра.</w:t>
      </w:r>
    </w:p>
    <w:p>
      <w:r>
        <w:t>5. Реализовать полное прекращение показа и очистку. Удаление User не доказывает удаление файлов, записей DiscoverImpression без внешнего ключа и контактов или снимков контента в ContentReport. Нужны инвентаризация, минимизация сохраняемых доказательств и удаление из медиа, копий, кешей и экспортов.</w:t>
      </w:r>
    </w:p>
    <w:p>
      <w:r>
        <w:t>6. Утвердить предложенные ниже сроки и настроить очистку. Географический кеш имеет актуальность 6 часов, но сейчас это не гарантирует физическую очистку по таймеру. Окна ранжирования 7/14 дней и аналитики 7/30/90 дней не являются сроками хранения. Значение 14 дней в резервном скрипте тоже не доказывает фактическую работу ротации.</w:t>
      </w:r>
    </w:p>
    <w:p>
      <w:r>
        <w:t>7. Подтвердить работу с геопозицией. В разных сценариях используются справочные центры либо координаты устройства. Если точная геопозиция не поступает оператору и остаётся только на устройстве, уточнить форму 03 Б и политику под этот поток; не заявлять несуществующее сохранение координат.</w:t>
      </w:r>
    </w:p>
    <w:p>
      <w:r>
        <w:t>8. Разместить общедоступные документы, архив версий и точное уведомление о рекомендациях со ссылкой. Проверить с гостевого аккаунта, web, iOS и каждого распространяемого Android-клиента. Не обещать общий переключатель рекомендаций, которого в проверенном коде нет.</w:t>
      </w:r>
    </w:p>
    <w:p>
      <w:r>
        <w:t>9. Согласовать правила модерации с реальной поддержкой. Старый текст обещает 24 часа на жалобы. Новый проект не добавляет такого добровольного универсального срока; до введения новой редакции учитывать действующие обязательства. Специальные сроки закона сохраняются.</w:t>
      </w:r>
    </w:p>
    <w:p>
      <w:pPr>
        <w:pStyle w:val="Heading1"/>
      </w:pPr>
      <w:r>
        <w:t>4а Сделано 24 сентября 2026 года</w:t>
      </w:r>
    </w:p>
    <w:p>
      <w:r>
        <w:t>В коде реализованы раздельные согласия (ветка claude/separate-consents, в production ещё не выпущено). Пункты 1–4 раздела 4 закрыты так:</w:t>
      </w:r>
    </w:p>
    <w:p>
      <w:pPr>
        <w:pStyle w:val="ListBullet"/>
      </w:pPr>
      <w:r>
        <w:t>Вход: галочки «принимаю соглашение и даю согласие на обработку ПД» больше нет ни в web, ни в iOS, ни в Android. Соглашение принимается нажатием кнопки входа, рядом ссылка на соглашение и политику. В журнале принятий для новой редакции 2026-09-24 согласие на обработку ПД не записывается; для прежних редакций запись сохраняется как была.</w:t>
      </w:r>
    </w:p>
    <w:p>
      <w:pPr>
        <w:pStyle w:val="ListBullet"/>
      </w:pPr>
      <w:r>
        <w:t>Согласие на показ анкеты (документ 04): отдельный экран после анкеты с кнопкой-согласием, выбором групп сведений и аудитории, полем ФИО. Каждое решение — отдельная запись журнала UserConsent с версией текста.</w:t>
      </w:r>
    </w:p>
    <w:p>
      <w:pPr>
        <w:pStyle w:val="ListBullet"/>
      </w:pPr>
      <w:r>
        <w:t>Сервер показывает анкету в поиске, на карте, в гостевой выдаче, каталоге центров и дайджесте срочных поисков только при согласии и в пределах выбранных групп. Гостям — только при отдельном разрешении. Для срочных и регулярных поисков нужен пункт «Мои игровые поиски».</w:t>
      </w:r>
    </w:p>
    <w:p>
      <w:pPr>
        <w:pStyle w:val="ListBullet"/>
      </w:pPr>
      <w:r>
        <w:t>Аналитика (форма 03 В): события пишутся только при согласии, при отзыве удаляются, хранение ограничено 90 днями с автоматической очисткой.</w:t>
      </w:r>
    </w:p>
    <w:p>
      <w:pPr>
        <w:pStyle w:val="ListBullet"/>
      </w:pPr>
      <w:r>
        <w:t>Тексты на сайте: исправлены соглашение и политика, опубликованы /legal/profile-visibility и /legal/analytics.</w:t>
      </w:r>
    </w:p>
    <w:p>
      <w:r>
        <w:t>Решения владельца и связанные риски:</w:t>
      </w:r>
    </w:p>
    <w:p>
      <w:pPr>
        <w:pStyle w:val="ListBullet"/>
      </w:pPr>
      <w:r>
        <w:t>Действующие аккаунты не скрываются: до ответа они видны как прежде и получают экран «Мы обновили правила» при следующем открытии приложения. Кто нажал «Скрыть анкету», скрывается сразу. Кто не открывает приложение, продолжает показываться без действующего согласия — рекомендуется напоминание и срок для ответа.</w:t>
      </w:r>
    </w:p>
    <w:p>
      <w:pPr>
        <w:pStyle w:val="ListBullet"/>
      </w:pPr>
      <w:r>
        <w:t>Старые версии iOS и Android не знают об экране согласия. Их новые пользователи получают прежнее поведение, пока не обновят приложение. После выхода новой версии рекомендуется поднять минимальную версию приложения (механизм minVersion уже есть).</w:t>
      </w:r>
    </w:p>
    <w:p>
      <w:pPr>
        <w:pStyle w:val="ListBullet"/>
      </w:pPr>
      <w:r>
        <w:t>Аналитика останавливается для всех, кто не дал согласия. События, собранные до 24 сентября без отдельного согласия, пока не удалены — решение за владельцем.</w:t>
      </w:r>
    </w:p>
    <w:p>
      <w:pPr>
        <w:pStyle w:val="ListBullet"/>
      </w:pPr>
      <w:r>
        <w:t>Прежний режим iOS/Android «Ограниченный профиль» хранился только на телефоне и ничего не скрывал; он заменён разделом «Видимость и согласия».</w:t>
      </w:r>
    </w:p>
    <w:p>
      <w:pPr>
        <w:pStyle w:val="ListBullet"/>
      </w:pPr>
      <w:r>
        <w:t>Вход для России (26 сентября): страну указывает сам пользователь, документально она не проверяется. Действующие аккаунты с email или Apple не блокируются: после входа им предлагается привязать номер телефона (можно отложить), привязка доступна в настройках аккаунта. Старые версии приложений продолжают входить по email до обновления — после выхода новых версий рекомендуется поднять минимальную версию.</w:t>
      </w:r>
    </w:p>
    <w:p>
      <w:r>
        <w:t>Не сделано: форма 03 Б (геопозиция) — см. статус в документе 03; уведомление РКН по статье 22 и отдельное уведомление о трансграничной передаче; незаполненные поля документов 02, 06, 07.</w:t>
      </w:r>
    </w:p>
    <w:p>
      <w:pPr>
        <w:pStyle w:val="Heading1"/>
      </w:pPr>
      <w:r>
        <w:t>5 Вопросы для адресной проверки юристом</w:t>
      </w:r>
    </w:p>
    <w:p>
      <w:r>
        <w:t>ОРИ и чат. Установить, применяются ли к фактической модели обмена сообщениями обязанности статьи 10.1 закона № 149-ФЗ и какие именно: уведомление, хранение сведений, взаимодействие с органами и иные требования. При применимости определить законный состав и срок обязательного хранения до финализации политики удаления. Не делать вывода об освобождении по признаку бесплатности или малого масштаба.</w:t>
      </w:r>
    </w:p>
    <w:p>
      <w:r>
        <w:t>Авторизация. Реализовано: пользователь, указавший «Россия», входит только по SMS-коду на российский мобильный номер или через VK ID; email, Apple и Google доступны при выборе «Другая страна». Проверить по части 10 статьи 8 закона № 149-ФЗ: достаточно ли самостоятельного указания страны; квалифицируется ли собственная SMS-авторизация как авторизация «с использованием абонентского номера оператора подвижной радиотелефонной связи»; соответствует ли VK ID требованию о российской информационной системе; как поступить со старыми аккаунтами без телефона, которые не привязали номер. Отдельно — правило App Store 4.8: при стороннем входе (VK ID) должен быть доступен равноценный вариант; Sign in with Apple остаётся в приложении в режиме «Другая страна».</w:t>
      </w:r>
    </w:p>
    <w:p>
      <w:r>
        <w:t>Статус оператора. С 1 октября 2026 года оператор — индивидуальный предприниматель на НПД (ОГРНИП 326470400131678); ИНН прежний. Принятые редакции соглашения и согласий называют оператора по ФИО и ИНН. Проверить, что согласия остаются действительными без повторного получения. Решение владельца: пользовательское соглашение выпускается в новой редакции от 1 октября 2026 года (реквизиты ИП, вход по SMS и VK ID); действующие пользователи принимают её на экране «Мы обновили правила». Сборки приложений до 1 октября принимают прежнюю редакцию от 24 сентября — это фиксируется как есть, после обновления приложения человек принимает новую.</w:t>
      </w:r>
    </w:p>
    <w:p>
      <w:r>
        <w:t>Данные и договорные основания. Подтвердить разграничение необходимых функций и необязательных согласий; проверить выбранный объём истории для ранжирования, аналитики и доказательств; установить перечень получателей и легальность трансграничных потоков.</w:t>
      </w:r>
    </w:p>
    <w:p>
      <w:r>
        <w:t>Публичность и контент. Проверить форму распространения по приказу № 18, ресурсы и реальный контроль условий, лицензию на пользовательские материалы, правомерность публикации сведений участников и изображения третьих лиц. Отдельно проверить лицензии карт, геосправочников, импортируемых клубных материалов и название сервиса.</w:t>
      </w:r>
    </w:p>
    <w:p>
      <w:r>
        <w:t>Раздельные согласия. Подтвердить пять решений, принятых при внедрении: согласие на показ даётся кнопкой, а переключатели групп до первого ответа включены; запрет передачи за пределы сервиса установлен одинаково для всех и опубликован в политике, без отдельной галочки; описание, фото и видео профиля обрабатываются по соглашению без формы 03 А; определение города по координатам без формы 03 Б; действующие аккаунты видны до ответа на экран согласия.</w:t>
      </w:r>
    </w:p>
    <w:p>
      <w:r>
        <w:t>Ожидаемый результат консультации: конкретные правки к этим текстам и список действий по каждой функции с указанием применимых норм. Комплект не является заключением адвоката или подтверждением полной правовой готовности сервиса.</w:t>
      </w:r>
    </w:p>
    <w:p>
      <w:pPr>
        <w:pStyle w:val="Heading1"/>
      </w:pPr>
      <w:r>
        <w:t>6 Предлагаемые сроки и порядок введения</w:t>
      </w:r>
    </w:p>
    <w:p>
      <w:r>
        <w:t>В документы внесены правила для утверждения. Это не подтверждение работающих заданий очистки. Отзыв, прекращение цели и более короткие обязательные сроки имеют приоритет. Необходимость каждого срока проверяется до введения.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cantSplit/>
          <w:tblHeader/>
        </w:trPr>
        <w:tc>
          <w:tcPr>
            <w:tcW w:type="dxa" w:w="2948"/>
            <w:vAlign w:val="center"/>
            <w:tcMar>
              <w:top w:w="75" w:type="dxa"/>
              <w:bottom w:w="75" w:type="dxa"/>
              <w:left w:w="90" w:type="dxa"/>
              <w:right w:w="90" w:type="dxa"/>
            </w:tcMar>
            <w:shd w:fill="404040"/>
          </w:tcPr>
          <w:p>
            <w:pPr>
              <w:spacing w:after="0" w:line="247" w:lineRule="auto"/>
            </w:pPr>
            <w:r>
              <w:rPr>
                <w:b/>
                <w:color w:val="FFFFFF"/>
                <w:sz w:val="18"/>
              </w:rPr>
              <w:t>Набор</w:t>
            </w:r>
          </w:p>
        </w:tc>
        <w:tc>
          <w:tcPr>
            <w:tcW w:type="dxa" w:w="6576"/>
            <w:vAlign w:val="center"/>
            <w:tcMar>
              <w:top w:w="75" w:type="dxa"/>
              <w:bottom w:w="75" w:type="dxa"/>
              <w:left w:w="90" w:type="dxa"/>
              <w:right w:w="90" w:type="dxa"/>
            </w:tcMar>
            <w:shd w:fill="404040"/>
          </w:tcPr>
          <w:p>
            <w:pPr>
              <w:spacing w:after="0" w:line="247" w:lineRule="auto"/>
            </w:pPr>
            <w:r>
              <w:rPr>
                <w:b/>
                <w:color w:val="FFFFFF"/>
                <w:sz w:val="18"/>
              </w:rPr>
              <w:t>Предлагаемый срок</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Кеш определения города с координатами</w:t>
            </w:r>
          </w:p>
        </w:tc>
        <w:tc>
          <w:tcPr>
            <w:tcW w:type="dxa" w:w="6576"/>
            <w:vAlign w:val="center"/>
            <w:tcMar>
              <w:top w:w="75" w:type="dxa"/>
              <w:bottom w:w="75" w:type="dxa"/>
              <w:left w:w="90" w:type="dxa"/>
              <w:right w:w="90" w:type="dxa"/>
            </w:tcMar>
            <w:shd w:fill="FFFFFF"/>
          </w:tcPr>
          <w:p>
            <w:pPr>
              <w:spacing w:after="0" w:line="247" w:lineRule="auto"/>
            </w:pPr>
            <w:r>
              <w:rPr>
                <w:sz w:val="18"/>
              </w:rPr>
              <w:t>До 6 часов с явным удалением; не включать координаты в обычные журналы</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История показов рекомендаций</w:t>
            </w:r>
          </w:p>
        </w:tc>
        <w:tc>
          <w:tcPr>
            <w:tcW w:type="dxa" w:w="6576"/>
            <w:vAlign w:val="center"/>
            <w:tcMar>
              <w:top w:w="75" w:type="dxa"/>
              <w:bottom w:w="75" w:type="dxa"/>
              <w:left w:w="90" w:type="dxa"/>
              <w:right w:w="90" w:type="dxa"/>
            </w:tcMar>
            <w:shd w:fill="F4F4F4"/>
          </w:tcPr>
          <w:p>
            <w:pPr>
              <w:spacing w:after="0" w:line="247" w:lineRule="auto"/>
            </w:pPr>
            <w:r>
              <w:rPr>
                <w:sz w:val="18"/>
              </w:rPr>
              <w:t>До 14 дней с показа для ограничения повторов</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Необязательная внутренняя аналитика</w:t>
            </w:r>
          </w:p>
        </w:tc>
        <w:tc>
          <w:tcPr>
            <w:tcW w:type="dxa" w:w="6576"/>
            <w:vAlign w:val="center"/>
            <w:tcMar>
              <w:top w:w="75" w:type="dxa"/>
              <w:bottom w:w="75" w:type="dxa"/>
              <w:left w:w="90" w:type="dxa"/>
              <w:right w:w="90" w:type="dxa"/>
            </w:tcMar>
            <w:shd w:fill="FFFFFF"/>
          </w:tcPr>
          <w:p>
            <w:pPr>
              <w:spacing w:after="0" w:line="247" w:lineRule="auto"/>
            </w:pPr>
            <w:r>
              <w:rPr>
                <w:sz w:val="18"/>
              </w:rPr>
              <w:t>До 90 дней с события; при отзыве применяется более короткий законный срок</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Технические журналы</w:t>
            </w:r>
          </w:p>
        </w:tc>
        <w:tc>
          <w:tcPr>
            <w:tcW w:type="dxa" w:w="6576"/>
            <w:vAlign w:val="center"/>
            <w:tcMar>
              <w:top w:w="75" w:type="dxa"/>
              <w:bottom w:w="75" w:type="dxa"/>
              <w:left w:w="90" w:type="dxa"/>
              <w:right w:w="90" w:type="dxa"/>
            </w:tcMar>
            <w:shd w:fill="F4F4F4"/>
          </w:tcPr>
          <w:p>
            <w:pPr>
              <w:spacing w:after="0" w:line="247" w:lineRule="auto"/>
            </w:pPr>
            <w:r>
              <w:rPr>
                <w:sz w:val="18"/>
              </w:rPr>
              <w:t>До 30 дней; доказательства конкретного инцидента выделяются отдельно</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Резервные копии</w:t>
            </w:r>
          </w:p>
        </w:tc>
        <w:tc>
          <w:tcPr>
            <w:tcW w:type="dxa" w:w="6576"/>
            <w:vAlign w:val="center"/>
            <w:tcMar>
              <w:top w:w="75" w:type="dxa"/>
              <w:bottom w:w="75" w:type="dxa"/>
              <w:left w:w="90" w:type="dxa"/>
              <w:right w:w="90" w:type="dxa"/>
            </w:tcMar>
            <w:shd w:fill="FFFFFF"/>
          </w:tcPr>
          <w:p>
            <w:pPr>
              <w:spacing w:after="0" w:line="247" w:lineRule="auto"/>
            </w:pPr>
            <w:r>
              <w:rPr>
                <w:sz w:val="18"/>
              </w:rPr>
              <w:t>До 14 дней с создания; повторить удаление при восстановлении до открытия доступа</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Обычные обращения</w:t>
            </w:r>
          </w:p>
        </w:tc>
        <w:tc>
          <w:tcPr>
            <w:tcW w:type="dxa" w:w="6576"/>
            <w:vAlign w:val="center"/>
            <w:tcMar>
              <w:top w:w="75" w:type="dxa"/>
              <w:bottom w:w="75" w:type="dxa"/>
              <w:left w:w="90" w:type="dxa"/>
              <w:right w:w="90" w:type="dxa"/>
            </w:tcMar>
            <w:shd w:fill="F4F4F4"/>
          </w:tcPr>
          <w:p>
            <w:pPr>
              <w:spacing w:after="0" w:line="247" w:lineRule="auto"/>
            </w:pPr>
            <w:r>
              <w:rPr>
                <w:sz w:val="18"/>
              </w:rPr>
              <w:t>До 1 года после закрытия при сохраняющейся необходимости</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Минимальные доказательства согласия</w:t>
            </w:r>
          </w:p>
        </w:tc>
        <w:tc>
          <w:tcPr>
            <w:tcW w:type="dxa" w:w="6576"/>
            <w:vAlign w:val="center"/>
            <w:tcMar>
              <w:top w:w="75" w:type="dxa"/>
              <w:bottom w:w="75" w:type="dxa"/>
              <w:left w:w="90" w:type="dxa"/>
              <w:right w:w="90" w:type="dxa"/>
            </w:tcMar>
            <w:shd w:fill="FFFFFF"/>
          </w:tcPr>
          <w:p>
            <w:pPr>
              <w:spacing w:after="0" w:line="247" w:lineRule="auto"/>
            </w:pPr>
            <w:r>
              <w:rPr>
                <w:sz w:val="18"/>
              </w:rPr>
              <w:t>До 3 лет после прекращения обработки только при документированном основании защиты прав и исполнения закона</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Акт уничтожения и выгрузка событий</w:t>
            </w:r>
          </w:p>
        </w:tc>
        <w:tc>
          <w:tcPr>
            <w:tcW w:type="dxa" w:w="6576"/>
            <w:vAlign w:val="center"/>
            <w:tcMar>
              <w:top w:w="75" w:type="dxa"/>
              <w:bottom w:w="75" w:type="dxa"/>
              <w:left w:w="90" w:type="dxa"/>
              <w:right w:w="90" w:type="dxa"/>
            </w:tcMar>
            <w:shd w:fill="F4F4F4"/>
          </w:tcPr>
          <w:p>
            <w:pPr>
              <w:spacing w:after="0" w:line="247" w:lineRule="auto"/>
            </w:pPr>
            <w:r>
              <w:rPr>
                <w:sz w:val="18"/>
              </w:rPr>
              <w:t>3 года после уничтожения по приказу РКН № 179</w:t>
            </w:r>
          </w:p>
        </w:tc>
      </w:tr>
    </w:tbl>
    <w:p>
      <w:pPr>
        <w:spacing w:after="40" w:before="0" w:line="72" w:lineRule="auto"/>
      </w:pPr>
    </w:p>
    <w:p>
      <w:r>
        <w:t>Три года для доказательств согласия не разрешают хранить весь профиль, медиа или переписку. Специальная обязательная обработка и конкретный спор имеют собственные основания и сроки. Срок действия сессии (180 дней с последней активности, продлевается при использовании), кода входа (10 минут по email, 5 минут по SMS) и cookie приглашения 30 дней не равен сроку удаления записей базы.</w:t>
      </w:r>
    </w:p>
    <w:p>
      <w:r>
        <w:t xml:space="preserve">Адреса для внедрения выбраны на домене </w:t>
      </w:r>
      <w:hyperlink r:id="rId14">
        <w:r>
          <w:rPr>
            <w:color w:val="1F4D70"/>
            <w:u w:val="single"/>
          </w:rPr>
          <w:t>https://sportsearch.shop:</w:t>
        </w:r>
      </w:hyperlink>
      <w:r>
        <w:t xml:space="preserve"> /legal/terms — соглашение; /legal/privacy — политика; /legal/recommendations — рекомендации; /legal/analytics — перечень аналитических событий; /legal/archive — прежние редакции. Первые две страницы есть в проекте, остальные адреса являются планом размещения. Формы согласий должны открываться отдельно в соответствующих функциях. Наличие новых страниц не подтверждено.</w:t>
      </w:r>
    </w:p>
    <w:p>
      <w:r>
        <w:t>Сначала заполнить инфраструктуру, реквизиты и цели, проверить уведомления и специальные вопросы. Затем согласовать окончательные тексты, реализовать контроль согласий и удаление, проверить функции. Утвердить дату введения, опубликовать чистые пользовательские документы, получить необходимые новые подтверждения и сохранить доказательства.</w:t>
      </w:r>
    </w:p>
    <w:p>
      <w:r>
        <w:t>Проверка готовности: все поля владельца заполнены; пользовательские формы формируют экземпляр выбранных условий; нет публикации без разрешения; отзыв немедленно закрывает соответствующий публичный доступ; удаление проверено на тестовом аккаунте во всех хранилищах; уведомления и договоры соответствуют реальным потокам; обращения и инциденты имеют рабочий канал и сроки. Согласия не собирать задним числом.</w:t>
      </w:r>
    </w:p>
    <w:p>
      <w:pPr>
        <w:pStyle w:val="Heading1"/>
      </w:pPr>
      <w:r>
        <w:t>7 Источники и границы проверки</w:t>
      </w:r>
    </w:p>
    <w:p>
      <w:r>
        <w:t>Нормы первоначально сверены 7 сентября 2026 года; реквизиты поставщиков и сведения владельца уточнены 8 сентября 2026 года по доступным текстам законодательства и актов Роскомнадзора. До введения документов после этой даты проверить изменения. Приведённые правовые основания относятся к проекту и не заменяют сведения о действующей конфигурации.</w:t>
      </w:r>
    </w:p>
    <w:p>
      <w:pPr>
        <w:pStyle w:val="ListBullet"/>
      </w:pPr>
      <w:hyperlink r:id="rId15">
        <w:r>
          <w:rPr>
            <w:color w:val="1F4D70"/>
            <w:u w:val="single"/>
          </w:rPr>
          <w:t>Закон № 152-ФЗ, согласие, статья 9</w:t>
        </w:r>
      </w:hyperlink>
    </w:p>
    <w:p>
      <w:pPr>
        <w:pStyle w:val="ListBullet"/>
      </w:pPr>
      <w:hyperlink r:id="rId16">
        <w:r>
          <w:rPr>
            <w:color w:val="1F4D70"/>
            <w:u w:val="single"/>
          </w:rPr>
          <w:t>Распространение, статья 10.1</w:t>
        </w:r>
      </w:hyperlink>
    </w:p>
    <w:p>
      <w:pPr>
        <w:pStyle w:val="ListBullet"/>
      </w:pPr>
      <w:hyperlink r:id="rId17">
        <w:r>
          <w:rPr>
            <w:color w:val="1F4D70"/>
            <w:u w:val="single"/>
          </w:rPr>
          <w:t>Содержание согласия, приказ РКН № 18</w:t>
        </w:r>
      </w:hyperlink>
    </w:p>
    <w:p>
      <w:pPr>
        <w:pStyle w:val="ListBullet"/>
      </w:pPr>
      <w:hyperlink r:id="rId18">
        <w:r>
          <w:rPr>
            <w:color w:val="1F4D70"/>
            <w:u w:val="single"/>
          </w:rPr>
          <w:t>Локализация, статья 18</w:t>
        </w:r>
      </w:hyperlink>
    </w:p>
    <w:p>
      <w:pPr>
        <w:pStyle w:val="ListBullet"/>
      </w:pPr>
      <w:hyperlink r:id="rId19">
        <w:r>
          <w:rPr>
            <w:color w:val="1F4D70"/>
            <w:u w:val="single"/>
          </w:rPr>
          <w:t>Трансграничная передача, статья 12</w:t>
        </w:r>
      </w:hyperlink>
    </w:p>
    <w:p>
      <w:pPr>
        <w:pStyle w:val="ListBullet"/>
      </w:pPr>
      <w:hyperlink r:id="rId20">
        <w:r>
          <w:rPr>
            <w:color w:val="1F4D70"/>
            <w:u w:val="single"/>
          </w:rPr>
          <w:t>Обязанности оператора, статья 18.1</w:t>
        </w:r>
      </w:hyperlink>
    </w:p>
    <w:p>
      <w:pPr>
        <w:pStyle w:val="ListBullet"/>
      </w:pPr>
      <w:hyperlink r:id="rId21">
        <w:r>
          <w:rPr>
            <w:color w:val="1F4D70"/>
            <w:u w:val="single"/>
          </w:rPr>
          <w:t>Обращения, статья 20</w:t>
        </w:r>
      </w:hyperlink>
    </w:p>
    <w:p>
      <w:pPr>
        <w:pStyle w:val="ListBullet"/>
      </w:pPr>
      <w:hyperlink r:id="rId22">
        <w:r>
          <w:rPr>
            <w:color w:val="1F4D70"/>
            <w:u w:val="single"/>
          </w:rPr>
          <w:t>Удаление и инциденты, статья 21</w:t>
        </w:r>
      </w:hyperlink>
    </w:p>
    <w:p>
      <w:pPr>
        <w:pStyle w:val="ListBullet"/>
      </w:pPr>
      <w:hyperlink r:id="rId23">
        <w:r>
          <w:rPr>
            <w:color w:val="1F4D70"/>
            <w:u w:val="single"/>
          </w:rPr>
          <w:t>Уведомление оператора, статья 22</w:t>
        </w:r>
      </w:hyperlink>
    </w:p>
    <w:p>
      <w:pPr>
        <w:pStyle w:val="ListBullet"/>
      </w:pPr>
      <w:hyperlink r:id="rId24">
        <w:r>
          <w:rPr>
            <w:color w:val="1F4D70"/>
            <w:u w:val="single"/>
          </w:rPr>
          <w:t>Подтверждение уничтожения, приказ РКН № 179</w:t>
        </w:r>
      </w:hyperlink>
    </w:p>
    <w:p>
      <w:pPr>
        <w:pStyle w:val="ListBullet"/>
      </w:pPr>
      <w:hyperlink r:id="rId25">
        <w:r>
          <w:rPr>
            <w:color w:val="1F4D70"/>
            <w:u w:val="single"/>
          </w:rPr>
          <w:t>Оценка вреда, приказ РКН № 178</w:t>
        </w:r>
      </w:hyperlink>
    </w:p>
    <w:p>
      <w:pPr>
        <w:pStyle w:val="ListBullet"/>
      </w:pPr>
      <w:hyperlink r:id="rId26">
        <w:r>
          <w:rPr>
            <w:color w:val="1F4D70"/>
            <w:u w:val="single"/>
          </w:rPr>
          <w:t>Защита данных, постановление Правительства № 1119</w:t>
        </w:r>
      </w:hyperlink>
    </w:p>
    <w:p>
      <w:pPr>
        <w:pStyle w:val="ListBullet"/>
      </w:pPr>
      <w:hyperlink r:id="rId27">
        <w:r>
          <w:rPr>
            <w:color w:val="1F4D70"/>
            <w:u w:val="single"/>
          </w:rPr>
          <w:t>Рекомендации, статья 10.2-2 закона № 149-ФЗ</w:t>
        </w:r>
      </w:hyperlink>
    </w:p>
    <w:p>
      <w:pPr>
        <w:pStyle w:val="ListBullet"/>
      </w:pPr>
      <w:hyperlink r:id="rId28">
        <w:r>
          <w:rPr>
            <w:color w:val="1F4D70"/>
            <w:u w:val="single"/>
          </w:rPr>
          <w:t>Уведомление о рекомендациях, приказ РКН № 149</w:t>
        </w:r>
      </w:hyperlink>
    </w:p>
    <w:p>
      <w:pPr>
        <w:pStyle w:val="ListBullet"/>
      </w:pPr>
      <w:hyperlink r:id="rId29">
        <w:r>
          <w:rPr>
            <w:color w:val="1F4D70"/>
            <w:u w:val="single"/>
          </w:rPr>
          <w:t>ОРИ, статья 10.1 закона № 149-ФЗ</w:t>
        </w:r>
      </w:hyperlink>
    </w:p>
    <w:p>
      <w:pPr>
        <w:pStyle w:val="ListBullet"/>
      </w:pPr>
      <w:hyperlink r:id="rId30">
        <w:r>
          <w:rPr>
            <w:color w:val="1F4D70"/>
            <w:u w:val="single"/>
          </w:rPr>
          <w:t>Авторизация, часть 10 статьи 8 закона № 149-ФЗ</w:t>
        </w:r>
      </w:hyperlink>
    </w:p>
    <w:p>
      <w:pPr>
        <w:pStyle w:val="ListBullet"/>
      </w:pPr>
      <w:hyperlink r:id="rId31">
        <w:r>
          <w:rPr>
            <w:color w:val="1F4D70"/>
            <w:u w:val="single"/>
          </w:rPr>
          <w:t>НПД, информация ФНС</w:t>
        </w:r>
      </w:hyperlink>
    </w:p>
    <w:p>
      <w:pPr>
        <w:pStyle w:val="ListBullet"/>
      </w:pPr>
      <w:hyperlink r:id="rId32">
        <w:r>
          <w:rPr>
            <w:color w:val="1F4D70"/>
            <w:u w:val="single"/>
          </w:rPr>
          <w:t>Реквизиты Яндекс Клауд</w:t>
        </w:r>
      </w:hyperlink>
    </w:p>
    <w:p>
      <w:pPr>
        <w:pStyle w:val="ListBullet"/>
      </w:pPr>
      <w:hyperlink r:id="rId33">
        <w:r>
          <w:rPr>
            <w:color w:val="1F4D70"/>
            <w:u w:val="single"/>
          </w:rPr>
          <w:t>Регионы Яндекс Клауд</w:t>
        </w:r>
      </w:hyperlink>
    </w:p>
    <w:p>
      <w:pPr>
        <w:pStyle w:val="ListBullet"/>
      </w:pPr>
      <w:hyperlink r:id="rId34">
        <w:r>
          <w:rPr>
            <w:color w:val="1F4D70"/>
            <w:u w:val="single"/>
          </w:rPr>
          <w:t>Условия платформы и поручение обработки</w:t>
        </w:r>
      </w:hyperlink>
    </w:p>
    <w:p>
      <w:pPr>
        <w:pStyle w:val="ListBullet"/>
      </w:pPr>
      <w:hyperlink r:id="rId35">
        <w:r>
          <w:rPr>
            <w:color w:val="1F4D70"/>
            <w:u w:val="single"/>
          </w:rPr>
          <w:t>Postbox</w:t>
        </w:r>
      </w:hyperlink>
    </w:p>
    <w:p>
      <w:pPr>
        <w:pStyle w:val="ListBullet"/>
      </w:pPr>
      <w:hyperlink r:id="rId36">
        <w:r>
          <w:rPr>
            <w:color w:val="1F4D70"/>
            <w:u w:val="single"/>
          </w:rPr>
          <w:t>Реквизиты Яндекс Карт в API-оферте</w:t>
        </w:r>
      </w:hyperlink>
    </w:p>
    <w:p>
      <w:pPr>
        <w:pStyle w:val="ListBullet"/>
      </w:pPr>
      <w:hyperlink r:id="rId37">
        <w:r>
          <w:rPr>
            <w:color w:val="1F4D70"/>
            <w:u w:val="single"/>
          </w:rPr>
          <w:t>Юридические лица Apple</w:t>
        </w:r>
      </w:hyperlink>
    </w:p>
    <w:p>
      <w:pPr>
        <w:pStyle w:val="ListBullet"/>
      </w:pPr>
      <w:hyperlink r:id="rId38">
        <w:r>
          <w:rPr>
            <w:color w:val="1F4D70"/>
            <w:u w:val="single"/>
          </w:rPr>
          <w:t>Условия Apple Developer Program</w:t>
        </w:r>
      </w:hyperlink>
    </w:p>
    <w:p>
      <w:r>
        <w:t>Проверенные области проекта: реквизиты и старые юридические тексты, формы входа, схема данных, гостевая выдача и сериализация, карта районов, scoring и recommendations, удаление аккаунта и медиа, события аналитики и резервный скрипт. Проверка не включала подключение к production, договоры поставщиков, подачу уведомлений и подтверждение наличия записей в реестре. Полный юридический аудит кода, контента и лицензий не выполнялся.</w:t>
      </w:r>
    </w:p>
    <w:p>
      <w:r>
        <w:t>Изменения ограничены этим комплектом документов. Сборки web/iOS, миграции и продуктовые тесты не выполнялись, поскольку приложение не изменялось. Выполняются содержательная сверка, независимая проверка проектов и визуальная проверка всех страниц Word.</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НаТреню  |  Комплект документов  |  Проект 08.09.2026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earch.shop" TargetMode="External"/><Relationship Id="rId12" Type="http://schemas.openxmlformats.org/officeDocument/2006/relationships/hyperlink" Target="https://apps.apple.com/app/id6768862885" TargetMode="External"/><Relationship Id="rId13" Type="http://schemas.openxmlformats.org/officeDocument/2006/relationships/hyperlink" Target="https://pd.rkn.gov.ru/operators-registry/notification/form/" TargetMode="External"/><Relationship Id="rId14" Type="http://schemas.openxmlformats.org/officeDocument/2006/relationships/hyperlink" Target="https://sportsearch.shop:" TargetMode="External"/><Relationship Id="rId15" Type="http://schemas.openxmlformats.org/officeDocument/2006/relationships/hyperlink" Target="https://www.consultant.ru/document/cons_doc_LAW_61801/6c94959bc017ac80140621762d2ac59f6006b08c/" TargetMode="External"/><Relationship Id="rId16" Type="http://schemas.openxmlformats.org/officeDocument/2006/relationships/hyperlink" Target="https://www.consultant.ru/document/cons_doc_LAW_61801/591acc70f577873c1ee54765eda110b7a0271eaf/" TargetMode="External"/><Relationship Id="rId17" Type="http://schemas.openxmlformats.org/officeDocument/2006/relationships/hyperlink" Target="https://www.consultant.ru/document/cons_doc_LAW_382687/37752db178121f5758180844db843703ca3f46e5/" TargetMode="External"/><Relationship Id="rId18" Type="http://schemas.openxmlformats.org/officeDocument/2006/relationships/hyperlink" Target="https://www.consultant.ru/document/cons_doc_LAW_61801/cbf4e15b7c330f9372e876cdf2bc928bad7950ef/" TargetMode="External"/><Relationship Id="rId19" Type="http://schemas.openxmlformats.org/officeDocument/2006/relationships/hyperlink" Target="https://www.consultant.ru/document/cons_doc_LAW_61801/e4ebbe1780de623c7cf32a59ca82a7bb523a25dd/" TargetMode="External"/><Relationship Id="rId20" Type="http://schemas.openxmlformats.org/officeDocument/2006/relationships/hyperlink" Target="https://www.consultant.ru/document/cons_doc_LAW_61801/eeeebe22bf738fd65bb66b95cc278911ae2525ee/" TargetMode="External"/><Relationship Id="rId21" Type="http://schemas.openxmlformats.org/officeDocument/2006/relationships/hyperlink" Target="https://www.consultant.ru/document/cons_doc_LAW_61801/7aeb0acd5aa76dbc888a07e52ca06a92568c6e96/" TargetMode="External"/><Relationship Id="rId22" Type="http://schemas.openxmlformats.org/officeDocument/2006/relationships/hyperlink" Target="https://www.consultant.ru/document/cons_doc_LAW_61801/d3fe43a7c415353b17faab255bc0de92bea127da/" TargetMode="External"/><Relationship Id="rId23" Type="http://schemas.openxmlformats.org/officeDocument/2006/relationships/hyperlink" Target="https://www.consultant.ru/document/cons_doc_LAW_61801/d996966e22e1320c9de1ab82d9f6be12c3d9d765/" TargetMode="External"/><Relationship Id="rId24" Type="http://schemas.openxmlformats.org/officeDocument/2006/relationships/hyperlink" Target="https://www.consultant.ru/document/cons_doc_LAW_432556/3657b3fd3f89dca114998f234f7386732da06548/" TargetMode="External"/><Relationship Id="rId25" Type="http://schemas.openxmlformats.org/officeDocument/2006/relationships/hyperlink" Target="https://www.consultant.ru/document/cons_doc_LAW_432555/b0a36ce9406e3cdaec56be5706698e8439f900c5/" TargetMode="External"/><Relationship Id="rId26" Type="http://schemas.openxmlformats.org/officeDocument/2006/relationships/hyperlink" Target="https://www.consultant.ru/document/cons_doc_LAW_137356/8c86cf6357879e861790a8a7ca8bea4227d56c72/" TargetMode="External"/><Relationship Id="rId27" Type="http://schemas.openxmlformats.org/officeDocument/2006/relationships/hyperlink" Target="https://www.consultant.ru/document/cons_doc_LAW_61798/2a69c627d62738291fe0a0fd4c1253385e730784/" TargetMode="External"/><Relationship Id="rId28" Type="http://schemas.openxmlformats.org/officeDocument/2006/relationships/hyperlink" Target="https://www.garant.ru/products/ipo/prime/doc/408008803/" TargetMode="External"/><Relationship Id="rId29" Type="http://schemas.openxmlformats.org/officeDocument/2006/relationships/hyperlink" Target="https://www.consultant.ru/document/cons_doc_LAW_61798/9ab7abe2b9fe407f507610f7e6e14a951d575585/" TargetMode="External"/><Relationship Id="rId30" Type="http://schemas.openxmlformats.org/officeDocument/2006/relationships/hyperlink" Target="https://www.consultant.ru/document/cons_doc_LAW_61798/78b773a28f3ad19eb234697b20ab1d48c09f748a/" TargetMode="External"/><Relationship Id="rId31" Type="http://schemas.openxmlformats.org/officeDocument/2006/relationships/hyperlink" Target="https://npd.nalog.ru/" TargetMode="External"/><Relationship Id="rId32" Type="http://schemas.openxmlformats.org/officeDocument/2006/relationships/hyperlink" Target="https://yandex.cloud/ru/about" TargetMode="External"/><Relationship Id="rId33" Type="http://schemas.openxmlformats.org/officeDocument/2006/relationships/hyperlink" Target="https://yandex.cloud/ru/docs/overview/concepts/region" TargetMode="External"/><Relationship Id="rId34" Type="http://schemas.openxmlformats.org/officeDocument/2006/relationships/hyperlink" Target="https://yandex.ru/legal/cloud_termsofuse/ru/" TargetMode="External"/><Relationship Id="rId35" Type="http://schemas.openxmlformats.org/officeDocument/2006/relationships/hyperlink" Target="https://yandex.cloud/ru/docs/postbox/" TargetMode="External"/><Relationship Id="rId36" Type="http://schemas.openxmlformats.org/officeDocument/2006/relationships/hyperlink" Target="https://yandex.ru/legal/maps_api_offer/ru" TargetMode="External"/><Relationship Id="rId37" Type="http://schemas.openxmlformats.org/officeDocument/2006/relationships/hyperlink" Target="https://www.apple.com/legal/privacy/en/affiliated-company/" TargetMode="External"/><Relationship Id="rId38" Type="http://schemas.openxmlformats.org/officeDocument/2006/relationships/hyperlink" Target="https://developer.apple.com/support/terms/apple-developer-program-licens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Комплект документов НаТреню</dc:title>
  <dc:subject>Бесплатное приложение НаТреню без рекламы</dc:subject>
  <dc:creator>НаТреню</dc:creator>
  <cp:keywords>Проект; персональные данные; самозанятый; НаТреню</cp:keywords>
  <dc:description>generated by python-docx</dc:description>
  <cp:lastModifiedBy/>
  <cp:revision>1</cp:revision>
  <dcterms:created xsi:type="dcterms:W3CDTF">2026-09-08T00:00:00Z</dcterms:created>
  <dcterms:modified xsi:type="dcterms:W3CDTF">2026-09-08T00:00:00Z</dcterms:modified>
  <cp:category/>
</cp:coreProperties>
</file>