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Комплект документов SportSearch</w:t>
      </w:r>
    </w:p>
    <w:p>
      <w:r>
        <w:t>Инструкция владельцу и сведения для Роскомнадзора. Подготовлено 7 сентября 2026 года для бесплатного приложения без рекламы. Оператор — Захаров Матвей Владимирович, физическое лицо на НПД, ИНН 471803649801. Контакт из проекта: support@sportsearch.shop.</w:t>
      </w:r>
    </w:p>
    <w:p>
      <w:r>
        <w:t>Комплект содержит проекты текстов и рабочие формы. Чтобы применять их, нужно заполнить отмеченные сведения, сопоставить документы с действующей версией приложения и реализовать указанные механизмы. Документы не опубликованы, уведомления от вашего имени не поданы, приложение не изменено. Дата подготовки не является датой вашего утверждения или начала действия документов.</w:t>
      </w:r>
    </w:p>
    <w:p>
      <w:pPr>
        <w:pStyle w:val="Heading1"/>
      </w:pPr>
      <w:r>
        <w:t>1 Состав и назначение</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35"/>
        <w:gridCol w:w="3345"/>
        <w:gridCol w:w="3345"/>
      </w:tblGrid>
      <w:tr>
        <w:trPr>
          <w:cantSplit/>
          <w:tblHeader/>
        </w:trPr>
        <w:tc>
          <w:tcPr>
            <w:tcW w:type="dxa" w:w="2835"/>
            <w:vAlign w:val="center"/>
            <w:tcMar>
              <w:top w:w="75" w:type="dxa"/>
              <w:bottom w:w="75" w:type="dxa"/>
              <w:left w:w="90" w:type="dxa"/>
              <w:right w:w="90" w:type="dxa"/>
            </w:tcMar>
            <w:shd w:fill="404040"/>
          </w:tcPr>
          <w:p>
            <w:pPr>
              <w:spacing w:after="0" w:line="247" w:lineRule="auto"/>
            </w:pPr>
            <w:r>
              <w:rPr>
                <w:b/>
                <w:color w:val="FFFFFF"/>
                <w:sz w:val="18"/>
              </w:rPr>
              <w:t>Документ</w:t>
            </w:r>
          </w:p>
        </w:tc>
        <w:tc>
          <w:tcPr>
            <w:tcW w:type="dxa" w:w="3345"/>
            <w:vAlign w:val="center"/>
            <w:tcMar>
              <w:top w:w="75" w:type="dxa"/>
              <w:bottom w:w="75" w:type="dxa"/>
              <w:left w:w="90" w:type="dxa"/>
              <w:right w:w="90" w:type="dxa"/>
            </w:tcMar>
            <w:shd w:fill="404040"/>
          </w:tcPr>
          <w:p>
            <w:pPr>
              <w:spacing w:after="0" w:line="247" w:lineRule="auto"/>
            </w:pPr>
            <w:r>
              <w:rPr>
                <w:b/>
                <w:color w:val="FFFFFF"/>
                <w:sz w:val="18"/>
              </w:rPr>
              <w:t>Кому предназначен</w:t>
            </w:r>
          </w:p>
        </w:tc>
        <w:tc>
          <w:tcPr>
            <w:tcW w:type="dxa" w:w="3345"/>
            <w:vAlign w:val="center"/>
            <w:tcMar>
              <w:top w:w="75" w:type="dxa"/>
              <w:bottom w:w="75" w:type="dxa"/>
              <w:left w:w="90" w:type="dxa"/>
              <w:right w:w="90" w:type="dxa"/>
            </w:tcMar>
            <w:shd w:fill="404040"/>
          </w:tcPr>
          <w:p>
            <w:pPr>
              <w:spacing w:after="0" w:line="247" w:lineRule="auto"/>
            </w:pPr>
            <w:r>
              <w:rPr>
                <w:b/>
                <w:color w:val="FFFFFF"/>
                <w:sz w:val="18"/>
              </w:rPr>
              <w:t>Как применять</w:t>
            </w:r>
          </w:p>
        </w:tc>
      </w:tr>
      <w:tr>
        <w:trPr>
          <w:cantSplit/>
        </w:trPr>
        <w:tc>
          <w:tcPr>
            <w:tcW w:type="dxa" w:w="2835"/>
            <w:vAlign w:val="center"/>
            <w:tcMar>
              <w:top w:w="75" w:type="dxa"/>
              <w:bottom w:w="75" w:type="dxa"/>
              <w:left w:w="90" w:type="dxa"/>
              <w:right w:w="90" w:type="dxa"/>
            </w:tcMar>
            <w:shd w:fill="FFFFFF"/>
          </w:tcPr>
          <w:p>
            <w:pPr>
              <w:spacing w:after="0" w:line="247" w:lineRule="auto"/>
            </w:pPr>
            <w:r>
              <w:rPr>
                <w:sz w:val="18"/>
              </w:rPr>
              <w:t>00 Инструкция и сведения для РКН</w:t>
            </w:r>
          </w:p>
        </w:tc>
        <w:tc>
          <w:tcPr>
            <w:tcW w:type="dxa" w:w="3345"/>
            <w:vAlign w:val="center"/>
            <w:tcMar>
              <w:top w:w="75" w:type="dxa"/>
              <w:bottom w:w="75" w:type="dxa"/>
              <w:left w:w="90" w:type="dxa"/>
              <w:right w:w="90" w:type="dxa"/>
            </w:tcMar>
            <w:shd w:fill="FFFFFF"/>
          </w:tcPr>
          <w:p>
            <w:pPr>
              <w:spacing w:after="0" w:line="247" w:lineRule="auto"/>
            </w:pPr>
            <w:r>
              <w:rPr>
                <w:sz w:val="18"/>
              </w:rPr>
              <w:t>Владельцу и консультанту</w:t>
            </w:r>
          </w:p>
        </w:tc>
        <w:tc>
          <w:tcPr>
            <w:tcW w:type="dxa" w:w="3345"/>
            <w:vAlign w:val="center"/>
            <w:tcMar>
              <w:top w:w="75" w:type="dxa"/>
              <w:bottom w:w="75" w:type="dxa"/>
              <w:left w:w="90" w:type="dxa"/>
              <w:right w:w="90" w:type="dxa"/>
            </w:tcMar>
            <w:shd w:fill="FFFFFF"/>
          </w:tcPr>
          <w:p>
            <w:pPr>
              <w:spacing w:after="0" w:line="247" w:lineRule="auto"/>
            </w:pPr>
            <w:r>
              <w:rPr>
                <w:sz w:val="18"/>
              </w:rPr>
              <w:t>Заполнить сведения и проверить готовность</w:t>
            </w:r>
          </w:p>
        </w:tc>
      </w:tr>
      <w:tr>
        <w:trPr>
          <w:cantSplit/>
        </w:trPr>
        <w:tc>
          <w:tcPr>
            <w:tcW w:type="dxa" w:w="2835"/>
            <w:vAlign w:val="center"/>
            <w:tcMar>
              <w:top w:w="75" w:type="dxa"/>
              <w:bottom w:w="75" w:type="dxa"/>
              <w:left w:w="90" w:type="dxa"/>
              <w:right w:w="90" w:type="dxa"/>
            </w:tcMar>
            <w:shd w:fill="F4F4F4"/>
          </w:tcPr>
          <w:p>
            <w:pPr>
              <w:spacing w:after="0" w:line="247" w:lineRule="auto"/>
            </w:pPr>
            <w:r>
              <w:rPr>
                <w:sz w:val="18"/>
              </w:rPr>
              <w:t>01 Пользовательское соглашение</w:t>
            </w:r>
          </w:p>
        </w:tc>
        <w:tc>
          <w:tcPr>
            <w:tcW w:type="dxa" w:w="3345"/>
            <w:vAlign w:val="center"/>
            <w:tcMar>
              <w:top w:w="75" w:type="dxa"/>
              <w:bottom w:w="75" w:type="dxa"/>
              <w:left w:w="90" w:type="dxa"/>
              <w:right w:w="90" w:type="dxa"/>
            </w:tcMar>
            <w:shd w:fill="F4F4F4"/>
          </w:tcPr>
          <w:p>
            <w:pPr>
              <w:spacing w:after="0" w:line="247" w:lineRule="auto"/>
            </w:pPr>
            <w:r>
              <w:rPr>
                <w:sz w:val="18"/>
              </w:rPr>
              <w:t>Пользователям</w:t>
            </w:r>
          </w:p>
        </w:tc>
        <w:tc>
          <w:tcPr>
            <w:tcW w:type="dxa" w:w="3345"/>
            <w:vAlign w:val="center"/>
            <w:tcMar>
              <w:top w:w="75" w:type="dxa"/>
              <w:bottom w:w="75" w:type="dxa"/>
              <w:left w:w="90" w:type="dxa"/>
              <w:right w:w="90" w:type="dxa"/>
            </w:tcMar>
            <w:shd w:fill="F4F4F4"/>
          </w:tcPr>
          <w:p>
            <w:pPr>
              <w:spacing w:after="0" w:line="247" w:lineRule="auto"/>
            </w:pPr>
            <w:r>
              <w:rPr>
                <w:sz w:val="18"/>
              </w:rPr>
              <w:t>Открытая страница и отдельное принятие</w:t>
            </w:r>
          </w:p>
        </w:tc>
      </w:tr>
      <w:tr>
        <w:trPr>
          <w:cantSplit/>
        </w:trPr>
        <w:tc>
          <w:tcPr>
            <w:tcW w:type="dxa" w:w="2835"/>
            <w:vAlign w:val="center"/>
            <w:tcMar>
              <w:top w:w="75" w:type="dxa"/>
              <w:bottom w:w="75" w:type="dxa"/>
              <w:left w:w="90" w:type="dxa"/>
              <w:right w:w="90" w:type="dxa"/>
            </w:tcMar>
            <w:shd w:fill="FFFFFF"/>
          </w:tcPr>
          <w:p>
            <w:pPr>
              <w:spacing w:after="0" w:line="247" w:lineRule="auto"/>
            </w:pPr>
            <w:r>
              <w:rPr>
                <w:sz w:val="18"/>
              </w:rPr>
              <w:t>02 Политика обработки данных</w:t>
            </w:r>
          </w:p>
        </w:tc>
        <w:tc>
          <w:tcPr>
            <w:tcW w:type="dxa" w:w="3345"/>
            <w:vAlign w:val="center"/>
            <w:tcMar>
              <w:top w:w="75" w:type="dxa"/>
              <w:bottom w:w="75" w:type="dxa"/>
              <w:left w:w="90" w:type="dxa"/>
              <w:right w:w="90" w:type="dxa"/>
            </w:tcMar>
            <w:shd w:fill="FFFFFF"/>
          </w:tcPr>
          <w:p>
            <w:pPr>
              <w:spacing w:after="0" w:line="247" w:lineRule="auto"/>
            </w:pPr>
            <w:r>
              <w:rPr>
                <w:sz w:val="18"/>
              </w:rPr>
              <w:t>Всем посетителям</w:t>
            </w:r>
          </w:p>
        </w:tc>
        <w:tc>
          <w:tcPr>
            <w:tcW w:type="dxa" w:w="3345"/>
            <w:vAlign w:val="center"/>
            <w:tcMar>
              <w:top w:w="75" w:type="dxa"/>
              <w:bottom w:w="75" w:type="dxa"/>
              <w:left w:w="90" w:type="dxa"/>
              <w:right w:w="90" w:type="dxa"/>
            </w:tcMar>
            <w:shd w:fill="FFFFFF"/>
          </w:tcPr>
          <w:p>
            <w:pPr>
              <w:spacing w:after="0" w:line="247" w:lineRule="auto"/>
            </w:pPr>
            <w:r>
              <w:rPr>
                <w:sz w:val="18"/>
              </w:rPr>
              <w:t>Открытая страница без регистрации</w:t>
            </w:r>
          </w:p>
        </w:tc>
      </w:tr>
      <w:tr>
        <w:trPr>
          <w:cantSplit/>
        </w:trPr>
        <w:tc>
          <w:tcPr>
            <w:tcW w:type="dxa" w:w="2835"/>
            <w:vAlign w:val="center"/>
            <w:tcMar>
              <w:top w:w="75" w:type="dxa"/>
              <w:bottom w:w="75" w:type="dxa"/>
              <w:left w:w="90" w:type="dxa"/>
              <w:right w:w="90" w:type="dxa"/>
            </w:tcMar>
            <w:shd w:fill="F4F4F4"/>
          </w:tcPr>
          <w:p>
            <w:pPr>
              <w:spacing w:after="0" w:line="247" w:lineRule="auto"/>
            </w:pPr>
            <w:r>
              <w:rPr>
                <w:sz w:val="18"/>
              </w:rPr>
              <w:t>03 Необязательные согласия</w:t>
            </w:r>
          </w:p>
        </w:tc>
        <w:tc>
          <w:tcPr>
            <w:tcW w:type="dxa" w:w="3345"/>
            <w:vAlign w:val="center"/>
            <w:tcMar>
              <w:top w:w="75" w:type="dxa"/>
              <w:bottom w:w="75" w:type="dxa"/>
              <w:left w:w="90" w:type="dxa"/>
              <w:right w:w="90" w:type="dxa"/>
            </w:tcMar>
            <w:shd w:fill="F4F4F4"/>
          </w:tcPr>
          <w:p>
            <w:pPr>
              <w:spacing w:after="0" w:line="247" w:lineRule="auto"/>
            </w:pPr>
            <w:r>
              <w:rPr>
                <w:sz w:val="18"/>
              </w:rPr>
              <w:t>Пользователям</w:t>
            </w:r>
          </w:p>
        </w:tc>
        <w:tc>
          <w:tcPr>
            <w:tcW w:type="dxa" w:w="3345"/>
            <w:vAlign w:val="center"/>
            <w:tcMar>
              <w:top w:w="75" w:type="dxa"/>
              <w:bottom w:w="75" w:type="dxa"/>
              <w:left w:w="90" w:type="dxa"/>
              <w:right w:w="90" w:type="dxa"/>
            </w:tcMar>
            <w:shd w:fill="F4F4F4"/>
          </w:tcPr>
          <w:p>
            <w:pPr>
              <w:spacing w:after="0" w:line="247" w:lineRule="auto"/>
            </w:pPr>
            <w:r>
              <w:rPr>
                <w:sz w:val="18"/>
              </w:rPr>
              <w:t>Три самостоятельных формы по целям</w:t>
            </w:r>
          </w:p>
        </w:tc>
      </w:tr>
      <w:tr>
        <w:trPr>
          <w:cantSplit/>
        </w:trPr>
        <w:tc>
          <w:tcPr>
            <w:tcW w:type="dxa" w:w="2835"/>
            <w:vAlign w:val="center"/>
            <w:tcMar>
              <w:top w:w="75" w:type="dxa"/>
              <w:bottom w:w="75" w:type="dxa"/>
              <w:left w:w="90" w:type="dxa"/>
              <w:right w:w="90" w:type="dxa"/>
            </w:tcMar>
            <w:shd w:fill="FFFFFF"/>
          </w:tcPr>
          <w:p>
            <w:pPr>
              <w:spacing w:after="0" w:line="247" w:lineRule="auto"/>
            </w:pPr>
            <w:r>
              <w:rPr>
                <w:sz w:val="18"/>
              </w:rPr>
              <w:t>04 Согласие на распространение</w:t>
            </w:r>
          </w:p>
        </w:tc>
        <w:tc>
          <w:tcPr>
            <w:tcW w:type="dxa" w:w="3345"/>
            <w:vAlign w:val="center"/>
            <w:tcMar>
              <w:top w:w="75" w:type="dxa"/>
              <w:bottom w:w="75" w:type="dxa"/>
              <w:left w:w="90" w:type="dxa"/>
              <w:right w:w="90" w:type="dxa"/>
            </w:tcMar>
            <w:shd w:fill="FFFFFF"/>
          </w:tcPr>
          <w:p>
            <w:pPr>
              <w:spacing w:after="0" w:line="247" w:lineRule="auto"/>
            </w:pPr>
            <w:r>
              <w:rPr>
                <w:sz w:val="18"/>
              </w:rPr>
              <w:t>Владельцам анкет</w:t>
            </w:r>
          </w:p>
        </w:tc>
        <w:tc>
          <w:tcPr>
            <w:tcW w:type="dxa" w:w="3345"/>
            <w:vAlign w:val="center"/>
            <w:tcMar>
              <w:top w:w="75" w:type="dxa"/>
              <w:bottom w:w="75" w:type="dxa"/>
              <w:left w:w="90" w:type="dxa"/>
              <w:right w:w="90" w:type="dxa"/>
            </w:tcMar>
            <w:shd w:fill="FFFFFF"/>
          </w:tcPr>
          <w:p>
            <w:pPr>
              <w:spacing w:after="0" w:line="247" w:lineRule="auto"/>
            </w:pPr>
            <w:r>
              <w:rPr>
                <w:sz w:val="18"/>
              </w:rPr>
              <w:t>Выбор конкретных полей аудитории и условий</w:t>
            </w:r>
          </w:p>
        </w:tc>
      </w:tr>
      <w:tr>
        <w:trPr>
          <w:cantSplit/>
        </w:trPr>
        <w:tc>
          <w:tcPr>
            <w:tcW w:type="dxa" w:w="2835"/>
            <w:vAlign w:val="center"/>
            <w:tcMar>
              <w:top w:w="75" w:type="dxa"/>
              <w:bottom w:w="75" w:type="dxa"/>
              <w:left w:w="90" w:type="dxa"/>
              <w:right w:w="90" w:type="dxa"/>
            </w:tcMar>
            <w:shd w:fill="F4F4F4"/>
          </w:tcPr>
          <w:p>
            <w:pPr>
              <w:spacing w:after="0" w:line="247" w:lineRule="auto"/>
            </w:pPr>
            <w:r>
              <w:rPr>
                <w:sz w:val="18"/>
              </w:rPr>
              <w:t>05 Правила рекомендаций</w:t>
            </w:r>
          </w:p>
        </w:tc>
        <w:tc>
          <w:tcPr>
            <w:tcW w:type="dxa" w:w="3345"/>
            <w:vAlign w:val="center"/>
            <w:tcMar>
              <w:top w:w="75" w:type="dxa"/>
              <w:bottom w:w="75" w:type="dxa"/>
              <w:left w:w="90" w:type="dxa"/>
              <w:right w:w="90" w:type="dxa"/>
            </w:tcMar>
            <w:shd w:fill="F4F4F4"/>
          </w:tcPr>
          <w:p>
            <w:pPr>
              <w:spacing w:after="0" w:line="247" w:lineRule="auto"/>
            </w:pPr>
            <w:r>
              <w:rPr>
                <w:sz w:val="18"/>
              </w:rPr>
              <w:t>Всем посетителям</w:t>
            </w:r>
          </w:p>
        </w:tc>
        <w:tc>
          <w:tcPr>
            <w:tcW w:type="dxa" w:w="3345"/>
            <w:vAlign w:val="center"/>
            <w:tcMar>
              <w:top w:w="75" w:type="dxa"/>
              <w:bottom w:w="75" w:type="dxa"/>
              <w:left w:w="90" w:type="dxa"/>
              <w:right w:w="90" w:type="dxa"/>
            </w:tcMar>
            <w:shd w:fill="F4F4F4"/>
          </w:tcPr>
          <w:p>
            <w:pPr>
              <w:spacing w:after="0" w:line="247" w:lineRule="auto"/>
            </w:pPr>
            <w:r>
              <w:rPr>
                <w:sz w:val="18"/>
              </w:rPr>
              <w:t>Открытая страница и связанное уведомление</w:t>
            </w:r>
          </w:p>
        </w:tc>
      </w:tr>
      <w:tr>
        <w:trPr>
          <w:cantSplit/>
        </w:trPr>
        <w:tc>
          <w:tcPr>
            <w:tcW w:type="dxa" w:w="2835"/>
            <w:vAlign w:val="center"/>
            <w:tcMar>
              <w:top w:w="75" w:type="dxa"/>
              <w:bottom w:w="75" w:type="dxa"/>
              <w:left w:w="90" w:type="dxa"/>
              <w:right w:w="90" w:type="dxa"/>
            </w:tcMar>
            <w:shd w:fill="FFFFFF"/>
          </w:tcPr>
          <w:p>
            <w:pPr>
              <w:spacing w:after="0" w:line="247" w:lineRule="auto"/>
            </w:pPr>
            <w:r>
              <w:rPr>
                <w:sz w:val="18"/>
              </w:rPr>
              <w:t>06 Внутренний порядок</w:t>
            </w:r>
          </w:p>
        </w:tc>
        <w:tc>
          <w:tcPr>
            <w:tcW w:type="dxa" w:w="3345"/>
            <w:vAlign w:val="center"/>
            <w:tcMar>
              <w:top w:w="75" w:type="dxa"/>
              <w:bottom w:w="75" w:type="dxa"/>
              <w:left w:w="90" w:type="dxa"/>
              <w:right w:w="90" w:type="dxa"/>
            </w:tcMar>
            <w:shd w:fill="FFFFFF"/>
          </w:tcPr>
          <w:p>
            <w:pPr>
              <w:spacing w:after="0" w:line="247" w:lineRule="auto"/>
            </w:pPr>
            <w:r>
              <w:rPr>
                <w:sz w:val="18"/>
              </w:rPr>
              <w:t>Оператору</w:t>
            </w:r>
          </w:p>
        </w:tc>
        <w:tc>
          <w:tcPr>
            <w:tcW w:type="dxa" w:w="3345"/>
            <w:vAlign w:val="center"/>
            <w:tcMar>
              <w:top w:w="75" w:type="dxa"/>
              <w:bottom w:w="75" w:type="dxa"/>
              <w:left w:w="90" w:type="dxa"/>
              <w:right w:w="90" w:type="dxa"/>
            </w:tcMar>
            <w:shd w:fill="FFFFFF"/>
          </w:tcPr>
          <w:p>
            <w:pPr>
              <w:spacing w:after="0" w:line="247" w:lineRule="auto"/>
            </w:pPr>
            <w:r>
              <w:rPr>
                <w:sz w:val="18"/>
              </w:rPr>
              <w:t>Утвердить после настройки и проверки процессов</w:t>
            </w:r>
          </w:p>
        </w:tc>
      </w:tr>
      <w:tr>
        <w:trPr>
          <w:cantSplit/>
        </w:trPr>
        <w:tc>
          <w:tcPr>
            <w:tcW w:type="dxa" w:w="2835"/>
            <w:vAlign w:val="center"/>
            <w:tcMar>
              <w:top w:w="75" w:type="dxa"/>
              <w:bottom w:w="75" w:type="dxa"/>
              <w:left w:w="90" w:type="dxa"/>
              <w:right w:w="90" w:type="dxa"/>
            </w:tcMar>
            <w:shd w:fill="F4F4F4"/>
          </w:tcPr>
          <w:p>
            <w:pPr>
              <w:spacing w:after="0" w:line="247" w:lineRule="auto"/>
            </w:pPr>
            <w:r>
              <w:rPr>
                <w:sz w:val="18"/>
              </w:rPr>
              <w:t>07 Формы обращений и ответов</w:t>
            </w:r>
          </w:p>
        </w:tc>
        <w:tc>
          <w:tcPr>
            <w:tcW w:type="dxa" w:w="3345"/>
            <w:vAlign w:val="center"/>
            <w:tcMar>
              <w:top w:w="75" w:type="dxa"/>
              <w:bottom w:w="75" w:type="dxa"/>
              <w:left w:w="90" w:type="dxa"/>
              <w:right w:w="90" w:type="dxa"/>
            </w:tcMar>
            <w:shd w:fill="F4F4F4"/>
          </w:tcPr>
          <w:p>
            <w:pPr>
              <w:spacing w:after="0" w:line="247" w:lineRule="auto"/>
            </w:pPr>
            <w:r>
              <w:rPr>
                <w:sz w:val="18"/>
              </w:rPr>
              <w:t>Пользователям и оператору</w:t>
            </w:r>
          </w:p>
        </w:tc>
        <w:tc>
          <w:tcPr>
            <w:tcW w:type="dxa" w:w="3345"/>
            <w:vAlign w:val="center"/>
            <w:tcMar>
              <w:top w:w="75" w:type="dxa"/>
              <w:bottom w:w="75" w:type="dxa"/>
              <w:left w:w="90" w:type="dxa"/>
              <w:right w:w="90" w:type="dxa"/>
            </w:tcMar>
            <w:shd w:fill="F4F4F4"/>
          </w:tcPr>
          <w:p>
            <w:pPr>
              <w:spacing w:after="0" w:line="247" w:lineRule="auto"/>
            </w:pPr>
            <w:r>
              <w:rPr>
                <w:sz w:val="18"/>
              </w:rPr>
              <w:t>Использовать отдельную подходящую форму</w:t>
            </w:r>
          </w:p>
        </w:tc>
      </w:tr>
    </w:tbl>
    <w:p>
      <w:pPr>
        <w:spacing w:after="40" w:before="0" w:line="72" w:lineRule="auto"/>
      </w:pPr>
    </w:p>
    <w:p>
      <w:r>
        <w:t>Публично размещаются только относящиеся к посетителям документы и чистые формы. Служебные примечания о проекте удаляются после завершения подготовки; документы 00 и 06, заполненные реестры и акты уничтожения не публикуются как пользовательские страницы.</w:t>
      </w:r>
    </w:p>
    <w:p>
      <w:pPr>
        <w:pStyle w:val="Heading1"/>
      </w:pPr>
      <w:r>
        <w:t>2 Что уже известно и что нужно заполнить</w:t>
      </w:r>
    </w:p>
    <w:p>
      <w:r>
        <w:t xml:space="preserve">Подтверждено пользователем: приложение бесплатно, рекламы нет, владелец применяет НПД. ФИО, ИНН и email взяты из реквизитов проекта. Наличие статуса ИП не подтверждено и в документах не утверждается. Название SportSearch взято из действующих юридических текстов; TennisSearch остаётся названием репозитория. Основной адрес </w:t>
      </w:r>
      <w:hyperlink r:id="rId11">
        <w:r>
          <w:rPr>
            <w:color w:val="1F4D70"/>
            <w:u w:val="single"/>
          </w:rPr>
          <w:t>https://sportsearch.shop</w:t>
        </w:r>
      </w:hyperlink>
      <w:r>
        <w:t xml:space="preserve"> подтверждён конфигурацией и отчётами релизов; путь политики /legal/privacy существует в проекте. Новые страницы и ссылки приложений требуют заполнения и проверки.</w:t>
      </w:r>
    </w:p>
    <w:p>
      <w:r>
        <w:t xml:space="preserve">Неизвестные сведения обозначены </w:t>
      </w:r>
      <w:r>
        <w:rPr>
          <w:highlight w:val="yellow"/>
        </w:rPr>
        <w:t>[[ДВОЙНЫМИ СКОБКАМИ]]</w:t>
      </w:r>
      <w:r>
        <w:t>. В согласиях и формах часть таких полей заполняется отдельно для каждого пользователя, а не один раз владельцем.</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48"/>
        <w:gridCol w:w="6576"/>
      </w:tblGrid>
      <w:tr>
        <w:trPr>
          <w:cantSplit/>
          <w:tblHeader/>
        </w:trPr>
        <w:tc>
          <w:tcPr>
            <w:tcW w:type="dxa" w:w="2948"/>
            <w:vAlign w:val="center"/>
            <w:tcMar>
              <w:top w:w="75" w:type="dxa"/>
              <w:bottom w:w="75" w:type="dxa"/>
              <w:left w:w="90" w:type="dxa"/>
              <w:right w:w="90" w:type="dxa"/>
            </w:tcMar>
            <w:shd w:fill="404040"/>
          </w:tcPr>
          <w:p>
            <w:pPr>
              <w:spacing w:after="0" w:line="247" w:lineRule="auto"/>
            </w:pPr>
            <w:r>
              <w:rPr>
                <w:b/>
                <w:color w:val="FFFFFF"/>
                <w:sz w:val="18"/>
              </w:rPr>
              <w:t>Сведения владельца</w:t>
            </w:r>
          </w:p>
        </w:tc>
        <w:tc>
          <w:tcPr>
            <w:tcW w:type="dxa" w:w="6576"/>
            <w:vAlign w:val="center"/>
            <w:tcMar>
              <w:top w:w="75" w:type="dxa"/>
              <w:bottom w:w="75" w:type="dxa"/>
              <w:left w:w="90" w:type="dxa"/>
              <w:right w:w="90" w:type="dxa"/>
            </w:tcMar>
            <w:shd w:fill="404040"/>
          </w:tcPr>
          <w:p>
            <w:pPr>
              <w:spacing w:after="0" w:line="247" w:lineRule="auto"/>
            </w:pPr>
            <w:r>
              <w:rPr>
                <w:b/>
                <w:color w:val="FFFFFF"/>
                <w:sz w:val="18"/>
              </w:rPr>
              <w:t>Что требуется</w:t>
            </w:r>
          </w:p>
        </w:tc>
      </w:tr>
      <w:tr>
        <w:trPr>
          <w:cantSplit/>
        </w:trPr>
        <w:tc>
          <w:tcPr>
            <w:tcW w:type="dxa" w:w="2948"/>
            <w:vAlign w:val="center"/>
            <w:tcMar>
              <w:top w:w="75" w:type="dxa"/>
              <w:bottom w:w="75" w:type="dxa"/>
              <w:left w:w="90" w:type="dxa"/>
              <w:right w:w="90" w:type="dxa"/>
            </w:tcMar>
            <w:shd w:fill="FFFFFF"/>
          </w:tcPr>
          <w:p>
            <w:pPr>
              <w:spacing w:after="0" w:line="247" w:lineRule="auto"/>
            </w:pPr>
            <w:r>
              <w:rPr>
                <w:sz w:val="18"/>
              </w:rPr>
              <w:t>Адрес оператора</w:t>
            </w:r>
          </w:p>
        </w:tc>
        <w:tc>
          <w:tcPr>
            <w:tcW w:type="dxa" w:w="6576"/>
            <w:vAlign w:val="center"/>
            <w:tcMar>
              <w:top w:w="75" w:type="dxa"/>
              <w:bottom w:w="75" w:type="dxa"/>
              <w:left w:w="90" w:type="dxa"/>
              <w:right w:w="90" w:type="dxa"/>
            </w:tcMar>
            <w:shd w:fill="FFFFFF"/>
          </w:tcPr>
          <w:p>
            <w:pPr>
              <w:spacing w:after="0" w:line="247" w:lineRule="auto"/>
            </w:pPr>
            <w:r>
              <w:rPr>
                <w:sz w:val="18"/>
              </w:rPr>
              <w:t>Место жительства или пребывания физлица и адрес обращений; не подменять одним email. Учитывать публичность предусмотренных законом реквизитов и реестра</w:t>
            </w:r>
          </w:p>
        </w:tc>
      </w:tr>
      <w:tr>
        <w:trPr>
          <w:cantSplit/>
        </w:trPr>
        <w:tc>
          <w:tcPr>
            <w:tcW w:type="dxa" w:w="2948"/>
            <w:vAlign w:val="center"/>
            <w:tcMar>
              <w:top w:w="75" w:type="dxa"/>
              <w:bottom w:w="75" w:type="dxa"/>
              <w:left w:w="90" w:type="dxa"/>
              <w:right w:w="90" w:type="dxa"/>
            </w:tcMar>
            <w:shd w:fill="F4F4F4"/>
          </w:tcPr>
          <w:p>
            <w:pPr>
              <w:spacing w:after="0" w:line="247" w:lineRule="auto"/>
            </w:pPr>
            <w:r>
              <w:rPr>
                <w:sz w:val="18"/>
              </w:rPr>
              <w:t>Сайт и приложения</w:t>
            </w:r>
          </w:p>
        </w:tc>
        <w:tc>
          <w:tcPr>
            <w:tcW w:type="dxa" w:w="6576"/>
            <w:vAlign w:val="center"/>
            <w:tcMar>
              <w:top w:w="75" w:type="dxa"/>
              <w:bottom w:w="75" w:type="dxa"/>
              <w:left w:w="90" w:type="dxa"/>
              <w:right w:w="90" w:type="dxa"/>
            </w:tcMar>
            <w:shd w:fill="F4F4F4"/>
          </w:tcPr>
          <w:p>
            <w:pPr>
              <w:spacing w:after="0" w:line="247" w:lineRule="auto"/>
            </w:pPr>
            <w:r>
              <w:rPr>
                <w:sz w:val="18"/>
              </w:rPr>
              <w:t>Точные действующие URL страниц сервиса и API, официальные ссылки клиентов, будущие адреса документов</w:t>
            </w:r>
          </w:p>
        </w:tc>
      </w:tr>
      <w:tr>
        <w:trPr>
          <w:cantSplit/>
        </w:trPr>
        <w:tc>
          <w:tcPr>
            <w:tcW w:type="dxa" w:w="2948"/>
            <w:vAlign w:val="center"/>
            <w:tcMar>
              <w:top w:w="75" w:type="dxa"/>
              <w:bottom w:w="75" w:type="dxa"/>
              <w:left w:w="90" w:type="dxa"/>
              <w:right w:w="90" w:type="dxa"/>
            </w:tcMar>
            <w:shd w:fill="FFFFFF"/>
          </w:tcPr>
          <w:p>
            <w:pPr>
              <w:spacing w:after="0" w:line="247" w:lineRule="auto"/>
            </w:pPr>
            <w:r>
              <w:rPr>
                <w:sz w:val="18"/>
              </w:rPr>
              <w:t>Начало обработки</w:t>
            </w:r>
          </w:p>
        </w:tc>
        <w:tc>
          <w:tcPr>
            <w:tcW w:type="dxa" w:w="6576"/>
            <w:vAlign w:val="center"/>
            <w:tcMar>
              <w:top w:w="75" w:type="dxa"/>
              <w:bottom w:w="75" w:type="dxa"/>
              <w:left w:w="90" w:type="dxa"/>
              <w:right w:w="90" w:type="dxa"/>
            </w:tcMar>
            <w:shd w:fill="FFFFFF"/>
          </w:tcPr>
          <w:p>
            <w:pPr>
              <w:spacing w:after="0" w:line="247" w:lineRule="auto"/>
            </w:pPr>
            <w:r>
              <w:rPr>
                <w:sz w:val="18"/>
              </w:rPr>
              <w:t>Реальная дата начала работы с данными реальных людей, не дата этого комплекта</w:t>
            </w:r>
          </w:p>
        </w:tc>
      </w:tr>
      <w:tr>
        <w:trPr>
          <w:cantSplit/>
        </w:trPr>
        <w:tc>
          <w:tcPr>
            <w:tcW w:type="dxa" w:w="2948"/>
            <w:vAlign w:val="center"/>
            <w:tcMar>
              <w:top w:w="75" w:type="dxa"/>
              <w:bottom w:w="75" w:type="dxa"/>
              <w:left w:w="90" w:type="dxa"/>
              <w:right w:w="90" w:type="dxa"/>
            </w:tcMar>
            <w:shd w:fill="F4F4F4"/>
          </w:tcPr>
          <w:p>
            <w:pPr>
              <w:spacing w:after="0" w:line="247" w:lineRule="auto"/>
            </w:pPr>
            <w:r>
              <w:rPr>
                <w:sz w:val="18"/>
              </w:rPr>
              <w:t>Уведомление РКН</w:t>
            </w:r>
          </w:p>
        </w:tc>
        <w:tc>
          <w:tcPr>
            <w:tcW w:type="dxa" w:w="6576"/>
            <w:vAlign w:val="center"/>
            <w:tcMar>
              <w:top w:w="75" w:type="dxa"/>
              <w:bottom w:w="75" w:type="dxa"/>
              <w:left w:w="90" w:type="dxa"/>
              <w:right w:w="90" w:type="dxa"/>
            </w:tcMar>
            <w:shd w:fill="F4F4F4"/>
          </w:tcPr>
          <w:p>
            <w:pPr>
              <w:spacing w:after="0" w:line="247" w:lineRule="auto"/>
            </w:pPr>
            <w:r>
              <w:rPr>
                <w:sz w:val="18"/>
              </w:rPr>
              <w:t>Подавалось ли, дата и номер, какие цели и системы уже заявлены</w:t>
            </w:r>
          </w:p>
        </w:tc>
      </w:tr>
      <w:tr>
        <w:trPr>
          <w:cantSplit/>
        </w:trPr>
        <w:tc>
          <w:tcPr>
            <w:tcW w:type="dxa" w:w="2948"/>
            <w:vAlign w:val="center"/>
            <w:tcMar>
              <w:top w:w="75" w:type="dxa"/>
              <w:bottom w:w="75" w:type="dxa"/>
              <w:left w:w="90" w:type="dxa"/>
              <w:right w:w="90" w:type="dxa"/>
            </w:tcMar>
            <w:shd w:fill="FFFFFF"/>
          </w:tcPr>
          <w:p>
            <w:pPr>
              <w:spacing w:after="0" w:line="247" w:lineRule="auto"/>
            </w:pPr>
            <w:r>
              <w:rPr>
                <w:sz w:val="18"/>
              </w:rPr>
              <w:t>База и файлы</w:t>
            </w:r>
          </w:p>
        </w:tc>
        <w:tc>
          <w:tcPr>
            <w:tcW w:type="dxa" w:w="6576"/>
            <w:vAlign w:val="center"/>
            <w:tcMar>
              <w:top w:w="75" w:type="dxa"/>
              <w:bottom w:w="75" w:type="dxa"/>
              <w:left w:w="90" w:type="dxa"/>
              <w:right w:w="90" w:type="dxa"/>
            </w:tcMar>
            <w:shd w:fill="FFFFFF"/>
          </w:tcPr>
          <w:p>
            <w:pPr>
              <w:spacing w:after="0" w:line="247" w:lineRule="auto"/>
            </w:pPr>
            <w:r>
              <w:rPr>
                <w:sz w:val="18"/>
              </w:rPr>
              <w:t>Юридические лица поставщиков, договоры, страны и адреса ЦОД</w:t>
            </w:r>
          </w:p>
        </w:tc>
      </w:tr>
      <w:tr>
        <w:trPr>
          <w:cantSplit/>
        </w:trPr>
        <w:tc>
          <w:tcPr>
            <w:tcW w:type="dxa" w:w="2948"/>
            <w:vAlign w:val="center"/>
            <w:tcMar>
              <w:top w:w="75" w:type="dxa"/>
              <w:bottom w:w="75" w:type="dxa"/>
              <w:left w:w="90" w:type="dxa"/>
              <w:right w:w="90" w:type="dxa"/>
            </w:tcMar>
            <w:shd w:fill="F4F4F4"/>
          </w:tcPr>
          <w:p>
            <w:pPr>
              <w:spacing w:after="0" w:line="247" w:lineRule="auto"/>
            </w:pPr>
            <w:r>
              <w:rPr>
                <w:sz w:val="18"/>
              </w:rPr>
              <w:t>Бэкапы и журналы</w:t>
            </w:r>
          </w:p>
        </w:tc>
        <w:tc>
          <w:tcPr>
            <w:tcW w:type="dxa" w:w="6576"/>
            <w:vAlign w:val="center"/>
            <w:tcMar>
              <w:top w:w="75" w:type="dxa"/>
              <w:bottom w:w="75" w:type="dxa"/>
              <w:left w:w="90" w:type="dxa"/>
              <w:right w:w="90" w:type="dxa"/>
            </w:tcMar>
            <w:shd w:fill="F4F4F4"/>
          </w:tcPr>
          <w:p>
            <w:pPr>
              <w:spacing w:after="0" w:line="247" w:lineRule="auto"/>
            </w:pPr>
            <w:r>
              <w:rPr>
                <w:sz w:val="18"/>
              </w:rPr>
              <w:t>Места хранения, копии на рабочих устройствах, фактическая ротация</w:t>
            </w:r>
          </w:p>
        </w:tc>
      </w:tr>
      <w:tr>
        <w:trPr>
          <w:cantSplit/>
        </w:trPr>
        <w:tc>
          <w:tcPr>
            <w:tcW w:type="dxa" w:w="2948"/>
            <w:vAlign w:val="center"/>
            <w:tcMar>
              <w:top w:w="75" w:type="dxa"/>
              <w:bottom w:w="75" w:type="dxa"/>
              <w:left w:w="90" w:type="dxa"/>
              <w:right w:w="90" w:type="dxa"/>
            </w:tcMar>
            <w:shd w:fill="FFFFFF"/>
          </w:tcPr>
          <w:p>
            <w:pPr>
              <w:spacing w:after="0" w:line="247" w:lineRule="auto"/>
            </w:pPr>
            <w:r>
              <w:rPr>
                <w:sz w:val="18"/>
              </w:rPr>
              <w:t>Внешние функции</w:t>
            </w:r>
          </w:p>
        </w:tc>
        <w:tc>
          <w:tcPr>
            <w:tcW w:type="dxa" w:w="6576"/>
            <w:vAlign w:val="center"/>
            <w:tcMar>
              <w:top w:w="75" w:type="dxa"/>
              <w:bottom w:w="75" w:type="dxa"/>
              <w:left w:w="90" w:type="dxa"/>
              <w:right w:w="90" w:type="dxa"/>
            </w:tcMar>
            <w:shd w:fill="FFFFFF"/>
          </w:tcPr>
          <w:p>
            <w:pPr>
              <w:spacing w:after="0" w:line="247" w:lineRule="auto"/>
            </w:pPr>
            <w:r>
              <w:rPr>
                <w:sz w:val="18"/>
              </w:rPr>
              <w:t>Получатели email, push, входа, карт и геокодирования; данные, роли и страны каждого</w:t>
            </w:r>
          </w:p>
        </w:tc>
      </w:tr>
      <w:tr>
        <w:trPr>
          <w:cantSplit/>
        </w:trPr>
        <w:tc>
          <w:tcPr>
            <w:tcW w:type="dxa" w:w="2948"/>
            <w:vAlign w:val="center"/>
            <w:tcMar>
              <w:top w:w="75" w:type="dxa"/>
              <w:bottom w:w="75" w:type="dxa"/>
              <w:left w:w="90" w:type="dxa"/>
              <w:right w:w="90" w:type="dxa"/>
            </w:tcMar>
            <w:shd w:fill="F4F4F4"/>
          </w:tcPr>
          <w:p>
            <w:pPr>
              <w:spacing w:after="0" w:line="247" w:lineRule="auto"/>
            </w:pPr>
            <w:r>
              <w:rPr>
                <w:sz w:val="18"/>
              </w:rPr>
              <w:t>Сроки</w:t>
            </w:r>
          </w:p>
        </w:tc>
        <w:tc>
          <w:tcPr>
            <w:tcW w:type="dxa" w:w="6576"/>
            <w:vAlign w:val="center"/>
            <w:tcMar>
              <w:top w:w="75" w:type="dxa"/>
              <w:bottom w:w="75" w:type="dxa"/>
              <w:left w:w="90" w:type="dxa"/>
              <w:right w:w="90" w:type="dxa"/>
            </w:tcMar>
            <w:shd w:fill="F4F4F4"/>
          </w:tcPr>
          <w:p>
            <w:pPr>
              <w:spacing w:after="0" w:line="247" w:lineRule="auto"/>
            </w:pPr>
            <w:r>
              <w:rPr>
                <w:sz w:val="18"/>
              </w:rPr>
              <w:t>Утверждённые сроки с обоснованием и настроенной очисткой для каждой категории</w:t>
            </w:r>
          </w:p>
        </w:tc>
      </w:tr>
      <w:tr>
        <w:trPr>
          <w:cantSplit/>
        </w:trPr>
        <w:tc>
          <w:tcPr>
            <w:tcW w:type="dxa" w:w="2948"/>
            <w:vAlign w:val="center"/>
            <w:tcMar>
              <w:top w:w="75" w:type="dxa"/>
              <w:bottom w:w="75" w:type="dxa"/>
              <w:left w:w="90" w:type="dxa"/>
              <w:right w:w="90" w:type="dxa"/>
            </w:tcMar>
            <w:shd w:fill="FFFFFF"/>
          </w:tcPr>
          <w:p>
            <w:pPr>
              <w:spacing w:after="0" w:line="247" w:lineRule="auto"/>
            </w:pPr>
            <w:r>
              <w:rPr>
                <w:sz w:val="18"/>
              </w:rPr>
              <w:t>Защита</w:t>
            </w:r>
          </w:p>
        </w:tc>
        <w:tc>
          <w:tcPr>
            <w:tcW w:type="dxa" w:w="6576"/>
            <w:vAlign w:val="center"/>
            <w:tcMar>
              <w:top w:w="75" w:type="dxa"/>
              <w:bottom w:w="75" w:type="dxa"/>
              <w:left w:w="90" w:type="dxa"/>
              <w:right w:w="90" w:type="dxa"/>
            </w:tcMar>
            <w:shd w:fill="FFFFFF"/>
          </w:tcPr>
          <w:p>
            <w:pPr>
              <w:spacing w:after="0" w:line="247" w:lineRule="auto"/>
            </w:pPr>
            <w:r>
              <w:rPr>
                <w:sz w:val="18"/>
              </w:rPr>
              <w:t>Фактические меры, оценка вреда, актуальные угрозы, уровень защищённости и применимые требования</w:t>
            </w:r>
          </w:p>
        </w:tc>
      </w:tr>
      <w:tr>
        <w:trPr>
          <w:cantSplit/>
        </w:trPr>
        <w:tc>
          <w:tcPr>
            <w:tcW w:type="dxa" w:w="2948"/>
            <w:vAlign w:val="center"/>
            <w:tcMar>
              <w:top w:w="75" w:type="dxa"/>
              <w:bottom w:w="75" w:type="dxa"/>
              <w:left w:w="90" w:type="dxa"/>
              <w:right w:w="90" w:type="dxa"/>
            </w:tcMar>
            <w:shd w:fill="F4F4F4"/>
          </w:tcPr>
          <w:p>
            <w:pPr>
              <w:spacing w:after="0" w:line="247" w:lineRule="auto"/>
            </w:pPr>
            <w:r>
              <w:rPr>
                <w:sz w:val="18"/>
              </w:rPr>
              <w:t>Поддержка</w:t>
            </w:r>
          </w:p>
        </w:tc>
        <w:tc>
          <w:tcPr>
            <w:tcW w:type="dxa" w:w="6576"/>
            <w:vAlign w:val="center"/>
            <w:tcMar>
              <w:top w:w="75" w:type="dxa"/>
              <w:bottom w:w="75" w:type="dxa"/>
              <w:left w:w="90" w:type="dxa"/>
              <w:right w:w="90" w:type="dxa"/>
            </w:tcMar>
            <w:shd w:fill="F4F4F4"/>
          </w:tcPr>
          <w:p>
            <w:pPr>
              <w:spacing w:after="0" w:line="247" w:lineRule="auto"/>
            </w:pPr>
            <w:r>
              <w:rPr>
                <w:sz w:val="18"/>
              </w:rPr>
              <w:t>Проверяемый канал обращений, график обработки и возможность уложиться в сроки</w:t>
            </w:r>
          </w:p>
        </w:tc>
      </w:tr>
    </w:tbl>
    <w:p>
      <w:pPr>
        <w:spacing w:after="40" w:before="0" w:line="72" w:lineRule="auto"/>
      </w:pPr>
    </w:p>
    <w:p>
      <w:pPr>
        <w:pStyle w:val="Heading1"/>
      </w:pPr>
      <w:r>
        <w:t>3 Сведения для заполнения уведомления РКН</w:t>
      </w:r>
    </w:p>
    <w:p>
      <w:r>
        <w:t xml:space="preserve">Это рабочая анкета для переноса в действующую форму Роскомнадзора, а не готовое подписанное или поданное уведомление. Форма и способы подачи проверяются непосредственно на портале: </w:t>
      </w:r>
      <w:hyperlink r:id="rId12">
        <w:r>
          <w:rPr>
            <w:color w:val="1F4D70"/>
            <w:u w:val="single"/>
          </w:rPr>
          <w:t>https://pd.rkn.gov.ru/operators-registry/notification/form/</w:t>
        </w:r>
      </w:hyperlink>
      <w:r>
        <w:t xml:space="preserve"> . Прямой доступ к порталу при подготовке был нестабилен; перечень ниже сверен со статьёй 22 закона № 152-ФЗ.</w:t>
      </w:r>
    </w:p>
    <w:p>
      <w:r>
        <w:t xml:space="preserve">Оператор: Захаров Матвей Владимирович. Категория: физическое лицо, применяющее НПД; при наличии ИП уточнить категорию и реквизиты. ИНН: 471803649801. Адрес: </w:t>
      </w:r>
      <w:r>
        <w:rPr>
          <w:highlight w:val="yellow"/>
        </w:rPr>
        <w:t>[[АДРЕС ОПЕРАТОРА]]</w:t>
      </w:r>
      <w:r>
        <w:t>.</w:t>
      </w:r>
    </w:p>
    <w:p>
      <w:r>
        <w:t xml:space="preserve">Лицо для организации обработки и взаимодействия: Захаров Матвей Владимирович. Email: support@sportsearch.shop. Телефон: </w:t>
      </w:r>
      <w:r>
        <w:rPr>
          <w:highlight w:val="yellow"/>
        </w:rPr>
        <w:t>[[ТЕЛЕФОН ОПЕРАТОРА]]</w:t>
      </w:r>
      <w:r>
        <w:t xml:space="preserve">. Почтовый адрес: </w:t>
      </w:r>
      <w:r>
        <w:rPr>
          <w:highlight w:val="yellow"/>
        </w:rPr>
        <w:t>[[АДРЕС ОПЕРАТОРА]]</w:t>
      </w:r>
      <w:r>
        <w:t>. Это контакт самого оператора, а не вымышленный назначенный работник.</w:t>
      </w:r>
    </w:p>
    <w:p>
      <w:r>
        <w:t xml:space="preserve">Дата начала обработки: </w:t>
      </w:r>
      <w:r>
        <w:rPr>
          <w:highlight w:val="yellow"/>
        </w:rPr>
        <w:t>[[ФАКТИЧЕСКАЯ ДАТА НАЧАЛА]]</w:t>
      </w:r>
      <w:r>
        <w:t>. Срок или условие прекращения: прекращение деятельности сервиса и завершение обязательной обработки; для отдельных целей — достижение цели, завершение договора либо отзыв соответствующего согласия при отсутствии иных оснований.</w:t>
      </w:r>
    </w:p>
    <w:p>
      <w:r>
        <w:t>Для каждой цели отдельно заполняются категории субъектов, конкретные данные, основание, действия и способы. Рабочая карта целей:</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35"/>
        <w:gridCol w:w="3345"/>
        <w:gridCol w:w="3345"/>
      </w:tblGrid>
      <w:tr>
        <w:trPr>
          <w:cantSplit/>
          <w:tblHeader/>
        </w:trPr>
        <w:tc>
          <w:tcPr>
            <w:tcW w:type="dxa" w:w="2835"/>
            <w:vAlign w:val="center"/>
            <w:tcMar>
              <w:top w:w="75" w:type="dxa"/>
              <w:bottom w:w="75" w:type="dxa"/>
              <w:left w:w="90" w:type="dxa"/>
              <w:right w:w="90" w:type="dxa"/>
            </w:tcMar>
            <w:shd w:fill="404040"/>
          </w:tcPr>
          <w:p>
            <w:pPr>
              <w:spacing w:after="0" w:line="247" w:lineRule="auto"/>
            </w:pPr>
            <w:r>
              <w:rPr>
                <w:b/>
                <w:color w:val="FFFFFF"/>
                <w:sz w:val="18"/>
              </w:rPr>
              <w:t>Цель</w:t>
            </w:r>
          </w:p>
        </w:tc>
        <w:tc>
          <w:tcPr>
            <w:tcW w:type="dxa" w:w="3345"/>
            <w:vAlign w:val="center"/>
            <w:tcMar>
              <w:top w:w="75" w:type="dxa"/>
              <w:bottom w:w="75" w:type="dxa"/>
              <w:left w:w="90" w:type="dxa"/>
              <w:right w:w="90" w:type="dxa"/>
            </w:tcMar>
            <w:shd w:fill="404040"/>
          </w:tcPr>
          <w:p>
            <w:pPr>
              <w:spacing w:after="0" w:line="247" w:lineRule="auto"/>
            </w:pPr>
            <w:r>
              <w:rPr>
                <w:b/>
                <w:color w:val="FFFFFF"/>
                <w:sz w:val="18"/>
              </w:rPr>
              <w:t>Субъекты и данные</w:t>
            </w:r>
          </w:p>
        </w:tc>
        <w:tc>
          <w:tcPr>
            <w:tcW w:type="dxa" w:w="3345"/>
            <w:vAlign w:val="center"/>
            <w:tcMar>
              <w:top w:w="75" w:type="dxa"/>
              <w:bottom w:w="75" w:type="dxa"/>
              <w:left w:w="90" w:type="dxa"/>
              <w:right w:w="90" w:type="dxa"/>
            </w:tcMar>
            <w:shd w:fill="404040"/>
          </w:tcPr>
          <w:p>
            <w:pPr>
              <w:spacing w:after="0" w:line="247" w:lineRule="auto"/>
            </w:pPr>
            <w:r>
              <w:rPr>
                <w:b/>
                <w:color w:val="FFFFFF"/>
                <w:sz w:val="18"/>
              </w:rPr>
              <w:t>Основание для проверки</w:t>
            </w:r>
          </w:p>
        </w:tc>
      </w:tr>
      <w:tr>
        <w:trPr>
          <w:cantSplit/>
        </w:trPr>
        <w:tc>
          <w:tcPr>
            <w:tcW w:type="dxa" w:w="2835"/>
            <w:vAlign w:val="center"/>
            <w:tcMar>
              <w:top w:w="75" w:type="dxa"/>
              <w:bottom w:w="75" w:type="dxa"/>
              <w:left w:w="90" w:type="dxa"/>
              <w:right w:w="90" w:type="dxa"/>
            </w:tcMar>
            <w:shd w:fill="FFFFFF"/>
          </w:tcPr>
          <w:p>
            <w:pPr>
              <w:spacing w:after="0" w:line="247" w:lineRule="auto"/>
            </w:pPr>
            <w:r>
              <w:rPr>
                <w:sz w:val="18"/>
              </w:rPr>
              <w:t>Аккаунт и спортивный поиск</w:t>
            </w:r>
          </w:p>
        </w:tc>
        <w:tc>
          <w:tcPr>
            <w:tcW w:type="dxa" w:w="3345"/>
            <w:vAlign w:val="center"/>
            <w:tcMar>
              <w:top w:w="75" w:type="dxa"/>
              <w:bottom w:w="75" w:type="dxa"/>
              <w:left w:w="90" w:type="dxa"/>
              <w:right w:w="90" w:type="dxa"/>
            </w:tcMar>
            <w:shd w:fill="FFFFFF"/>
          </w:tcPr>
          <w:p>
            <w:pPr>
              <w:spacing w:after="0" w:line="247" w:lineRule="auto"/>
            </w:pPr>
            <w:r>
              <w:rPr>
                <w:sz w:val="18"/>
              </w:rPr>
              <w:t>Зарегистрированные пользователи; email, ID, возраст, указанный пол, имя для отображения, спорт, уровни, город, районы, время</w:t>
            </w:r>
          </w:p>
        </w:tc>
        <w:tc>
          <w:tcPr>
            <w:tcW w:type="dxa" w:w="3345"/>
            <w:vAlign w:val="center"/>
            <w:tcMar>
              <w:top w:w="75" w:type="dxa"/>
              <w:bottom w:w="75" w:type="dxa"/>
              <w:left w:w="90" w:type="dxa"/>
              <w:right w:w="90" w:type="dxa"/>
            </w:tcMar>
            <w:shd w:fill="FFFFFF"/>
          </w:tcPr>
          <w:p>
            <w:pPr>
              <w:spacing w:after="0" w:line="247" w:lineRule="auto"/>
            </w:pPr>
            <w:r>
              <w:rPr>
                <w:sz w:val="18"/>
              </w:rPr>
              <w:t>Договор в необходимом объёме, пункт 5 части 1 статьи 6</w:t>
            </w:r>
          </w:p>
        </w:tc>
      </w:tr>
      <w:tr>
        <w:trPr>
          <w:cantSplit/>
        </w:trPr>
        <w:tc>
          <w:tcPr>
            <w:tcW w:type="dxa" w:w="2835"/>
            <w:vAlign w:val="center"/>
            <w:tcMar>
              <w:top w:w="75" w:type="dxa"/>
              <w:bottom w:w="75" w:type="dxa"/>
              <w:left w:w="90" w:type="dxa"/>
              <w:right w:w="90" w:type="dxa"/>
            </w:tcMar>
            <w:shd w:fill="F4F4F4"/>
          </w:tcPr>
          <w:p>
            <w:pPr>
              <w:spacing w:after="0" w:line="247" w:lineRule="auto"/>
            </w:pPr>
            <w:r>
              <w:rPr>
                <w:sz w:val="18"/>
              </w:rPr>
              <w:t>Игровые функции и связь</w:t>
            </w:r>
          </w:p>
        </w:tc>
        <w:tc>
          <w:tcPr>
            <w:tcW w:type="dxa" w:w="3345"/>
            <w:vAlign w:val="center"/>
            <w:tcMar>
              <w:top w:w="75" w:type="dxa"/>
              <w:bottom w:w="75" w:type="dxa"/>
              <w:left w:w="90" w:type="dxa"/>
              <w:right w:w="90" w:type="dxa"/>
            </w:tcMar>
            <w:shd w:fill="F4F4F4"/>
          </w:tcPr>
          <w:p>
            <w:pPr>
              <w:spacing w:after="0" w:line="247" w:lineRule="auto"/>
            </w:pPr>
            <w:r>
              <w:rPr>
                <w:sz w:val="18"/>
              </w:rPr>
              <w:t>Участники; сообщения, вложения, заявки, статусы, push-токены</w:t>
            </w:r>
          </w:p>
        </w:tc>
        <w:tc>
          <w:tcPr>
            <w:tcW w:type="dxa" w:w="3345"/>
            <w:vAlign w:val="center"/>
            <w:tcMar>
              <w:top w:w="75" w:type="dxa"/>
              <w:bottom w:w="75" w:type="dxa"/>
              <w:left w:w="90" w:type="dxa"/>
              <w:right w:w="90" w:type="dxa"/>
            </w:tcMar>
            <w:shd w:fill="F4F4F4"/>
          </w:tcPr>
          <w:p>
            <w:pPr>
              <w:spacing w:after="0" w:line="247" w:lineRule="auto"/>
            </w:pPr>
            <w:r>
              <w:rPr>
                <w:sz w:val="18"/>
              </w:rPr>
              <w:t>Договор и запрошенная функция</w:t>
            </w:r>
          </w:p>
        </w:tc>
      </w:tr>
      <w:tr>
        <w:trPr>
          <w:cantSplit/>
        </w:trPr>
        <w:tc>
          <w:tcPr>
            <w:tcW w:type="dxa" w:w="2835"/>
            <w:vAlign w:val="center"/>
            <w:tcMar>
              <w:top w:w="75" w:type="dxa"/>
              <w:bottom w:w="75" w:type="dxa"/>
              <w:left w:w="90" w:type="dxa"/>
              <w:right w:w="90" w:type="dxa"/>
            </w:tcMar>
            <w:shd w:fill="FFFFFF"/>
          </w:tcPr>
          <w:p>
            <w:pPr>
              <w:spacing w:after="0" w:line="247" w:lineRule="auto"/>
            </w:pPr>
            <w:r>
              <w:rPr>
                <w:sz w:val="18"/>
              </w:rPr>
              <w:t>Необязательный профиль</w:t>
            </w:r>
          </w:p>
        </w:tc>
        <w:tc>
          <w:tcPr>
            <w:tcW w:type="dxa" w:w="3345"/>
            <w:vAlign w:val="center"/>
            <w:tcMar>
              <w:top w:w="75" w:type="dxa"/>
              <w:bottom w:w="75" w:type="dxa"/>
              <w:left w:w="90" w:type="dxa"/>
              <w:right w:w="90" w:type="dxa"/>
            </w:tcMar>
            <w:shd w:fill="FFFFFF"/>
          </w:tcPr>
          <w:p>
            <w:pPr>
              <w:spacing w:after="0" w:line="247" w:lineRule="auto"/>
            </w:pPr>
            <w:r>
              <w:rPr>
                <w:sz w:val="18"/>
              </w:rPr>
              <w:t>Пользователи; описание, фото, видео</w:t>
            </w:r>
          </w:p>
        </w:tc>
        <w:tc>
          <w:tcPr>
            <w:tcW w:type="dxa" w:w="3345"/>
            <w:vAlign w:val="center"/>
            <w:tcMar>
              <w:top w:w="75" w:type="dxa"/>
              <w:bottom w:w="75" w:type="dxa"/>
              <w:left w:w="90" w:type="dxa"/>
              <w:right w:w="90" w:type="dxa"/>
            </w:tcMar>
            <w:shd w:fill="FFFFFF"/>
          </w:tcPr>
          <w:p>
            <w:pPr>
              <w:spacing w:after="0" w:line="247" w:lineRule="auto"/>
            </w:pPr>
            <w:r>
              <w:rPr>
                <w:sz w:val="18"/>
              </w:rPr>
              <w:t>Отдельное согласие формы 03 А</w:t>
            </w:r>
          </w:p>
        </w:tc>
      </w:tr>
      <w:tr>
        <w:trPr>
          <w:cantSplit/>
        </w:trPr>
        <w:tc>
          <w:tcPr>
            <w:tcW w:type="dxa" w:w="2835"/>
            <w:vAlign w:val="center"/>
            <w:tcMar>
              <w:top w:w="75" w:type="dxa"/>
              <w:bottom w:w="75" w:type="dxa"/>
              <w:left w:w="90" w:type="dxa"/>
              <w:right w:w="90" w:type="dxa"/>
            </w:tcMar>
            <w:shd w:fill="F4F4F4"/>
          </w:tcPr>
          <w:p>
            <w:pPr>
              <w:spacing w:after="0" w:line="247" w:lineRule="auto"/>
            </w:pPr>
            <w:r>
              <w:rPr>
                <w:sz w:val="18"/>
              </w:rPr>
              <w:t>Геопозиция устройства</w:t>
            </w:r>
          </w:p>
        </w:tc>
        <w:tc>
          <w:tcPr>
            <w:tcW w:type="dxa" w:w="3345"/>
            <w:vAlign w:val="center"/>
            <w:tcMar>
              <w:top w:w="75" w:type="dxa"/>
              <w:bottom w:w="75" w:type="dxa"/>
              <w:left w:w="90" w:type="dxa"/>
              <w:right w:w="90" w:type="dxa"/>
            </w:tcMar>
            <w:shd w:fill="F4F4F4"/>
          </w:tcPr>
          <w:p>
            <w:pPr>
              <w:spacing w:after="0" w:line="247" w:lineRule="auto"/>
            </w:pPr>
            <w:r>
              <w:rPr>
                <w:sz w:val="18"/>
              </w:rPr>
              <w:t>Посетители и пользователи функции; координаты запроса определения города и необходимые технические сведения</w:t>
            </w:r>
          </w:p>
        </w:tc>
        <w:tc>
          <w:tcPr>
            <w:tcW w:type="dxa" w:w="3345"/>
            <w:vAlign w:val="center"/>
            <w:tcMar>
              <w:top w:w="75" w:type="dxa"/>
              <w:bottom w:w="75" w:type="dxa"/>
              <w:left w:w="90" w:type="dxa"/>
              <w:right w:w="90" w:type="dxa"/>
            </w:tcMar>
            <w:shd w:fill="F4F4F4"/>
          </w:tcPr>
          <w:p>
            <w:pPr>
              <w:spacing w:after="0" w:line="247" w:lineRule="auto"/>
            </w:pPr>
            <w:r>
              <w:rPr>
                <w:sz w:val="18"/>
              </w:rPr>
              <w:t>Отдельное согласие формы 03 Б при фактическом сборе</w:t>
            </w:r>
          </w:p>
        </w:tc>
      </w:tr>
      <w:tr>
        <w:trPr>
          <w:cantSplit/>
        </w:trPr>
        <w:tc>
          <w:tcPr>
            <w:tcW w:type="dxa" w:w="2835"/>
            <w:vAlign w:val="center"/>
            <w:tcMar>
              <w:top w:w="75" w:type="dxa"/>
              <w:bottom w:w="75" w:type="dxa"/>
              <w:left w:w="90" w:type="dxa"/>
              <w:right w:w="90" w:type="dxa"/>
            </w:tcMar>
            <w:shd w:fill="FFFFFF"/>
          </w:tcPr>
          <w:p>
            <w:pPr>
              <w:spacing w:after="0" w:line="247" w:lineRule="auto"/>
            </w:pPr>
            <w:r>
              <w:rPr>
                <w:sz w:val="18"/>
              </w:rPr>
              <w:t>Рекомендации</w:t>
            </w:r>
          </w:p>
        </w:tc>
        <w:tc>
          <w:tcPr>
            <w:tcW w:type="dxa" w:w="3345"/>
            <w:vAlign w:val="center"/>
            <w:tcMar>
              <w:top w:w="75" w:type="dxa"/>
              <w:bottom w:w="75" w:type="dxa"/>
              <w:left w:w="90" w:type="dxa"/>
              <w:right w:w="90" w:type="dxa"/>
            </w:tcMar>
            <w:shd w:fill="FFFFFF"/>
          </w:tcPr>
          <w:p>
            <w:pPr>
              <w:spacing w:after="0" w:line="247" w:lineRule="auto"/>
            </w:pPr>
            <w:r>
              <w:rPr>
                <w:sz w:val="18"/>
              </w:rPr>
              <w:t>Пользователи поиска; параметры и необходимая история действий и выдачи</w:t>
            </w:r>
          </w:p>
        </w:tc>
        <w:tc>
          <w:tcPr>
            <w:tcW w:type="dxa" w:w="3345"/>
            <w:vAlign w:val="center"/>
            <w:tcMar>
              <w:top w:w="75" w:type="dxa"/>
              <w:bottom w:w="75" w:type="dxa"/>
              <w:left w:w="90" w:type="dxa"/>
              <w:right w:w="90" w:type="dxa"/>
            </w:tcMar>
            <w:shd w:fill="FFFFFF"/>
          </w:tcPr>
          <w:p>
            <w:pPr>
              <w:spacing w:after="0" w:line="247" w:lineRule="auto"/>
            </w:pPr>
            <w:r>
              <w:rPr>
                <w:sz w:val="18"/>
              </w:rPr>
              <w:t>Договор в обоснованном объёме, отдельные правила</w:t>
            </w:r>
          </w:p>
        </w:tc>
      </w:tr>
      <w:tr>
        <w:trPr>
          <w:cantSplit/>
        </w:trPr>
        <w:tc>
          <w:tcPr>
            <w:tcW w:type="dxa" w:w="2835"/>
            <w:vAlign w:val="center"/>
            <w:tcMar>
              <w:top w:w="75" w:type="dxa"/>
              <w:bottom w:w="75" w:type="dxa"/>
              <w:left w:w="90" w:type="dxa"/>
              <w:right w:w="90" w:type="dxa"/>
            </w:tcMar>
            <w:shd w:fill="F4F4F4"/>
          </w:tcPr>
          <w:p>
            <w:pPr>
              <w:spacing w:after="0" w:line="247" w:lineRule="auto"/>
            </w:pPr>
            <w:r>
              <w:rPr>
                <w:sz w:val="18"/>
              </w:rPr>
              <w:t>Необязательная аналитика</w:t>
            </w:r>
          </w:p>
        </w:tc>
        <w:tc>
          <w:tcPr>
            <w:tcW w:type="dxa" w:w="3345"/>
            <w:vAlign w:val="center"/>
            <w:tcMar>
              <w:top w:w="75" w:type="dxa"/>
              <w:bottom w:w="75" w:type="dxa"/>
              <w:left w:w="90" w:type="dxa"/>
              <w:right w:w="90" w:type="dxa"/>
            </w:tcMar>
            <w:shd w:fill="F4F4F4"/>
          </w:tcPr>
          <w:p>
            <w:pPr>
              <w:spacing w:after="0" w:line="247" w:lineRule="auto"/>
            </w:pPr>
            <w:r>
              <w:rPr>
                <w:sz w:val="18"/>
              </w:rPr>
              <w:t>Согласившиеся пользователи; события интерфейса и технические параметры</w:t>
            </w:r>
          </w:p>
        </w:tc>
        <w:tc>
          <w:tcPr>
            <w:tcW w:type="dxa" w:w="3345"/>
            <w:vAlign w:val="center"/>
            <w:tcMar>
              <w:top w:w="75" w:type="dxa"/>
              <w:bottom w:w="75" w:type="dxa"/>
              <w:left w:w="90" w:type="dxa"/>
              <w:right w:w="90" w:type="dxa"/>
            </w:tcMar>
            <w:shd w:fill="F4F4F4"/>
          </w:tcPr>
          <w:p>
            <w:pPr>
              <w:spacing w:after="0" w:line="247" w:lineRule="auto"/>
            </w:pPr>
            <w:r>
              <w:rPr>
                <w:sz w:val="18"/>
              </w:rPr>
              <w:t>Отдельное согласие формы 03 В</w:t>
            </w:r>
          </w:p>
        </w:tc>
      </w:tr>
      <w:tr>
        <w:trPr>
          <w:cantSplit/>
        </w:trPr>
        <w:tc>
          <w:tcPr>
            <w:tcW w:type="dxa" w:w="2835"/>
            <w:vAlign w:val="center"/>
            <w:tcMar>
              <w:top w:w="75" w:type="dxa"/>
              <w:bottom w:w="75" w:type="dxa"/>
              <w:left w:w="90" w:type="dxa"/>
              <w:right w:w="90" w:type="dxa"/>
            </w:tcMar>
            <w:shd w:fill="FFFFFF"/>
          </w:tcPr>
          <w:p>
            <w:pPr>
              <w:spacing w:after="0" w:line="247" w:lineRule="auto"/>
            </w:pPr>
            <w:r>
              <w:rPr>
                <w:sz w:val="18"/>
              </w:rPr>
              <w:t>Распространение анкет и поисков</w:t>
            </w:r>
          </w:p>
        </w:tc>
        <w:tc>
          <w:tcPr>
            <w:tcW w:type="dxa" w:w="3345"/>
            <w:vAlign w:val="center"/>
            <w:tcMar>
              <w:top w:w="75" w:type="dxa"/>
              <w:bottom w:w="75" w:type="dxa"/>
              <w:left w:w="90" w:type="dxa"/>
              <w:right w:w="90" w:type="dxa"/>
            </w:tcMar>
            <w:shd w:fill="FFFFFF"/>
          </w:tcPr>
          <w:p>
            <w:pPr>
              <w:spacing w:after="0" w:line="247" w:lineRule="auto"/>
            </w:pPr>
            <w:r>
              <w:rPr>
                <w:sz w:val="18"/>
              </w:rPr>
              <w:t>Пользователи публикации; только выбранные поля и материалы</w:t>
            </w:r>
          </w:p>
        </w:tc>
        <w:tc>
          <w:tcPr>
            <w:tcW w:type="dxa" w:w="3345"/>
            <w:vAlign w:val="center"/>
            <w:tcMar>
              <w:top w:w="75" w:type="dxa"/>
              <w:bottom w:w="75" w:type="dxa"/>
              <w:left w:w="90" w:type="dxa"/>
              <w:right w:w="90" w:type="dxa"/>
            </w:tcMar>
            <w:shd w:fill="FFFFFF"/>
          </w:tcPr>
          <w:p>
            <w:pPr>
              <w:spacing w:after="0" w:line="247" w:lineRule="auto"/>
            </w:pPr>
            <w:r>
              <w:rPr>
                <w:sz w:val="18"/>
              </w:rPr>
              <w:t>Отдельное согласие по статье 10 1</w:t>
            </w:r>
          </w:p>
        </w:tc>
      </w:tr>
      <w:tr>
        <w:trPr>
          <w:cantSplit/>
        </w:trPr>
        <w:tc>
          <w:tcPr>
            <w:tcW w:type="dxa" w:w="2835"/>
            <w:vAlign w:val="center"/>
            <w:tcMar>
              <w:top w:w="75" w:type="dxa"/>
              <w:bottom w:w="75" w:type="dxa"/>
              <w:left w:w="90" w:type="dxa"/>
              <w:right w:w="90" w:type="dxa"/>
            </w:tcMar>
            <w:shd w:fill="F4F4F4"/>
          </w:tcPr>
          <w:p>
            <w:pPr>
              <w:spacing w:after="0" w:line="247" w:lineRule="auto"/>
            </w:pPr>
            <w:r>
              <w:rPr>
                <w:sz w:val="18"/>
              </w:rPr>
              <w:t>Поддержка безопасность и права</w:t>
            </w:r>
          </w:p>
        </w:tc>
        <w:tc>
          <w:tcPr>
            <w:tcW w:type="dxa" w:w="3345"/>
            <w:vAlign w:val="center"/>
            <w:tcMar>
              <w:top w:w="75" w:type="dxa"/>
              <w:bottom w:w="75" w:type="dxa"/>
              <w:left w:w="90" w:type="dxa"/>
              <w:right w:w="90" w:type="dxa"/>
            </w:tcMar>
            <w:shd w:fill="F4F4F4"/>
          </w:tcPr>
          <w:p>
            <w:pPr>
              <w:spacing w:after="0" w:line="247" w:lineRule="auto"/>
            </w:pPr>
            <w:r>
              <w:rPr>
                <w:sz w:val="18"/>
              </w:rPr>
              <w:t>Заявители и затронутые лица; обращения, доказательства, необходимые журналы</w:t>
            </w:r>
          </w:p>
        </w:tc>
        <w:tc>
          <w:tcPr>
            <w:tcW w:type="dxa" w:w="3345"/>
            <w:vAlign w:val="center"/>
            <w:tcMar>
              <w:top w:w="75" w:type="dxa"/>
              <w:bottom w:w="75" w:type="dxa"/>
              <w:left w:w="90" w:type="dxa"/>
              <w:right w:w="90" w:type="dxa"/>
            </w:tcMar>
            <w:shd w:fill="F4F4F4"/>
          </w:tcPr>
          <w:p>
            <w:pPr>
              <w:spacing w:after="0" w:line="247" w:lineRule="auto"/>
            </w:pPr>
            <w:r>
              <w:rPr>
                <w:sz w:val="18"/>
              </w:rPr>
              <w:t>Конкретные обязанности закона, договор либо законные интересы с оценкой соразмерности</w:t>
            </w:r>
          </w:p>
        </w:tc>
      </w:tr>
    </w:tbl>
    <w:p>
      <w:pPr>
        <w:spacing w:after="40" w:before="0" w:line="72" w:lineRule="auto"/>
      </w:pPr>
    </w:p>
    <w:p>
      <w:r>
        <w:t>Действия и способы указываются для каждой цели по факту: автоматизированная или смешанная обработка; сбор, запись, систематизация, накопление, хранение, уточнение, извлечение, использование, предусмотренное предоставление, блокирование, удаление, уничтожение. Распространение включается только для соответствующей цели. Нельзя выбрать все действия и категории без необходимости.</w:t>
      </w:r>
    </w:p>
    <w:p>
      <w:r>
        <w:t xml:space="preserve">Местонахождение базы данных ПД граждан РФ: </w:t>
      </w:r>
      <w:r>
        <w:rPr>
          <w:highlight w:val="yellow"/>
        </w:rPr>
        <w:t>[[СТРАНА РФ АДРЕС ЦОД ПОСТАВЩИК]]</w:t>
      </w:r>
      <w:r>
        <w:t xml:space="preserve">. Меры по статьям 18.1 и 19, используемые средства защиты и сведения о криптографических средствах: </w:t>
      </w:r>
      <w:r>
        <w:rPr>
          <w:highlight w:val="yellow"/>
        </w:rPr>
        <w:t>[[ФАКТИЧЕСКИЕ МЕРЫ И СРЕДСТВА]]</w:t>
      </w:r>
      <w:r>
        <w:t xml:space="preserve">. Обеспечение безопасности по требованиям Правительства РФ: </w:t>
      </w:r>
      <w:r>
        <w:rPr>
          <w:highlight w:val="yellow"/>
        </w:rPr>
        <w:t>[[ОЦЕНКА И ПРИМЕНИМЫЕ МЕРЫ]]</w:t>
      </w:r>
      <w:r>
        <w:t>.</w:t>
      </w:r>
    </w:p>
    <w:p>
      <w:r>
        <w:t xml:space="preserve">Трансграничная передача: </w:t>
      </w:r>
      <w:r>
        <w:rPr>
          <w:highlight w:val="yellow"/>
        </w:rPr>
        <w:t>[[ЕСТЬ ИЛИ НЕТ ПО РЕЗУЛЬТАТАМ ПРОВЕРКИ]]</w:t>
      </w:r>
      <w:r>
        <w:t>. Не отмечать отсутствие только потому, что основная база российская. При наличии передачи подготовить отдельное уведомление по статье 12: сведения о получателях и странах, контакты, цели, основания, категории данных и субъектов, дата оценки получателей, полученная от них информация, допустимый момент начала и действующие ограничения. Учитывать редакцию закона после изменений от 26 июля 2026 года.</w:t>
      </w:r>
    </w:p>
    <w:p>
      <w:r>
        <w:t>После подписания и отправки сохранить экземпляр и подтверждение подачи, проверить запись в реестре. Если данные уже обрабатывались без уведомления, указывается достоверная дата и отдельно оценивается предшествующий период; уведомление не легализует его задним числом. Изменения сообщаются не позднее 15 числа следующего месяца, прекращение обработки — в течение 10 рабочих дней.</w:t>
      </w:r>
    </w:p>
    <w:p>
      <w:pPr>
        <w:pStyle w:val="Heading1"/>
      </w:pPr>
      <w:r>
        <w:t>4 Необходимые доработки приложения</w:t>
      </w:r>
    </w:p>
    <w:p>
      <w:r>
        <w:t>Это выявленные по рабочему дереву зависимости публикации, а не выполненные изменения. Незакоммиченный код не обязательно совпадает с production; перед внедрением проверить установленную версию.</w:t>
      </w:r>
    </w:p>
    <w:p>
      <w:r>
        <w:t>1. Разделить принятие соглашения и согласия. Сейчас web и iOS используют общую отметку и общую версию. Нужны отдельные тексты, подтверждения, история и отзыв по целям; необязательная аналитика не должна собираться до выбора и после отзыва.</w:t>
      </w:r>
    </w:p>
    <w:p>
      <w:r>
        <w:t>2. Контролировать гостевую выдачу. Сейчас анкеты доступны через гостевой поиск без входа. Выключение карты подавляет точки, но не скрывает анкету, район, расписание или фото. Разрешение на распространение должно проверяться до сериализации, отдельно по полям, аудитории и способу показа.</w:t>
      </w:r>
    </w:p>
    <w:p>
      <w:r>
        <w:t>3. Обеспечить выбор пользователя. По умолчанию показывать форму с пустыми отметками. Существующие записи showOnMap=true не считать доказательством отдельного согласия. Добавить поля ФИО и контакта для формы распространения, сохраняя их непублично. Не публиковать новые материалы по старому снимку выбора без надлежащего подтверждения.</w:t>
      </w:r>
    </w:p>
    <w:p>
      <w:r>
        <w:t>4. Проверить активные поиски. Гостевая выдача может содержать время, выбранный адрес, маршрут, комментарии и сведения о партнёре. Публичность этих полей и связанных лиц должна контролироваться отдельно; одно согласие автора не разрешает раскрывать данные партнёра.</w:t>
      </w:r>
    </w:p>
    <w:p>
      <w:r>
        <w:t>5. Реализовать полное прекращение показа и очистку. Удаление User не доказывает удаление файлов, записей DiscoverImpression без внешнего ключа и контактов или снимков контента в ContentReport. Нужны инвентаризация, минимизация сохраняемых доказательств и удаление из медиа, копий, кешей и экспортов.</w:t>
      </w:r>
    </w:p>
    <w:p>
      <w:r>
        <w:t>6. Утвердить сроки и настроить очистку. Окна ранжирования 7/14 дней и аналитики 7/30/90 дней не являются сроками хранения. Значение 14 дней в резервном скрипте тоже не доказывает фактическую работу ротации.</w:t>
      </w:r>
    </w:p>
    <w:p>
      <w:r>
        <w:t>7. Подтвердить работу с геопозицией. В разных сценариях используются справочные центры либо координаты устройства. Если точная геопозиция не поступает оператору и остаётся только на устройстве, уточнить форму 03 Б и политику под этот поток; не заявлять несуществующее сохранение координат.</w:t>
      </w:r>
    </w:p>
    <w:p>
      <w:r>
        <w:t>8. Разместить общедоступные документы, архив версий и точное уведомление о рекомендациях со ссылкой. Проверить с гостевого аккаунта, web, iOS и каждого распространяемого Android-клиента. Не обещать общий переключатель рекомендаций, которого в проверенном коде нет.</w:t>
      </w:r>
    </w:p>
    <w:p>
      <w:r>
        <w:t>9. Согласовать правила модерации с реальной поддержкой. Старый текст обещает 24 часа на жалобы. Новый проект не добавляет такого добровольного универсального срока; до введения новой редакции учитывать действующие обязательства. Специальные сроки закона сохраняются.</w:t>
      </w:r>
    </w:p>
    <w:p>
      <w:pPr>
        <w:pStyle w:val="Heading1"/>
      </w:pPr>
      <w:r>
        <w:t>5 Вопросы для адресной проверки юристом</w:t>
      </w:r>
    </w:p>
    <w:p>
      <w:r>
        <w:t>ОРИ и чат. Установить, применяются ли к фактической модели обмена сообщениями обязанности статьи 10.1 закона № 149-ФЗ и какие именно: уведомление, хранение сведений, взаимодействие с органами и иные требования. При применимости определить законный состав и срок обязательного хранения до финализации политики удаления. Не делать вывода об освобождении по признаку бесплатности или малого масштаба.</w:t>
      </w:r>
    </w:p>
    <w:p>
      <w:r>
        <w:t>Авторизация. Оценить Apple Sign In и собственный email-вход по части 10 статьи 8 закона № 149-ФЗ. Зафиксировать владельца системы авторизации, способы для пользователей в РФ и решение по иностранному входу. Обычный email пользователя и авторизация через иностранного поставщика не тождественны.</w:t>
      </w:r>
    </w:p>
    <w:p>
      <w:r>
        <w:t>Данные и договорные основания. Подтвердить разграничение необходимых функций и необязательных согласий; проверить выбранный объём истории для ранжирования, аналитики и доказательств; установить перечень получателей и легальность трансграничных потоков.</w:t>
      </w:r>
    </w:p>
    <w:p>
      <w:r>
        <w:t>Публичность и контент. Проверить форму распространения по приказу № 18, ресурсы и реальный контроль условий, лицензию на пользовательские материалы, правомерность публикации сведений участников и изображения третьих лиц. Отдельно проверить лицензии карт, геосправочников, импортируемых клубных материалов и название сервиса.</w:t>
      </w:r>
    </w:p>
    <w:p>
      <w:r>
        <w:t>Ожидаемый результат консультации: конкретные правки к этим текстам и список действий по каждой функции с указанием применимых норм. Комплект не является заключением адвоката или подтверждением полной правовой готовности сервиса.</w:t>
      </w:r>
    </w:p>
    <w:p>
      <w:pPr>
        <w:pStyle w:val="Heading1"/>
      </w:pPr>
      <w:r>
        <w:t>6 Порядок введения</w:t>
      </w:r>
    </w:p>
    <w:p>
      <w:r>
        <w:t>Сначала заполнить инфраструктуру, реквизиты и цели, проверить уведомления и специальные вопросы. Затем согласовать окончательные тексты, реализовать контроль согласий и удаление, проверить функции. Утвердить дату введения, опубликовать чистые пользовательские документы, получить необходимые новые подтверждения и сохранить доказательства.</w:t>
      </w:r>
    </w:p>
    <w:p>
      <w:r>
        <w:t>Проверка готовности: все поля владельца заполнены; пользовательские формы формируют экземпляр выбранных условий; нет публикации без разрешения; отзыв немедленно закрывает соответствующий публичный доступ; удаление проверено на тестовом аккаунте во всех хранилищах; уведомления и договоры соответствуют реальным потокам; обращения и инциденты имеют рабочий канал и сроки. Согласия не собирать задним числом.</w:t>
      </w:r>
    </w:p>
    <w:p>
      <w:pPr>
        <w:pStyle w:val="Heading1"/>
      </w:pPr>
      <w:r>
        <w:t>7 Источники и границы проверки</w:t>
      </w:r>
    </w:p>
    <w:p>
      <w:r>
        <w:t>Нормы сверены 7 сентября 2026 года по доступным текстам законодательства и актов Роскомнадзора. До введения документов после этой даты проверить изменения. Приведённые правовые основания относятся к проекту и не заменяют сведения о действующей конфигурации.</w:t>
      </w:r>
    </w:p>
    <w:p>
      <w:pPr>
        <w:pStyle w:val="ListBullet"/>
      </w:pPr>
      <w:hyperlink r:id="rId13">
        <w:r>
          <w:rPr>
            <w:color w:val="1F4D70"/>
            <w:u w:val="single"/>
          </w:rPr>
          <w:t>Закон № 152-ФЗ, согласие, статья 9</w:t>
        </w:r>
      </w:hyperlink>
    </w:p>
    <w:p>
      <w:pPr>
        <w:pStyle w:val="ListBullet"/>
      </w:pPr>
      <w:hyperlink r:id="rId14">
        <w:r>
          <w:rPr>
            <w:color w:val="1F4D70"/>
            <w:u w:val="single"/>
          </w:rPr>
          <w:t>Распространение, статья 10.1</w:t>
        </w:r>
      </w:hyperlink>
    </w:p>
    <w:p>
      <w:pPr>
        <w:pStyle w:val="ListBullet"/>
      </w:pPr>
      <w:hyperlink r:id="rId15">
        <w:r>
          <w:rPr>
            <w:color w:val="1F4D70"/>
            <w:u w:val="single"/>
          </w:rPr>
          <w:t>Содержание согласия, приказ РКН № 18</w:t>
        </w:r>
      </w:hyperlink>
    </w:p>
    <w:p>
      <w:pPr>
        <w:pStyle w:val="ListBullet"/>
      </w:pPr>
      <w:hyperlink r:id="rId16">
        <w:r>
          <w:rPr>
            <w:color w:val="1F4D70"/>
            <w:u w:val="single"/>
          </w:rPr>
          <w:t>Локализация, статья 18</w:t>
        </w:r>
      </w:hyperlink>
    </w:p>
    <w:p>
      <w:pPr>
        <w:pStyle w:val="ListBullet"/>
      </w:pPr>
      <w:hyperlink r:id="rId17">
        <w:r>
          <w:rPr>
            <w:color w:val="1F4D70"/>
            <w:u w:val="single"/>
          </w:rPr>
          <w:t>Трансграничная передача, статья 12</w:t>
        </w:r>
      </w:hyperlink>
    </w:p>
    <w:p>
      <w:pPr>
        <w:pStyle w:val="ListBullet"/>
      </w:pPr>
      <w:hyperlink r:id="rId18">
        <w:r>
          <w:rPr>
            <w:color w:val="1F4D70"/>
            <w:u w:val="single"/>
          </w:rPr>
          <w:t>Обязанности оператора, статья 18.1</w:t>
        </w:r>
      </w:hyperlink>
    </w:p>
    <w:p>
      <w:pPr>
        <w:pStyle w:val="ListBullet"/>
      </w:pPr>
      <w:hyperlink r:id="rId19">
        <w:r>
          <w:rPr>
            <w:color w:val="1F4D70"/>
            <w:u w:val="single"/>
          </w:rPr>
          <w:t>Обращения, статья 20</w:t>
        </w:r>
      </w:hyperlink>
    </w:p>
    <w:p>
      <w:pPr>
        <w:pStyle w:val="ListBullet"/>
      </w:pPr>
      <w:hyperlink r:id="rId20">
        <w:r>
          <w:rPr>
            <w:color w:val="1F4D70"/>
            <w:u w:val="single"/>
          </w:rPr>
          <w:t>Удаление и инциденты, статья 21</w:t>
        </w:r>
      </w:hyperlink>
    </w:p>
    <w:p>
      <w:pPr>
        <w:pStyle w:val="ListBullet"/>
      </w:pPr>
      <w:hyperlink r:id="rId21">
        <w:r>
          <w:rPr>
            <w:color w:val="1F4D70"/>
            <w:u w:val="single"/>
          </w:rPr>
          <w:t>Уведомление оператора, статья 22</w:t>
        </w:r>
      </w:hyperlink>
    </w:p>
    <w:p>
      <w:pPr>
        <w:pStyle w:val="ListBullet"/>
      </w:pPr>
      <w:hyperlink r:id="rId22">
        <w:r>
          <w:rPr>
            <w:color w:val="1F4D70"/>
            <w:u w:val="single"/>
          </w:rPr>
          <w:t>Подтверждение уничтожения, приказ РКН № 179</w:t>
        </w:r>
      </w:hyperlink>
    </w:p>
    <w:p>
      <w:pPr>
        <w:pStyle w:val="ListBullet"/>
      </w:pPr>
      <w:hyperlink r:id="rId23">
        <w:r>
          <w:rPr>
            <w:color w:val="1F4D70"/>
            <w:u w:val="single"/>
          </w:rPr>
          <w:t>Оценка вреда, приказ РКН № 178</w:t>
        </w:r>
      </w:hyperlink>
    </w:p>
    <w:p>
      <w:pPr>
        <w:pStyle w:val="ListBullet"/>
      </w:pPr>
      <w:hyperlink r:id="rId24">
        <w:r>
          <w:rPr>
            <w:color w:val="1F4D70"/>
            <w:u w:val="single"/>
          </w:rPr>
          <w:t>Защита данных, постановление Правительства № 1119</w:t>
        </w:r>
      </w:hyperlink>
    </w:p>
    <w:p>
      <w:pPr>
        <w:pStyle w:val="ListBullet"/>
      </w:pPr>
      <w:hyperlink r:id="rId25">
        <w:r>
          <w:rPr>
            <w:color w:val="1F4D70"/>
            <w:u w:val="single"/>
          </w:rPr>
          <w:t>Рекомендации, статья 10.2-2 закона № 149-ФЗ</w:t>
        </w:r>
      </w:hyperlink>
    </w:p>
    <w:p>
      <w:pPr>
        <w:pStyle w:val="ListBullet"/>
      </w:pPr>
      <w:hyperlink r:id="rId26">
        <w:r>
          <w:rPr>
            <w:color w:val="1F4D70"/>
            <w:u w:val="single"/>
          </w:rPr>
          <w:t>Уведомление о рекомендациях, приказ РКН № 149</w:t>
        </w:r>
      </w:hyperlink>
    </w:p>
    <w:p>
      <w:pPr>
        <w:pStyle w:val="ListBullet"/>
      </w:pPr>
      <w:hyperlink r:id="rId27">
        <w:r>
          <w:rPr>
            <w:color w:val="1F4D70"/>
            <w:u w:val="single"/>
          </w:rPr>
          <w:t>ОРИ, статья 10.1 закона № 149-ФЗ</w:t>
        </w:r>
      </w:hyperlink>
    </w:p>
    <w:p>
      <w:pPr>
        <w:pStyle w:val="ListBullet"/>
      </w:pPr>
      <w:hyperlink r:id="rId28">
        <w:r>
          <w:rPr>
            <w:color w:val="1F4D70"/>
            <w:u w:val="single"/>
          </w:rPr>
          <w:t>Авторизация, часть 10 статьи 8 закона № 149-ФЗ</w:t>
        </w:r>
      </w:hyperlink>
    </w:p>
    <w:p>
      <w:pPr>
        <w:pStyle w:val="ListBullet"/>
      </w:pPr>
      <w:hyperlink r:id="rId29">
        <w:r>
          <w:rPr>
            <w:color w:val="1F4D70"/>
            <w:u w:val="single"/>
          </w:rPr>
          <w:t>НПД, информация ФНС</w:t>
        </w:r>
      </w:hyperlink>
    </w:p>
    <w:p>
      <w:r>
        <w:t>Проверенные области проекта: реквизиты и старые юридические тексты, формы входа, схема данных, гостевая выдача и сериализация, карта районов, scoring и recommendations, удаление аккаунта и медиа, события аналитики и резервный скрипт. Проверка не включала подключение к production, договоры поставщиков, подачу уведомлений и подтверждение наличия записей в реестре. Полный юридический аудит кода, контента и лицензий не выполнялся.</w:t>
      </w:r>
    </w:p>
    <w:p>
      <w:r>
        <w:t>Изменения ограничены этим комплектом документов. Сборки web/iOS, миграции и продуктовые тесты не выполнялись, поскольку приложение не изменялось. Выполняются содержательная сверка, независимая проверка проектов и визуальная проверка всех страниц Word.</w:t>
      </w:r>
    </w:p>
    <w:sectPr w:rsidR="00FC693F" w:rsidRPr="0006063C" w:rsidSect="00034616">
      <w:headerReference w:type="default" r:id="rId9"/>
      <w:footerReference w:type="default" r:id="rId10"/>
      <w:pgSz w:w="11906" w:h="16838"/>
      <w:pgMar w:top="1077" w:right="1191" w:bottom="1077" w:left="1191"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Проект для заполнения  •  </w:t>
    </w:r>
    <w:r>
      <w:fldChar w:fldCharType="begin"/>
    </w:r>
    <w:r>
      <w:instrText xml:space="preserve"> PAGE </w:instrText>
    </w:r>
    <w:r>
      <w:fldChar w:fldCharType="end"/>
    </w:r>
    <w:r>
      <w:t xml:space="preserve"> / </w:t>
    </w:r>
    <w:r>
      <w:fldChar w:fldCharType="begin"/>
    </w:r>
    <w:r>
      <w:instrText xml:space="preserve"> NUMPAGES </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SportSearch  |  Комплект документов  |  Проект 07.09.2026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themeFontLang w:val="ru-RU"/>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9" w:lineRule="auto" w:after="120"/>
    </w:pPr>
    <w:rPr>
      <w:rFonts w:ascii="Arial" w:hAnsi="Arial" w:cs="Arial"/>
      <w:b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rial" w:hAnsi="Arial" w:cs="Arial"/>
      <w:b w:val="0"/>
      <w:color w:val="000000"/>
      <w:sz w:val="16"/>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w:hAnsi="Arial" w:cs="Arial"/>
      <w:b w:val="0"/>
      <w:color w:val="000000"/>
      <w:sz w:val="16"/>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Arial" w:hAnsi="Arial" w:cs="Arial"/>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Arial" w:hAnsi="Arial" w:cs="Arial"/>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Arial" w:hAnsi="Arial" w:cs="Arial"/>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00" w:line="240" w:lineRule="auto"/>
      <w:contextualSpacing/>
    </w:pPr>
    <w:rPr>
      <w:rFonts w:ascii="Arial" w:hAnsi="Arial" w:cs="Arial"/>
      <w:b/>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Arial" w:hAnsi="Arial" w:cs="Arial"/>
      <w:b w:val="0"/>
      <w:i/>
      <w:iCs/>
      <w:color w:val="000000"/>
      <w:spacing w:val="15"/>
      <w:sz w:val="21"/>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cs="Arial"/>
      <w:b w:val="0"/>
      <w:color w:val="000000"/>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sportsearch.shop" TargetMode="External"/><Relationship Id="rId12" Type="http://schemas.openxmlformats.org/officeDocument/2006/relationships/hyperlink" Target="https://pd.rkn.gov.ru/operators-registry/notification/form/" TargetMode="External"/><Relationship Id="rId13" Type="http://schemas.openxmlformats.org/officeDocument/2006/relationships/hyperlink" Target="https://www.consultant.ru/document/cons_doc_LAW_61801/6c94959bc017ac80140621762d2ac59f6006b08c/" TargetMode="External"/><Relationship Id="rId14" Type="http://schemas.openxmlformats.org/officeDocument/2006/relationships/hyperlink" Target="https://www.consultant.ru/document/cons_doc_LAW_61801/591acc70f577873c1ee54765eda110b7a0271eaf/" TargetMode="External"/><Relationship Id="rId15" Type="http://schemas.openxmlformats.org/officeDocument/2006/relationships/hyperlink" Target="https://www.consultant.ru/document/cons_doc_LAW_382687/37752db178121f5758180844db843703ca3f46e5/" TargetMode="External"/><Relationship Id="rId16" Type="http://schemas.openxmlformats.org/officeDocument/2006/relationships/hyperlink" Target="https://www.consultant.ru/document/cons_doc_LAW_61801/cbf4e15b7c330f9372e876cdf2bc928bad7950ef/" TargetMode="External"/><Relationship Id="rId17" Type="http://schemas.openxmlformats.org/officeDocument/2006/relationships/hyperlink" Target="https://www.consultant.ru/document/cons_doc_LAW_61801/e4ebbe1780de623c7cf32a59ca82a7bb523a25dd/" TargetMode="External"/><Relationship Id="rId18" Type="http://schemas.openxmlformats.org/officeDocument/2006/relationships/hyperlink" Target="https://www.consultant.ru/document/cons_doc_LAW_61801/eeeebe22bf738fd65bb66b95cc278911ae2525ee/" TargetMode="External"/><Relationship Id="rId19" Type="http://schemas.openxmlformats.org/officeDocument/2006/relationships/hyperlink" Target="https://www.consultant.ru/document/cons_doc_LAW_61801/7aeb0acd5aa76dbc888a07e52ca06a92568c6e96/" TargetMode="External"/><Relationship Id="rId20" Type="http://schemas.openxmlformats.org/officeDocument/2006/relationships/hyperlink" Target="https://www.consultant.ru/document/cons_doc_LAW_61801/d3fe43a7c415353b17faab255bc0de92bea127da/" TargetMode="External"/><Relationship Id="rId21" Type="http://schemas.openxmlformats.org/officeDocument/2006/relationships/hyperlink" Target="https://www.consultant.ru/document/cons_doc_LAW_61801/d996966e22e1320c9de1ab82d9f6be12c3d9d765/" TargetMode="External"/><Relationship Id="rId22" Type="http://schemas.openxmlformats.org/officeDocument/2006/relationships/hyperlink" Target="https://www.consultant.ru/document/cons_doc_LAW_432556/3657b3fd3f89dca114998f234f7386732da06548/" TargetMode="External"/><Relationship Id="rId23" Type="http://schemas.openxmlformats.org/officeDocument/2006/relationships/hyperlink" Target="https://www.consultant.ru/document/cons_doc_LAW_432555/b0a36ce9406e3cdaec56be5706698e8439f900c5/" TargetMode="External"/><Relationship Id="rId24" Type="http://schemas.openxmlformats.org/officeDocument/2006/relationships/hyperlink" Target="https://www.consultant.ru/document/cons_doc_LAW_137356/8c86cf6357879e861790a8a7ca8bea4227d56c72/" TargetMode="External"/><Relationship Id="rId25" Type="http://schemas.openxmlformats.org/officeDocument/2006/relationships/hyperlink" Target="https://www.consultant.ru/document/cons_doc_LAW_61798/2a69c627d62738291fe0a0fd4c1253385e730784/" TargetMode="External"/><Relationship Id="rId26" Type="http://schemas.openxmlformats.org/officeDocument/2006/relationships/hyperlink" Target="https://www.garant.ru/products/ipo/prime/doc/408008803/" TargetMode="External"/><Relationship Id="rId27" Type="http://schemas.openxmlformats.org/officeDocument/2006/relationships/hyperlink" Target="https://www.consultant.ru/document/cons_doc_LAW_61798/9ab7abe2b9fe407f507610f7e6e14a951d575585/" TargetMode="External"/><Relationship Id="rId28" Type="http://schemas.openxmlformats.org/officeDocument/2006/relationships/hyperlink" Target="https://www.consultant.ru/document/cons_doc_LAW_61798/78b773a28f3ad19eb234697b20ab1d48c09f748a/" TargetMode="External"/><Relationship Id="rId29" Type="http://schemas.openxmlformats.org/officeDocument/2006/relationships/hyperlink" Target="https://npd.nalog.r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Комплект документов SportSearch</dc:title>
  <dc:subject>Бесплатное приложение SportSearch без рекламы</dc:subject>
  <dc:creator>SportSearch</dc:creator>
  <cp:keywords>Проект; персональные данные; самозанятый; SportSearch</cp:keywords>
  <dc:description>generated by python-docx</dc:description>
  <cp:lastModifiedBy/>
  <cp:revision>1</cp:revision>
  <dcterms:created xsi:type="dcterms:W3CDTF">2026-09-07T00:00:00Z</dcterms:created>
  <dcterms:modified xsi:type="dcterms:W3CDTF">2026-09-07T00:00:00Z</dcterms:modified>
  <cp:category/>
</cp:coreProperties>
</file>